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280"/>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586105</wp:posOffset>
            </wp:positionH>
            <wp:positionV relativeFrom="page">
              <wp:posOffset>157480</wp:posOffset>
            </wp:positionV>
            <wp:extent cx="6388735"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388735" cy="8890"/>
                    </a:xfrm>
                    <a:prstGeom prst="rect">
                      <a:avLst/>
                    </a:prstGeom>
                    <a:noFill/>
                  </pic:spPr>
                </pic:pic>
              </a:graphicData>
            </a:graphic>
          </wp:anchor>
        </w:drawing>
        <w:drawing>
          <wp:anchor simplePos="0" relativeHeight="251657728" behindDoc="1" locked="0" layoutInCell="0" allowOverlap="1">
            <wp:simplePos x="0" y="0"/>
            <wp:positionH relativeFrom="page">
              <wp:posOffset>586105</wp:posOffset>
            </wp:positionH>
            <wp:positionV relativeFrom="page">
              <wp:posOffset>183515</wp:posOffset>
            </wp:positionV>
            <wp:extent cx="6388735"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388735" cy="8890"/>
                    </a:xfrm>
                    <a:prstGeom prst="rect">
                      <a:avLst/>
                    </a:prstGeom>
                    <a:noFill/>
                  </pic:spPr>
                </pic:pic>
              </a:graphicData>
            </a:graphic>
          </wp:anchor>
        </w:drawing>
        <w:t>UNITED STATES</w:t>
      </w:r>
    </w:p>
    <w:p>
      <w:pPr>
        <w:spacing w:after="0" w:line="33" w:lineRule="exact"/>
        <w:rPr>
          <w:sz w:val="24"/>
          <w:szCs w:val="24"/>
          <w:color w:val="auto"/>
        </w:rPr>
      </w:pPr>
    </w:p>
    <w:p>
      <w:pPr>
        <w:jc w:val="center"/>
        <w:ind w:right="-280"/>
        <w:spacing w:after="0"/>
        <w:rPr>
          <w:sz w:val="20"/>
          <w:szCs w:val="20"/>
          <w:color w:val="auto"/>
        </w:rPr>
      </w:pPr>
      <w:r>
        <w:rPr>
          <w:rFonts w:ascii="Arial" w:cs="Arial" w:eastAsia="Arial" w:hAnsi="Arial"/>
          <w:sz w:val="32"/>
          <w:szCs w:val="32"/>
          <w:b w:val="1"/>
          <w:bCs w:val="1"/>
          <w:color w:val="auto"/>
        </w:rPr>
        <w:t>SECURITIES AND EXCHANGE COMMISSION</w:t>
      </w:r>
    </w:p>
    <w:p>
      <w:pPr>
        <w:spacing w:after="0" w:line="4" w:lineRule="exact"/>
        <w:rPr>
          <w:sz w:val="24"/>
          <w:szCs w:val="24"/>
          <w:color w:val="auto"/>
        </w:rPr>
      </w:pPr>
    </w:p>
    <w:p>
      <w:pPr>
        <w:jc w:val="center"/>
        <w:ind w:right="-280"/>
        <w:spacing w:after="0"/>
        <w:rPr>
          <w:sz w:val="20"/>
          <w:szCs w:val="20"/>
          <w:color w:val="auto"/>
        </w:rPr>
      </w:pPr>
      <w:r>
        <w:rPr>
          <w:rFonts w:ascii="Arial" w:cs="Arial" w:eastAsia="Arial" w:hAnsi="Arial"/>
          <w:sz w:val="18"/>
          <w:szCs w:val="18"/>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2395220</wp:posOffset>
            </wp:positionH>
            <wp:positionV relativeFrom="paragraph">
              <wp:posOffset>210820</wp:posOffset>
            </wp:positionV>
            <wp:extent cx="1603375"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603375"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8" w:lineRule="exact"/>
        <w:rPr>
          <w:sz w:val="24"/>
          <w:szCs w:val="24"/>
          <w:color w:val="auto"/>
        </w:rPr>
      </w:pPr>
    </w:p>
    <w:p>
      <w:pPr>
        <w:jc w:val="center"/>
        <w:ind w:right="-280"/>
        <w:spacing w:after="0"/>
        <w:rPr>
          <w:sz w:val="20"/>
          <w:szCs w:val="20"/>
          <w:color w:val="auto"/>
        </w:rPr>
      </w:pPr>
      <w:r>
        <w:rPr>
          <w:rFonts w:ascii="Arial" w:cs="Arial" w:eastAsia="Arial" w:hAnsi="Arial"/>
          <w:sz w:val="32"/>
          <w:szCs w:val="32"/>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2395220</wp:posOffset>
            </wp:positionH>
            <wp:positionV relativeFrom="paragraph">
              <wp:posOffset>229870</wp:posOffset>
            </wp:positionV>
            <wp:extent cx="1603375"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603375" cy="1714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66" w:lineRule="exact"/>
        <w:rPr>
          <w:sz w:val="24"/>
          <w:szCs w:val="24"/>
          <w:color w:val="auto"/>
        </w:rPr>
      </w:pPr>
    </w:p>
    <w:p>
      <w:pPr>
        <w:jc w:val="center"/>
        <w:ind w:right="-280"/>
        <w:spacing w:after="0"/>
        <w:rPr>
          <w:sz w:val="20"/>
          <w:szCs w:val="20"/>
          <w:color w:val="auto"/>
        </w:rPr>
      </w:pPr>
      <w:r>
        <w:rPr>
          <w:rFonts w:ascii="Arial" w:cs="Arial" w:eastAsia="Arial" w:hAnsi="Arial"/>
          <w:sz w:val="22"/>
          <w:szCs w:val="22"/>
          <w:b w:val="1"/>
          <w:bCs w:val="1"/>
          <w:color w:val="auto"/>
        </w:rPr>
        <w:t>CURRENT REPORT</w:t>
      </w:r>
    </w:p>
    <w:p>
      <w:pPr>
        <w:spacing w:after="0" w:line="4" w:lineRule="exact"/>
        <w:rPr>
          <w:sz w:val="24"/>
          <w:szCs w:val="24"/>
          <w:color w:val="auto"/>
        </w:rPr>
      </w:pPr>
    </w:p>
    <w:p>
      <w:pPr>
        <w:jc w:val="center"/>
        <w:ind w:right="-280"/>
        <w:spacing w:after="0"/>
        <w:rPr>
          <w:sz w:val="20"/>
          <w:szCs w:val="20"/>
          <w:color w:val="auto"/>
        </w:rPr>
      </w:pPr>
      <w:r>
        <w:rPr>
          <w:rFonts w:ascii="Arial" w:cs="Arial" w:eastAsia="Arial" w:hAnsi="Arial"/>
          <w:sz w:val="22"/>
          <w:szCs w:val="22"/>
          <w:b w:val="1"/>
          <w:bCs w:val="1"/>
          <w:color w:val="auto"/>
        </w:rPr>
        <w:t>Pursuant to Section 13 or 15(d)</w:t>
      </w:r>
    </w:p>
    <w:p>
      <w:pPr>
        <w:jc w:val="center"/>
        <w:ind w:right="-280"/>
        <w:spacing w:after="0"/>
        <w:rPr>
          <w:sz w:val="20"/>
          <w:szCs w:val="20"/>
          <w:color w:val="auto"/>
        </w:rPr>
      </w:pPr>
      <w:r>
        <w:rPr>
          <w:rFonts w:ascii="Arial" w:cs="Arial" w:eastAsia="Arial" w:hAnsi="Arial"/>
          <w:sz w:val="22"/>
          <w:szCs w:val="22"/>
          <w:b w:val="1"/>
          <w:bCs w:val="1"/>
          <w:color w:val="auto"/>
        </w:rPr>
        <w:t>of The Securities Exchange Act of 1934</w:t>
      </w:r>
    </w:p>
    <w:p>
      <w:pPr>
        <w:spacing w:after="0" w:line="191" w:lineRule="exact"/>
        <w:rPr>
          <w:sz w:val="24"/>
          <w:szCs w:val="24"/>
          <w:color w:val="auto"/>
        </w:rPr>
      </w:pPr>
    </w:p>
    <w:p>
      <w:pPr>
        <w:ind w:left="2621"/>
        <w:spacing w:after="0"/>
        <w:rPr>
          <w:sz w:val="20"/>
          <w:szCs w:val="20"/>
          <w:color w:val="auto"/>
        </w:rPr>
      </w:pPr>
      <w:r>
        <w:rPr>
          <w:rFonts w:ascii="Arial" w:cs="Arial" w:eastAsia="Arial" w:hAnsi="Arial"/>
          <w:sz w:val="18"/>
          <w:szCs w:val="18"/>
          <w:color w:val="auto"/>
        </w:rPr>
        <w:t xml:space="preserve">Date of Report (Date of Earliest Event Reported): </w:t>
      </w:r>
      <w:r>
        <w:rPr>
          <w:rFonts w:ascii="Arial" w:cs="Arial" w:eastAsia="Arial" w:hAnsi="Arial"/>
          <w:sz w:val="18"/>
          <w:szCs w:val="18"/>
          <w:b w:val="1"/>
          <w:bCs w:val="1"/>
          <w:color w:val="auto"/>
        </w:rPr>
        <w:t>March 17, 2016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2395220</wp:posOffset>
            </wp:positionH>
            <wp:positionV relativeFrom="paragraph">
              <wp:posOffset>223520</wp:posOffset>
            </wp:positionV>
            <wp:extent cx="1603375"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603375"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28" w:lineRule="exact"/>
        <w:rPr>
          <w:sz w:val="24"/>
          <w:szCs w:val="24"/>
          <w:color w:val="auto"/>
        </w:rPr>
      </w:pPr>
    </w:p>
    <w:p>
      <w:pPr>
        <w:jc w:val="center"/>
        <w:ind w:right="-280"/>
        <w:spacing w:after="0"/>
        <w:rPr>
          <w:sz w:val="20"/>
          <w:szCs w:val="20"/>
          <w:color w:val="auto"/>
        </w:rPr>
      </w:pPr>
      <w:r>
        <w:rPr>
          <w:rFonts w:ascii="Arial" w:cs="Arial" w:eastAsia="Arial" w:hAnsi="Arial"/>
          <w:sz w:val="32"/>
          <w:szCs w:val="32"/>
          <w:b w:val="1"/>
          <w:bCs w:val="1"/>
          <w:color w:val="auto"/>
        </w:rPr>
        <w:t>Voyager Therapeutics, Inc.</w:t>
      </w:r>
    </w:p>
    <w:p>
      <w:pPr>
        <w:spacing w:after="0" w:line="40" w:lineRule="exact"/>
        <w:rPr>
          <w:sz w:val="24"/>
          <w:szCs w:val="24"/>
          <w:color w:val="auto"/>
        </w:rPr>
      </w:pPr>
    </w:p>
    <w:p>
      <w:pPr>
        <w:jc w:val="center"/>
        <w:ind w:right="-280"/>
        <w:spacing w:after="0"/>
        <w:rPr>
          <w:sz w:val="20"/>
          <w:szCs w:val="20"/>
          <w:color w:val="auto"/>
        </w:rPr>
      </w:pPr>
      <w:r>
        <w:rPr>
          <w:rFonts w:ascii="Arial" w:cs="Arial" w:eastAsia="Arial" w:hAnsi="Arial"/>
          <w:sz w:val="18"/>
          <w:szCs w:val="18"/>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2395220</wp:posOffset>
            </wp:positionH>
            <wp:positionV relativeFrom="paragraph">
              <wp:posOffset>210820</wp:posOffset>
            </wp:positionV>
            <wp:extent cx="1603375"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603375" cy="8890"/>
                    </a:xfrm>
                    <a:prstGeom prst="rect">
                      <a:avLst/>
                    </a:prstGeom>
                    <a:noFill/>
                  </pic:spPr>
                </pic:pic>
              </a:graphicData>
            </a:graphic>
          </wp:anchor>
        </w:drawing>
      </w:r>
    </w:p>
    <w:p>
      <w:pPr>
        <w:sectPr>
          <w:pgSz w:w="11900" w:h="16838" w:orient="portrait"/>
          <w:cols w:equalWidth="0" w:num="1">
            <w:col w:w="9781"/>
          </w:cols>
          <w:pgMar w:left="919" w:top="476" w:right="1199" w:bottom="1440" w:gutter="0" w:footer="0" w:header="0"/>
        </w:sectPr>
      </w:pPr>
    </w:p>
    <w:p>
      <w:pPr>
        <w:spacing w:after="0" w:line="200" w:lineRule="exact"/>
        <w:rPr>
          <w:sz w:val="24"/>
          <w:szCs w:val="24"/>
          <w:color w:val="auto"/>
        </w:rPr>
      </w:pPr>
    </w:p>
    <w:p>
      <w:pPr>
        <w:spacing w:after="0" w:line="200" w:lineRule="exact"/>
        <w:rPr>
          <w:sz w:val="24"/>
          <w:szCs w:val="24"/>
          <w:color w:val="auto"/>
        </w:rPr>
      </w:pPr>
    </w:p>
    <w:p>
      <w:pPr>
        <w:spacing w:after="0" w:line="264" w:lineRule="exact"/>
        <w:rPr>
          <w:sz w:val="24"/>
          <w:szCs w:val="24"/>
          <w:color w:val="auto"/>
        </w:rPr>
      </w:pPr>
    </w:p>
    <w:p>
      <w:pPr>
        <w:ind w:left="1101"/>
        <w:spacing w:after="0"/>
        <w:rPr>
          <w:sz w:val="20"/>
          <w:szCs w:val="20"/>
          <w:color w:val="auto"/>
        </w:rPr>
      </w:pPr>
      <w:r>
        <w:rPr>
          <w:rFonts w:ascii="Arial" w:cs="Arial" w:eastAsia="Arial" w:hAnsi="Arial"/>
          <w:sz w:val="18"/>
          <w:szCs w:val="18"/>
          <w:b w:val="1"/>
          <w:bCs w:val="1"/>
          <w:color w:val="auto"/>
        </w:rPr>
        <w:t>DELAWARE</w:t>
      </w:r>
    </w:p>
    <w:p>
      <w:pPr>
        <w:spacing w:after="0" w:line="27" w:lineRule="exact"/>
        <w:rPr>
          <w:sz w:val="24"/>
          <w:szCs w:val="24"/>
          <w:color w:val="auto"/>
        </w:rPr>
      </w:pPr>
    </w:p>
    <w:p>
      <w:pPr>
        <w:ind w:left="661"/>
        <w:spacing w:after="0"/>
        <w:rPr>
          <w:sz w:val="20"/>
          <w:szCs w:val="20"/>
          <w:color w:val="auto"/>
        </w:rPr>
      </w:pPr>
      <w:r>
        <w:rPr>
          <w:rFonts w:ascii="Arial" w:cs="Arial" w:eastAsia="Arial" w:hAnsi="Arial"/>
          <w:sz w:val="16"/>
          <w:szCs w:val="16"/>
          <w:color w:val="auto"/>
        </w:rPr>
        <w:t>(State or other jurisdiction</w:t>
      </w:r>
    </w:p>
    <w:p>
      <w:pPr>
        <w:spacing w:after="0" w:line="32" w:lineRule="exact"/>
        <w:rPr>
          <w:sz w:val="24"/>
          <w:szCs w:val="24"/>
          <w:color w:val="auto"/>
        </w:rPr>
      </w:pPr>
    </w:p>
    <w:p>
      <w:pPr>
        <w:ind w:left="1001"/>
        <w:spacing w:after="0"/>
        <w:rPr>
          <w:sz w:val="20"/>
          <w:szCs w:val="20"/>
          <w:color w:val="auto"/>
        </w:rPr>
      </w:pPr>
      <w:r>
        <w:rPr>
          <w:rFonts w:ascii="Arial" w:cs="Arial" w:eastAsia="Arial" w:hAnsi="Arial"/>
          <w:sz w:val="18"/>
          <w:szCs w:val="18"/>
          <w:color w:val="auto"/>
        </w:rPr>
        <w:t>of incorporation)</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44" w:lineRule="exact"/>
        <w:rPr>
          <w:sz w:val="24"/>
          <w:szCs w:val="24"/>
          <w:color w:val="auto"/>
        </w:rPr>
      </w:pPr>
    </w:p>
    <w:p>
      <w:pPr>
        <w:jc w:val="center"/>
        <w:ind w:right="1520"/>
        <w:spacing w:after="0"/>
        <w:rPr>
          <w:sz w:val="20"/>
          <w:szCs w:val="20"/>
          <w:color w:val="auto"/>
        </w:rPr>
      </w:pPr>
      <w:r>
        <w:rPr>
          <w:rFonts w:ascii="Arial" w:cs="Arial" w:eastAsia="Arial" w:hAnsi="Arial"/>
          <w:sz w:val="18"/>
          <w:szCs w:val="18"/>
          <w:b w:val="1"/>
          <w:bCs w:val="1"/>
          <w:color w:val="auto"/>
        </w:rPr>
        <w:t>001-37625</w:t>
      </w:r>
    </w:p>
    <w:p>
      <w:pPr>
        <w:spacing w:after="0" w:line="27" w:lineRule="exact"/>
        <w:rPr>
          <w:sz w:val="24"/>
          <w:szCs w:val="24"/>
          <w:color w:val="auto"/>
        </w:rPr>
      </w:pPr>
    </w:p>
    <w:p>
      <w:pPr>
        <w:jc w:val="center"/>
        <w:ind w:right="1520"/>
        <w:spacing w:after="0"/>
        <w:rPr>
          <w:sz w:val="20"/>
          <w:szCs w:val="20"/>
          <w:color w:val="auto"/>
        </w:rPr>
      </w:pPr>
      <w:r>
        <w:rPr>
          <w:rFonts w:ascii="Arial" w:cs="Arial" w:eastAsia="Arial" w:hAnsi="Arial"/>
          <w:sz w:val="16"/>
          <w:szCs w:val="16"/>
          <w:color w:val="auto"/>
        </w:rPr>
        <w:t>(Commission</w:t>
      </w:r>
    </w:p>
    <w:p>
      <w:pPr>
        <w:spacing w:after="0" w:line="32" w:lineRule="exact"/>
        <w:rPr>
          <w:sz w:val="24"/>
          <w:szCs w:val="24"/>
          <w:color w:val="auto"/>
        </w:rPr>
      </w:pPr>
    </w:p>
    <w:p>
      <w:pPr>
        <w:jc w:val="center"/>
        <w:ind w:right="1520"/>
        <w:spacing w:after="0"/>
        <w:rPr>
          <w:sz w:val="20"/>
          <w:szCs w:val="20"/>
          <w:color w:val="auto"/>
        </w:rPr>
      </w:pPr>
      <w:r>
        <w:rPr>
          <w:rFonts w:ascii="Arial" w:cs="Arial" w:eastAsia="Arial" w:hAnsi="Arial"/>
          <w:sz w:val="16"/>
          <w:szCs w:val="16"/>
          <w:color w:val="auto"/>
        </w:rPr>
        <w:t>File Number)</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44" w:lineRule="exact"/>
        <w:rPr>
          <w:sz w:val="24"/>
          <w:szCs w:val="24"/>
          <w:color w:val="auto"/>
        </w:rPr>
      </w:pPr>
    </w:p>
    <w:p>
      <w:pPr>
        <w:jc w:val="center"/>
        <w:ind w:right="660"/>
        <w:spacing w:after="0"/>
        <w:rPr>
          <w:sz w:val="20"/>
          <w:szCs w:val="20"/>
          <w:color w:val="auto"/>
        </w:rPr>
      </w:pPr>
      <w:r>
        <w:rPr>
          <w:rFonts w:ascii="Arial" w:cs="Arial" w:eastAsia="Arial" w:hAnsi="Arial"/>
          <w:sz w:val="18"/>
          <w:szCs w:val="18"/>
          <w:b w:val="1"/>
          <w:bCs w:val="1"/>
          <w:color w:val="auto"/>
        </w:rPr>
        <w:t>46-3003182</w:t>
      </w:r>
    </w:p>
    <w:p>
      <w:pPr>
        <w:spacing w:after="0" w:line="27" w:lineRule="exact"/>
        <w:rPr>
          <w:sz w:val="24"/>
          <w:szCs w:val="24"/>
          <w:color w:val="auto"/>
        </w:rPr>
      </w:pPr>
    </w:p>
    <w:p>
      <w:pPr>
        <w:jc w:val="center"/>
        <w:ind w:right="660"/>
        <w:spacing w:after="0"/>
        <w:rPr>
          <w:sz w:val="20"/>
          <w:szCs w:val="20"/>
          <w:color w:val="auto"/>
        </w:rPr>
      </w:pPr>
      <w:r>
        <w:rPr>
          <w:rFonts w:ascii="Arial" w:cs="Arial" w:eastAsia="Arial" w:hAnsi="Arial"/>
          <w:sz w:val="18"/>
          <w:szCs w:val="18"/>
          <w:color w:val="auto"/>
        </w:rPr>
        <w:t>(I.R.S. Employer</w:t>
      </w:r>
    </w:p>
    <w:p>
      <w:pPr>
        <w:spacing w:after="0" w:line="9" w:lineRule="exact"/>
        <w:rPr>
          <w:sz w:val="24"/>
          <w:szCs w:val="24"/>
          <w:color w:val="auto"/>
        </w:rPr>
      </w:pPr>
    </w:p>
    <w:p>
      <w:pPr>
        <w:jc w:val="center"/>
        <w:ind w:right="660"/>
        <w:spacing w:after="0"/>
        <w:rPr>
          <w:sz w:val="20"/>
          <w:szCs w:val="20"/>
          <w:color w:val="auto"/>
        </w:rPr>
      </w:pPr>
      <w:r>
        <w:rPr>
          <w:rFonts w:ascii="Arial" w:cs="Arial" w:eastAsia="Arial" w:hAnsi="Arial"/>
          <w:sz w:val="17"/>
          <w:szCs w:val="17"/>
          <w:color w:val="auto"/>
        </w:rPr>
        <w:t>Identification No.)</w:t>
      </w:r>
    </w:p>
    <w:p>
      <w:pPr>
        <w:spacing w:after="0" w:line="211" w:lineRule="exact"/>
        <w:rPr>
          <w:sz w:val="24"/>
          <w:szCs w:val="24"/>
          <w:color w:val="auto"/>
        </w:rPr>
      </w:pPr>
    </w:p>
    <w:p>
      <w:pPr>
        <w:sectPr>
          <w:pgSz w:w="11900" w:h="16838" w:orient="portrait"/>
          <w:cols w:equalWidth="0" w:num="3">
            <w:col w:w="3841" w:space="720"/>
            <w:col w:w="2500" w:space="720"/>
            <w:col w:w="2000"/>
          </w:cols>
          <w:pgMar w:left="919" w:top="476" w:right="1199" w:bottom="1440" w:gutter="0" w:footer="0" w:header="0"/>
          <w:type w:val="continuous"/>
        </w:sectPr>
      </w:pPr>
    </w:p>
    <w:p>
      <w:pPr>
        <w:spacing w:after="0" w:line="20" w:lineRule="exact"/>
        <w:rPr>
          <w:sz w:val="24"/>
          <w:szCs w:val="24"/>
          <w:color w:val="auto"/>
        </w:rPr>
      </w:pPr>
    </w:p>
    <w:p>
      <w:pPr>
        <w:ind w:left="1841"/>
        <w:spacing w:after="0"/>
        <w:rPr>
          <w:sz w:val="20"/>
          <w:szCs w:val="20"/>
          <w:color w:val="auto"/>
        </w:rPr>
      </w:pPr>
      <w:r>
        <w:rPr>
          <w:rFonts w:ascii="Arial" w:cs="Arial" w:eastAsia="Arial" w:hAnsi="Arial"/>
          <w:sz w:val="18"/>
          <w:szCs w:val="18"/>
          <w:b w:val="1"/>
          <w:bCs w:val="1"/>
          <w:color w:val="auto"/>
        </w:rPr>
        <w:t>75 Sidney Street</w:t>
      </w:r>
    </w:p>
    <w:p>
      <w:pPr>
        <w:spacing w:after="0" w:line="27" w:lineRule="exact"/>
        <w:rPr>
          <w:sz w:val="24"/>
          <w:szCs w:val="24"/>
          <w:color w:val="auto"/>
        </w:rPr>
      </w:pPr>
    </w:p>
    <w:p>
      <w:pPr>
        <w:ind w:left="1441"/>
        <w:spacing w:after="0"/>
        <w:tabs>
          <w:tab w:leader="none" w:pos="7360" w:val="left"/>
        </w:tabs>
        <w:rPr>
          <w:sz w:val="20"/>
          <w:szCs w:val="20"/>
          <w:color w:val="auto"/>
        </w:rPr>
      </w:pPr>
      <w:r>
        <w:rPr>
          <w:rFonts w:ascii="Arial" w:cs="Arial" w:eastAsia="Arial" w:hAnsi="Arial"/>
          <w:sz w:val="18"/>
          <w:szCs w:val="18"/>
          <w:b w:val="1"/>
          <w:bCs w:val="1"/>
          <w:color w:val="auto"/>
        </w:rPr>
        <w:t>Cambridge, Massachusetts</w:t>
      </w:r>
      <w:r>
        <w:rPr>
          <w:sz w:val="20"/>
          <w:szCs w:val="20"/>
          <w:color w:val="auto"/>
        </w:rPr>
        <w:tab/>
      </w:r>
      <w:r>
        <w:rPr>
          <w:rFonts w:ascii="Arial" w:cs="Arial" w:eastAsia="Arial" w:hAnsi="Arial"/>
          <w:sz w:val="15"/>
          <w:szCs w:val="15"/>
          <w:b w:val="1"/>
          <w:bCs w:val="1"/>
          <w:color w:val="auto"/>
        </w:rPr>
        <w:t>02139</w:t>
      </w:r>
    </w:p>
    <w:p>
      <w:pPr>
        <w:spacing w:after="0" w:line="9" w:lineRule="exact"/>
        <w:rPr>
          <w:sz w:val="24"/>
          <w:szCs w:val="24"/>
          <w:color w:val="auto"/>
        </w:rPr>
      </w:pPr>
    </w:p>
    <w:p>
      <w:pPr>
        <w:ind w:left="1041"/>
        <w:spacing w:after="0"/>
        <w:tabs>
          <w:tab w:leader="none" w:pos="7180" w:val="left"/>
        </w:tabs>
        <w:rPr>
          <w:sz w:val="20"/>
          <w:szCs w:val="20"/>
          <w:color w:val="auto"/>
        </w:rPr>
      </w:pPr>
      <w:r>
        <w:rPr>
          <w:rFonts w:ascii="Arial" w:cs="Arial" w:eastAsia="Arial" w:hAnsi="Arial"/>
          <w:sz w:val="18"/>
          <w:szCs w:val="18"/>
          <w:color w:val="auto"/>
        </w:rPr>
        <w:t>(Address of principal executive offices)</w:t>
      </w:r>
      <w:r>
        <w:rPr>
          <w:sz w:val="20"/>
          <w:szCs w:val="20"/>
          <w:color w:val="auto"/>
        </w:rPr>
        <w:tab/>
      </w:r>
      <w:r>
        <w:rPr>
          <w:rFonts w:ascii="Arial" w:cs="Arial" w:eastAsia="Arial" w:hAnsi="Arial"/>
          <w:sz w:val="16"/>
          <w:szCs w:val="16"/>
          <w:color w:val="auto"/>
        </w:rPr>
        <w:t>(Zip Code)</w:t>
      </w:r>
    </w:p>
    <w:p>
      <w:pPr>
        <w:sectPr>
          <w:pgSz w:w="11900" w:h="16838" w:orient="portrait"/>
          <w:cols w:equalWidth="0" w:num="1">
            <w:col w:w="9781"/>
          </w:cols>
          <w:pgMar w:left="919" w:top="476" w:right="1199" w:bottom="1440" w:gutter="0" w:footer="0" w:header="0"/>
          <w:type w:val="continuous"/>
        </w:sectPr>
      </w:pPr>
    </w:p>
    <w:p>
      <w:pPr>
        <w:spacing w:after="0" w:line="207" w:lineRule="exact"/>
        <w:rPr>
          <w:sz w:val="24"/>
          <w:szCs w:val="24"/>
          <w:color w:val="auto"/>
        </w:rPr>
      </w:pPr>
    </w:p>
    <w:p>
      <w:pPr>
        <w:jc w:val="center"/>
        <w:ind w:right="-280"/>
        <w:spacing w:after="0"/>
        <w:rPr>
          <w:sz w:val="20"/>
          <w:szCs w:val="20"/>
          <w:color w:val="auto"/>
        </w:rPr>
      </w:pPr>
      <w:r>
        <w:rPr>
          <w:rFonts w:ascii="Arial" w:cs="Arial" w:eastAsia="Arial" w:hAnsi="Arial"/>
          <w:sz w:val="18"/>
          <w:szCs w:val="18"/>
          <w:color w:val="auto"/>
        </w:rPr>
        <w:t xml:space="preserve">Registrant’s telephone number, including area code </w:t>
      </w:r>
      <w:r>
        <w:rPr>
          <w:rFonts w:ascii="Arial" w:cs="Arial" w:eastAsia="Arial" w:hAnsi="Arial"/>
          <w:sz w:val="18"/>
          <w:szCs w:val="18"/>
          <w:b w:val="1"/>
          <w:bCs w:val="1"/>
          <w:color w:val="auto"/>
        </w:rPr>
        <w:t>(857) 259-5340</w:t>
      </w:r>
    </w:p>
    <w:p>
      <w:pPr>
        <w:spacing w:after="0" w:line="225" w:lineRule="exact"/>
        <w:rPr>
          <w:sz w:val="24"/>
          <w:szCs w:val="24"/>
          <w:color w:val="auto"/>
        </w:rPr>
      </w:pPr>
    </w:p>
    <w:p>
      <w:pPr>
        <w:jc w:val="center"/>
        <w:ind w:right="-280"/>
        <w:spacing w:after="0"/>
        <w:rPr>
          <w:sz w:val="20"/>
          <w:szCs w:val="20"/>
          <w:color w:val="auto"/>
        </w:rPr>
      </w:pPr>
      <w:r>
        <w:rPr>
          <w:rFonts w:ascii="Arial" w:cs="Arial" w:eastAsia="Arial" w:hAnsi="Arial"/>
          <w:sz w:val="18"/>
          <w:szCs w:val="18"/>
          <w:b w:val="1"/>
          <w:bCs w:val="1"/>
          <w:color w:val="auto"/>
        </w:rPr>
        <w:t>Not Applicable</w:t>
      </w:r>
    </w:p>
    <w:p>
      <w:pPr>
        <w:spacing w:after="0" w:line="27" w:lineRule="exact"/>
        <w:rPr>
          <w:sz w:val="24"/>
          <w:szCs w:val="24"/>
          <w:color w:val="auto"/>
        </w:rPr>
      </w:pPr>
    </w:p>
    <w:p>
      <w:pPr>
        <w:jc w:val="center"/>
        <w:ind w:right="-280"/>
        <w:spacing w:after="0"/>
        <w:rPr>
          <w:sz w:val="20"/>
          <w:szCs w:val="20"/>
          <w:color w:val="auto"/>
        </w:rPr>
      </w:pPr>
      <w:r>
        <w:rPr>
          <w:rFonts w:ascii="Arial" w:cs="Arial" w:eastAsia="Arial" w:hAnsi="Arial"/>
          <w:sz w:val="18"/>
          <w:szCs w:val="18"/>
          <w:color w:val="auto"/>
        </w:rPr>
        <w:t>(Former name or former address, if changed since last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2395220</wp:posOffset>
            </wp:positionH>
            <wp:positionV relativeFrom="paragraph">
              <wp:posOffset>211455</wp:posOffset>
            </wp:positionV>
            <wp:extent cx="1603375"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603375" cy="1714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50" w:lineRule="exact"/>
        <w:rPr>
          <w:sz w:val="24"/>
          <w:szCs w:val="24"/>
          <w:color w:val="auto"/>
        </w:rPr>
      </w:pPr>
    </w:p>
    <w:p>
      <w:pPr>
        <w:ind w:left="1"/>
        <w:spacing w:after="0" w:line="277"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w:t>
      </w:r>
    </w:p>
    <w:p>
      <w:pPr>
        <w:spacing w:after="0" w:line="170" w:lineRule="exact"/>
        <w:rPr>
          <w:sz w:val="24"/>
          <w:szCs w:val="24"/>
          <w:color w:val="auto"/>
        </w:rPr>
      </w:pPr>
    </w:p>
    <w:p>
      <w:pPr>
        <w:ind w:left="521" w:hanging="521"/>
        <w:spacing w:after="0"/>
        <w:tabs>
          <w:tab w:leader="none" w:pos="521"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225" w:lineRule="exact"/>
        <w:rPr>
          <w:rFonts w:ascii="MS PGothic" w:cs="MS PGothic" w:eastAsia="MS PGothic" w:hAnsi="MS PGothic"/>
          <w:sz w:val="18"/>
          <w:szCs w:val="18"/>
          <w:color w:val="auto"/>
        </w:rPr>
      </w:pPr>
    </w:p>
    <w:p>
      <w:pPr>
        <w:ind w:left="521" w:hanging="521"/>
        <w:spacing w:after="0"/>
        <w:tabs>
          <w:tab w:leader="none" w:pos="521"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225" w:lineRule="exact"/>
        <w:rPr>
          <w:rFonts w:ascii="MS PGothic" w:cs="MS PGothic" w:eastAsia="MS PGothic" w:hAnsi="MS PGothic"/>
          <w:sz w:val="18"/>
          <w:szCs w:val="18"/>
          <w:color w:val="auto"/>
        </w:rPr>
      </w:pPr>
    </w:p>
    <w:p>
      <w:pPr>
        <w:ind w:left="521" w:hanging="521"/>
        <w:spacing w:after="0"/>
        <w:tabs>
          <w:tab w:leader="none" w:pos="521"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225" w:lineRule="exact"/>
        <w:rPr>
          <w:rFonts w:ascii="MS PGothic" w:cs="MS PGothic" w:eastAsia="MS PGothic" w:hAnsi="MS PGothic"/>
          <w:sz w:val="18"/>
          <w:szCs w:val="18"/>
          <w:color w:val="auto"/>
        </w:rPr>
      </w:pPr>
    </w:p>
    <w:p>
      <w:pPr>
        <w:ind w:left="521" w:hanging="521"/>
        <w:spacing w:after="0"/>
        <w:tabs>
          <w:tab w:leader="none" w:pos="521"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13e-4(c) under the Exchange Act (17 CFR 240.13e-4(c))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2540</wp:posOffset>
            </wp:positionH>
            <wp:positionV relativeFrom="paragraph">
              <wp:posOffset>152400</wp:posOffset>
            </wp:positionV>
            <wp:extent cx="6388735"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388735" cy="8890"/>
                    </a:xfrm>
                    <a:prstGeom prst="rect">
                      <a:avLst/>
                    </a:prstGeom>
                    <a:noFill/>
                  </pic:spPr>
                </pic:pic>
              </a:graphicData>
            </a:graphic>
          </wp:anchor>
        </w:drawing>
        <w:drawing>
          <wp:anchor simplePos="0" relativeHeight="251657728" behindDoc="1" locked="0" layoutInCell="0" allowOverlap="1">
            <wp:simplePos x="0" y="0"/>
            <wp:positionH relativeFrom="column">
              <wp:posOffset>2540</wp:posOffset>
            </wp:positionH>
            <wp:positionV relativeFrom="paragraph">
              <wp:posOffset>177800</wp:posOffset>
            </wp:positionV>
            <wp:extent cx="6388735"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388735" cy="8890"/>
                    </a:xfrm>
                    <a:prstGeom prst="rect">
                      <a:avLst/>
                    </a:prstGeom>
                    <a:noFill/>
                  </pic:spPr>
                </pic:pic>
              </a:graphicData>
            </a:graphic>
          </wp:anchor>
        </w:drawing>
        <w:drawing>
          <wp:anchor simplePos="0" relativeHeight="251657728" behindDoc="1" locked="0" layoutInCell="0" allowOverlap="1">
            <wp:simplePos x="0" y="0"/>
            <wp:positionH relativeFrom="column">
              <wp:posOffset>2540</wp:posOffset>
            </wp:positionH>
            <wp:positionV relativeFrom="paragraph">
              <wp:posOffset>598170</wp:posOffset>
            </wp:positionV>
            <wp:extent cx="6388735" cy="171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6388735" cy="17145"/>
                    </a:xfrm>
                    <a:prstGeom prst="rect">
                      <a:avLst/>
                    </a:prstGeom>
                    <a:noFill/>
                  </pic:spPr>
                </pic:pic>
              </a:graphicData>
            </a:graphic>
          </wp:anchor>
        </w:drawing>
      </w:r>
    </w:p>
    <w:p>
      <w:pPr>
        <w:sectPr>
          <w:pgSz w:w="11900" w:h="16838" w:orient="portrait"/>
          <w:cols w:equalWidth="0" w:num="1">
            <w:col w:w="9781"/>
          </w:cols>
          <w:pgMar w:left="919" w:top="476" w:right="1199" w:bottom="1440" w:gutter="0" w:footer="0" w:header="0"/>
          <w:type w:val="continuous"/>
        </w:sectPr>
      </w:pPr>
    </w:p>
    <w:bookmarkStart w:id="1" w:name="page2"/>
    <w:bookmarkEnd w:id="1"/>
    <w:p>
      <w:pPr>
        <w:spacing w:after="0"/>
        <w:rPr>
          <w:sz w:val="20"/>
          <w:szCs w:val="20"/>
          <w:color w:val="auto"/>
        </w:rPr>
      </w:pPr>
      <w:r>
        <w:rPr>
          <w:rFonts w:ascii="Arial" w:cs="Arial" w:eastAsia="Arial" w:hAnsi="Arial"/>
          <w:sz w:val="20"/>
          <w:szCs w:val="20"/>
          <w:b w:val="1"/>
          <w:bCs w:val="1"/>
          <w:color w:val="auto"/>
        </w:rPr>
        <w:t>Item 2.02. Results of Operations and Financial Condition.</w:t>
      </w:r>
    </w:p>
    <w:p>
      <w:pPr>
        <w:spacing w:after="0" w:line="60" w:lineRule="exact"/>
        <w:rPr>
          <w:sz w:val="20"/>
          <w:szCs w:val="20"/>
          <w:color w:val="auto"/>
        </w:rPr>
      </w:pPr>
    </w:p>
    <w:p>
      <w:pPr>
        <w:jc w:val="both"/>
        <w:spacing w:after="0" w:line="245" w:lineRule="auto"/>
        <w:rPr>
          <w:sz w:val="20"/>
          <w:szCs w:val="20"/>
          <w:color w:val="auto"/>
        </w:rPr>
      </w:pPr>
      <w:r>
        <w:rPr>
          <w:rFonts w:ascii="Arial" w:cs="Arial" w:eastAsia="Arial" w:hAnsi="Arial"/>
          <w:sz w:val="20"/>
          <w:szCs w:val="20"/>
          <w:color w:val="auto"/>
        </w:rPr>
        <w:t>On March 17, 2016, Voyager Therapeutics, Inc. (the “Company”) announced financial results for the quarter and year ended December 31, 2015. The full text of the press release issued in connection with the announcement is furnished as Exhibit 99.1 to this Current Report on Form 8-K.</w:t>
      </w:r>
    </w:p>
    <w:p>
      <w:pPr>
        <w:jc w:val="both"/>
        <w:spacing w:after="0" w:line="258" w:lineRule="auto"/>
        <w:rPr>
          <w:sz w:val="20"/>
          <w:szCs w:val="20"/>
          <w:color w:val="auto"/>
        </w:rPr>
      </w:pPr>
      <w:r>
        <w:rPr>
          <w:rFonts w:ascii="Arial" w:cs="Arial" w:eastAsia="Arial" w:hAnsi="Arial"/>
          <w:sz w:val="19"/>
          <w:szCs w:val="19"/>
          <w:color w:val="auto"/>
        </w:rPr>
        <w:t>The information in this Form 8-K (including Exhibit 99.1) shall not be deemed “filed” for purposes of Section 18 of the Securities Exchange Act of 1934 (the “Exchange Act”) or otherwise subject to the liabilities of that section, nor shall it be deemed incorporated by reference in any filing under the Securities Act of 1933 or the Exchange Act, except as expressly set forth by specific reference in such a filing.</w:t>
      </w:r>
    </w:p>
    <w:p>
      <w:pPr>
        <w:spacing w:after="0" w:line="186"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Item 9.01. Financial Statements and Exhibits</w:t>
      </w:r>
    </w:p>
    <w:p>
      <w:pPr>
        <w:spacing w:after="0" w:line="22" w:lineRule="exact"/>
        <w:rPr>
          <w:sz w:val="20"/>
          <w:szCs w:val="20"/>
          <w:color w:val="auto"/>
        </w:rPr>
      </w:pPr>
    </w:p>
    <w:p>
      <w:pPr>
        <w:spacing w:after="0"/>
        <w:tabs>
          <w:tab w:leader="none" w:pos="420" w:val="left"/>
        </w:tabs>
        <w:rPr>
          <w:sz w:val="20"/>
          <w:szCs w:val="20"/>
          <w:color w:val="auto"/>
        </w:rPr>
      </w:pPr>
      <w:r>
        <w:rPr>
          <w:rFonts w:ascii="Arial" w:cs="Arial" w:eastAsia="Arial" w:hAnsi="Arial"/>
          <w:sz w:val="20"/>
          <w:szCs w:val="20"/>
          <w:color w:val="auto"/>
        </w:rPr>
        <w:t>(d)</w:t>
      </w:r>
      <w:r>
        <w:rPr>
          <w:sz w:val="20"/>
          <w:szCs w:val="20"/>
          <w:color w:val="auto"/>
        </w:rPr>
        <w:tab/>
      </w:r>
      <w:r>
        <w:rPr>
          <w:rFonts w:ascii="Arial" w:cs="Arial" w:eastAsia="Arial" w:hAnsi="Arial"/>
          <w:sz w:val="18"/>
          <w:szCs w:val="18"/>
          <w:color w:val="auto"/>
        </w:rPr>
        <w:t>Exhibits</w:t>
      </w:r>
    </w:p>
    <w:p>
      <w:pPr>
        <w:spacing w:after="0" w:line="200" w:lineRule="exact"/>
        <w:rPr>
          <w:sz w:val="20"/>
          <w:szCs w:val="20"/>
          <w:color w:val="auto"/>
        </w:rPr>
      </w:pPr>
    </w:p>
    <w:p>
      <w:pPr>
        <w:spacing w:after="0"/>
        <w:rPr>
          <w:sz w:val="20"/>
          <w:szCs w:val="20"/>
          <w:color w:val="auto"/>
        </w:rPr>
      </w:pPr>
      <w:r>
        <w:rPr>
          <w:rFonts w:ascii="Arial" w:cs="Arial" w:eastAsia="Arial" w:hAnsi="Arial"/>
          <w:sz w:val="20"/>
          <w:szCs w:val="20"/>
          <w:color w:val="auto"/>
        </w:rPr>
        <w:t>The following exhibit relating to Item 2.02 shall be deemed to be furnished, and not filed:</w:t>
      </w:r>
    </w:p>
    <w:p>
      <w:pPr>
        <w:spacing w:after="0" w:line="21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40" w:type="dxa"/>
            <w:vAlign w:val="bottom"/>
          </w:tcPr>
          <w:p>
            <w:pPr>
              <w:spacing w:after="0"/>
              <w:rPr>
                <w:sz w:val="20"/>
                <w:szCs w:val="20"/>
                <w:color w:val="auto"/>
              </w:rPr>
            </w:pPr>
            <w:r>
              <w:rPr>
                <w:rFonts w:ascii="Arial" w:cs="Arial" w:eastAsia="Arial" w:hAnsi="Arial"/>
                <w:sz w:val="14"/>
                <w:szCs w:val="14"/>
                <w:b w:val="1"/>
                <w:bCs w:val="1"/>
                <w:color w:val="auto"/>
              </w:rPr>
              <w:t>Exhibit</w:t>
            </w:r>
          </w:p>
        </w:tc>
        <w:tc>
          <w:tcPr>
            <w:tcW w:w="240" w:type="dxa"/>
            <w:vAlign w:val="bottom"/>
          </w:tcPr>
          <w:p>
            <w:pPr>
              <w:spacing w:after="0"/>
              <w:rPr>
                <w:sz w:val="14"/>
                <w:szCs w:val="14"/>
                <w:color w:val="auto"/>
              </w:rPr>
            </w:pPr>
          </w:p>
        </w:tc>
        <w:tc>
          <w:tcPr>
            <w:tcW w:w="8080" w:type="dxa"/>
            <w:vAlign w:val="bottom"/>
            <w:vMerge w:val="restart"/>
          </w:tcPr>
          <w:p>
            <w:pPr>
              <w:ind w:left="3700"/>
              <w:spacing w:after="0"/>
              <w:rPr>
                <w:sz w:val="20"/>
                <w:szCs w:val="20"/>
                <w:color w:val="auto"/>
              </w:rPr>
            </w:pPr>
            <w:r>
              <w:rPr>
                <w:rFonts w:ascii="Arial" w:cs="Arial" w:eastAsia="Arial" w:hAnsi="Arial"/>
                <w:sz w:val="14"/>
                <w:szCs w:val="14"/>
                <w:b w:val="1"/>
                <w:bCs w:val="1"/>
                <w:color w:val="auto"/>
              </w:rPr>
              <w:t>Description</w:t>
            </w:r>
          </w:p>
        </w:tc>
        <w:tc>
          <w:tcPr>
            <w:tcW w:w="0" w:type="dxa"/>
            <w:vAlign w:val="bottom"/>
          </w:tcPr>
          <w:p>
            <w:pPr>
              <w:spacing w:after="0"/>
              <w:rPr>
                <w:sz w:val="1"/>
                <w:szCs w:val="1"/>
                <w:color w:val="auto"/>
              </w:rPr>
            </w:pPr>
          </w:p>
        </w:tc>
      </w:tr>
      <w:tr>
        <w:trPr>
          <w:trHeight w:val="171"/>
        </w:trPr>
        <w:tc>
          <w:tcPr>
            <w:tcW w:w="74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rPr>
              <w:t>No.</w:t>
            </w:r>
          </w:p>
        </w:tc>
        <w:tc>
          <w:tcPr>
            <w:tcW w:w="240" w:type="dxa"/>
            <w:vAlign w:val="bottom"/>
          </w:tcPr>
          <w:p>
            <w:pPr>
              <w:spacing w:after="0"/>
              <w:rPr>
                <w:sz w:val="14"/>
                <w:szCs w:val="14"/>
                <w:color w:val="auto"/>
              </w:rPr>
            </w:pPr>
          </w:p>
        </w:tc>
        <w:tc>
          <w:tcPr>
            <w:tcW w:w="8080" w:type="dxa"/>
            <w:vAlign w:val="bottom"/>
            <w:tcBorders>
              <w:bottom w:val="single" w:sz="8" w:color="auto"/>
            </w:tcBorders>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60"/>
        </w:trPr>
        <w:tc>
          <w:tcPr>
            <w:tcW w:w="740" w:type="dxa"/>
            <w:vAlign w:val="bottom"/>
          </w:tcPr>
          <w:p>
            <w:pPr>
              <w:spacing w:after="0"/>
              <w:rPr>
                <w:sz w:val="20"/>
                <w:szCs w:val="20"/>
                <w:color w:val="auto"/>
              </w:rPr>
            </w:pPr>
            <w:r>
              <w:rPr>
                <w:rFonts w:ascii="Arial" w:cs="Arial" w:eastAsia="Arial" w:hAnsi="Arial"/>
                <w:sz w:val="18"/>
                <w:szCs w:val="18"/>
                <w:color w:val="auto"/>
              </w:rPr>
              <w:t>99.1</w:t>
            </w:r>
          </w:p>
        </w:tc>
        <w:tc>
          <w:tcPr>
            <w:tcW w:w="8320" w:type="dxa"/>
            <w:vAlign w:val="bottom"/>
            <w:gridSpan w:val="2"/>
          </w:tcPr>
          <w:p>
            <w:pPr>
              <w:ind w:left="240"/>
              <w:spacing w:after="0"/>
              <w:rPr>
                <w:sz w:val="20"/>
                <w:szCs w:val="20"/>
                <w:color w:val="auto"/>
              </w:rPr>
            </w:pPr>
            <w:r>
              <w:rPr>
                <w:rFonts w:ascii="Arial" w:cs="Arial" w:eastAsia="Arial" w:hAnsi="Arial"/>
                <w:sz w:val="20"/>
                <w:szCs w:val="20"/>
                <w:color w:val="auto"/>
                <w:w w:val="89"/>
              </w:rPr>
              <w:t>Press release dated March 17, 2016 entitled “Voyager Therapeutics Provides Fourth Quarter and Full</w:t>
            </w:r>
          </w:p>
        </w:tc>
        <w:tc>
          <w:tcPr>
            <w:tcW w:w="0" w:type="dxa"/>
            <w:vAlign w:val="bottom"/>
          </w:tcPr>
          <w:p>
            <w:pPr>
              <w:spacing w:after="0"/>
              <w:rPr>
                <w:sz w:val="1"/>
                <w:szCs w:val="1"/>
                <w:color w:val="auto"/>
              </w:rPr>
            </w:pPr>
          </w:p>
        </w:tc>
      </w:tr>
      <w:tr>
        <w:trPr>
          <w:trHeight w:val="250"/>
        </w:trPr>
        <w:tc>
          <w:tcPr>
            <w:tcW w:w="740" w:type="dxa"/>
            <w:vAlign w:val="bottom"/>
          </w:tcPr>
          <w:p>
            <w:pPr>
              <w:spacing w:after="0"/>
              <w:rPr>
                <w:sz w:val="21"/>
                <w:szCs w:val="21"/>
                <w:color w:val="auto"/>
              </w:rPr>
            </w:pPr>
          </w:p>
        </w:tc>
        <w:tc>
          <w:tcPr>
            <w:tcW w:w="8320" w:type="dxa"/>
            <w:vAlign w:val="bottom"/>
            <w:gridSpan w:val="2"/>
          </w:tcPr>
          <w:p>
            <w:pPr>
              <w:ind w:left="240"/>
              <w:spacing w:after="0"/>
              <w:rPr>
                <w:sz w:val="20"/>
                <w:szCs w:val="20"/>
                <w:color w:val="auto"/>
              </w:rPr>
            </w:pPr>
            <w:r>
              <w:rPr>
                <w:rFonts w:ascii="Arial" w:cs="Arial" w:eastAsia="Arial" w:hAnsi="Arial"/>
                <w:sz w:val="20"/>
                <w:szCs w:val="20"/>
                <w:color w:val="auto"/>
              </w:rPr>
              <w:t>Year 2015 Investor Update”</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83185</wp:posOffset>
            </wp:positionV>
            <wp:extent cx="5754370" cy="2603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71" w:right="1419" w:bottom="1440" w:gutter="0" w:footer="0" w:header="0"/>
        </w:sectPr>
      </w:pPr>
    </w:p>
    <w:bookmarkStart w:id="2" w:name="page3"/>
    <w:bookmarkEnd w:id="2"/>
    <w:p>
      <w:pPr>
        <w:jc w:val="center"/>
        <w:ind w:right="-40"/>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ind w:right="179"/>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396" w:lineRule="exact"/>
        <w:rPr>
          <w:sz w:val="20"/>
          <w:szCs w:val="20"/>
          <w:color w:val="auto"/>
        </w:rPr>
      </w:pPr>
    </w:p>
    <w:p>
      <w:pPr>
        <w:spacing w:after="0"/>
        <w:tabs>
          <w:tab w:leader="none" w:pos="4520" w:val="left"/>
        </w:tabs>
        <w:rPr>
          <w:sz w:val="20"/>
          <w:szCs w:val="20"/>
          <w:color w:val="auto"/>
        </w:rPr>
      </w:pPr>
      <w:r>
        <w:rPr>
          <w:rFonts w:ascii="Arial" w:cs="Arial" w:eastAsia="Arial" w:hAnsi="Arial"/>
          <w:sz w:val="18"/>
          <w:szCs w:val="18"/>
          <w:color w:val="auto"/>
        </w:rPr>
        <w:t>Date: March 17, 2016</w:t>
      </w:r>
      <w:r>
        <w:rPr>
          <w:sz w:val="20"/>
          <w:szCs w:val="20"/>
          <w:color w:val="auto"/>
        </w:rPr>
        <w:tab/>
      </w:r>
      <w:r>
        <w:rPr>
          <w:rFonts w:ascii="Arial" w:cs="Arial" w:eastAsia="Arial" w:hAnsi="Arial"/>
          <w:sz w:val="18"/>
          <w:szCs w:val="18"/>
          <w:b w:val="1"/>
          <w:bCs w:val="1"/>
          <w:color w:val="auto"/>
        </w:rPr>
        <w:t>VOYAGER THERAPEUTICS, INC.</w:t>
      </w:r>
    </w:p>
    <w:p>
      <w:pPr>
        <w:spacing w:after="0" w:line="229" w:lineRule="exact"/>
        <w:rPr>
          <w:sz w:val="20"/>
          <w:szCs w:val="20"/>
          <w:color w:val="auto"/>
        </w:rPr>
      </w:pPr>
    </w:p>
    <w:p>
      <w:pPr>
        <w:ind w:left="4540"/>
        <w:spacing w:after="0"/>
        <w:tabs>
          <w:tab w:leader="none" w:pos="492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6"/>
          <w:szCs w:val="16"/>
          <w:color w:val="auto"/>
        </w:rPr>
        <w:t>/s/ Steven M. Paul</w:t>
      </w:r>
    </w:p>
    <w:p>
      <w:pPr>
        <w:spacing w:after="0" w:line="23" w:lineRule="exact"/>
        <w:rPr>
          <w:sz w:val="20"/>
          <w:szCs w:val="20"/>
          <w:color w:val="auto"/>
        </w:rPr>
      </w:pPr>
    </w:p>
    <w:p>
      <w:pPr>
        <w:ind w:left="4940"/>
        <w:spacing w:after="0"/>
        <w:rPr>
          <w:sz w:val="20"/>
          <w:szCs w:val="20"/>
          <w:color w:val="auto"/>
        </w:rPr>
      </w:pPr>
      <w:r>
        <w:rPr>
          <w:rFonts w:ascii="Arial" w:cs="Arial" w:eastAsia="Arial" w:hAnsi="Arial"/>
          <w:sz w:val="18"/>
          <w:szCs w:val="18"/>
          <w:color w:val="auto"/>
        </w:rPr>
        <w:t>Steven M. Paul, M.D.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3140710</wp:posOffset>
            </wp:positionH>
            <wp:positionV relativeFrom="paragraph">
              <wp:posOffset>-130810</wp:posOffset>
            </wp:positionV>
            <wp:extent cx="2615565"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2615565" cy="8890"/>
                    </a:xfrm>
                    <a:prstGeom prst="rect">
                      <a:avLst/>
                    </a:prstGeom>
                    <a:noFill/>
                  </pic:spPr>
                </pic:pic>
              </a:graphicData>
            </a:graphic>
          </wp:anchor>
        </w:drawing>
      </w:r>
    </w:p>
    <w:p>
      <w:pPr>
        <w:spacing w:after="0" w:line="3" w:lineRule="exact"/>
        <w:rPr>
          <w:sz w:val="20"/>
          <w:szCs w:val="20"/>
          <w:color w:val="auto"/>
        </w:rPr>
      </w:pPr>
    </w:p>
    <w:p>
      <w:pPr>
        <w:ind w:left="4940"/>
        <w:spacing w:after="0"/>
        <w:rPr>
          <w:sz w:val="20"/>
          <w:szCs w:val="20"/>
          <w:color w:val="auto"/>
        </w:rPr>
      </w:pPr>
      <w:r>
        <w:rPr>
          <w:rFonts w:ascii="Arial" w:cs="Arial" w:eastAsia="Arial" w:hAnsi="Arial"/>
          <w:sz w:val="18"/>
          <w:szCs w:val="18"/>
          <w:color w:val="auto"/>
        </w:rPr>
        <w:t>Chief Executive Officer and President</w:t>
      </w: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83185</wp:posOffset>
            </wp:positionV>
            <wp:extent cx="5754370" cy="2603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39"/>
          </w:cols>
          <w:pgMar w:left="1420" w:top="121" w:right="1440" w:bottom="1440" w:gutter="0" w:footer="0" w:header="0"/>
        </w:sectPr>
      </w:pPr>
    </w:p>
    <w:bookmarkStart w:id="3" w:name="page4"/>
    <w:bookmarkEnd w:id="3"/>
    <w:tbl>
      <w:tblPr>
        <w:tblLayout w:type="fixed"/>
        <w:tblInd w:w="0" w:type="dxa"/>
        <w:tblCellMar>
          <w:top w:w="0" w:type="dxa"/>
          <w:left w:w="0" w:type="dxa"/>
          <w:bottom w:w="0" w:type="dxa"/>
          <w:right w:w="0" w:type="dxa"/>
        </w:tblCellMar>
      </w:tblPr>
      <w:tr>
        <w:trPr>
          <w:trHeight w:val="234"/>
        </w:trPr>
        <w:tc>
          <w:tcPr>
            <w:tcW w:w="6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160" w:type="dxa"/>
            <w:vAlign w:val="bottom"/>
          </w:tcPr>
          <w:p>
            <w:pPr>
              <w:ind w:left="2940"/>
              <w:spacing w:after="0"/>
              <w:rPr>
                <w:sz w:val="20"/>
                <w:szCs w:val="20"/>
                <w:color w:val="auto"/>
              </w:rPr>
            </w:pPr>
            <w:r>
              <w:rPr>
                <w:rFonts w:ascii="Arial" w:cs="Arial" w:eastAsia="Arial" w:hAnsi="Arial"/>
                <w:sz w:val="18"/>
                <w:szCs w:val="18"/>
                <w:b w:val="1"/>
                <w:bCs w:val="1"/>
                <w:color w:val="auto"/>
              </w:rPr>
              <w:t>EXHIBIT INDEX</w:t>
            </w:r>
          </w:p>
        </w:tc>
        <w:tc>
          <w:tcPr>
            <w:tcW w:w="0" w:type="dxa"/>
            <w:vAlign w:val="bottom"/>
          </w:tcPr>
          <w:p>
            <w:pPr>
              <w:spacing w:after="0"/>
              <w:rPr>
                <w:sz w:val="1"/>
                <w:szCs w:val="1"/>
                <w:color w:val="auto"/>
              </w:rPr>
            </w:pPr>
          </w:p>
        </w:tc>
      </w:tr>
      <w:tr>
        <w:trPr>
          <w:trHeight w:val="355"/>
        </w:trPr>
        <w:tc>
          <w:tcPr>
            <w:tcW w:w="680" w:type="dxa"/>
            <w:vAlign w:val="bottom"/>
          </w:tcPr>
          <w:p>
            <w:pPr>
              <w:spacing w:after="0"/>
              <w:rPr>
                <w:sz w:val="20"/>
                <w:szCs w:val="20"/>
                <w:color w:val="auto"/>
              </w:rPr>
            </w:pPr>
            <w:r>
              <w:rPr>
                <w:rFonts w:ascii="Arial" w:cs="Arial" w:eastAsia="Arial" w:hAnsi="Arial"/>
                <w:sz w:val="14"/>
                <w:szCs w:val="14"/>
                <w:b w:val="1"/>
                <w:bCs w:val="1"/>
                <w:color w:val="auto"/>
              </w:rPr>
              <w:t>Exhibit</w:t>
            </w:r>
          </w:p>
        </w:tc>
        <w:tc>
          <w:tcPr>
            <w:tcW w:w="220" w:type="dxa"/>
            <w:vAlign w:val="bottom"/>
          </w:tcPr>
          <w:p>
            <w:pPr>
              <w:spacing w:after="0"/>
              <w:rPr>
                <w:sz w:val="24"/>
                <w:szCs w:val="24"/>
                <w:color w:val="auto"/>
              </w:rPr>
            </w:pPr>
          </w:p>
        </w:tc>
        <w:tc>
          <w:tcPr>
            <w:tcW w:w="8160" w:type="dxa"/>
            <w:vAlign w:val="bottom"/>
            <w:vMerge w:val="restart"/>
          </w:tcPr>
          <w:p>
            <w:pPr>
              <w:ind w:left="3720"/>
              <w:spacing w:after="0"/>
              <w:rPr>
                <w:sz w:val="20"/>
                <w:szCs w:val="20"/>
                <w:color w:val="auto"/>
              </w:rPr>
            </w:pPr>
            <w:r>
              <w:rPr>
                <w:rFonts w:ascii="Arial" w:cs="Arial" w:eastAsia="Arial" w:hAnsi="Arial"/>
                <w:sz w:val="14"/>
                <w:szCs w:val="14"/>
                <w:b w:val="1"/>
                <w:bCs w:val="1"/>
                <w:color w:val="auto"/>
              </w:rPr>
              <w:t>Description</w:t>
            </w:r>
          </w:p>
        </w:tc>
        <w:tc>
          <w:tcPr>
            <w:tcW w:w="0" w:type="dxa"/>
            <w:vAlign w:val="bottom"/>
          </w:tcPr>
          <w:p>
            <w:pPr>
              <w:spacing w:after="0"/>
              <w:rPr>
                <w:sz w:val="1"/>
                <w:szCs w:val="1"/>
                <w:color w:val="auto"/>
              </w:rPr>
            </w:pPr>
          </w:p>
        </w:tc>
      </w:tr>
      <w:tr>
        <w:trPr>
          <w:trHeight w:val="171"/>
        </w:trPr>
        <w:tc>
          <w:tcPr>
            <w:tcW w:w="68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rPr>
              <w:t>No.</w:t>
            </w:r>
          </w:p>
        </w:tc>
        <w:tc>
          <w:tcPr>
            <w:tcW w:w="220" w:type="dxa"/>
            <w:vAlign w:val="bottom"/>
          </w:tcPr>
          <w:p>
            <w:pPr>
              <w:spacing w:after="0"/>
              <w:rPr>
                <w:sz w:val="14"/>
                <w:szCs w:val="14"/>
                <w:color w:val="auto"/>
              </w:rPr>
            </w:pPr>
          </w:p>
        </w:tc>
        <w:tc>
          <w:tcPr>
            <w:tcW w:w="8160" w:type="dxa"/>
            <w:vAlign w:val="bottom"/>
            <w:tcBorders>
              <w:bottom w:val="single" w:sz="8" w:color="auto"/>
            </w:tcBorders>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422"/>
        </w:trPr>
        <w:tc>
          <w:tcPr>
            <w:tcW w:w="680" w:type="dxa"/>
            <w:vAlign w:val="bottom"/>
          </w:tcPr>
          <w:p>
            <w:pPr>
              <w:spacing w:after="0"/>
              <w:rPr>
                <w:sz w:val="20"/>
                <w:szCs w:val="20"/>
                <w:color w:val="auto"/>
              </w:rPr>
            </w:pPr>
            <w:r>
              <w:rPr>
                <w:rFonts w:ascii="Arial" w:cs="Arial" w:eastAsia="Arial" w:hAnsi="Arial"/>
                <w:sz w:val="20"/>
                <w:szCs w:val="20"/>
                <w:color w:val="auto"/>
              </w:rPr>
              <w:t>99.1</w:t>
            </w:r>
          </w:p>
        </w:tc>
        <w:tc>
          <w:tcPr>
            <w:tcW w:w="8380" w:type="dxa"/>
            <w:vAlign w:val="bottom"/>
            <w:gridSpan w:val="2"/>
          </w:tcPr>
          <w:p>
            <w:pPr>
              <w:ind w:left="220"/>
              <w:spacing w:after="0"/>
              <w:rPr>
                <w:sz w:val="20"/>
                <w:szCs w:val="20"/>
                <w:color w:val="auto"/>
              </w:rPr>
            </w:pPr>
            <w:r>
              <w:rPr>
                <w:rFonts w:ascii="Arial" w:cs="Arial" w:eastAsia="Arial" w:hAnsi="Arial"/>
                <w:sz w:val="20"/>
                <w:szCs w:val="20"/>
                <w:color w:val="auto"/>
                <w:w w:val="90"/>
              </w:rPr>
              <w:t>Press release dated March 17, 2016 entitled “Voyager Therapeutics Provides Fourth Quarter and Full</w:t>
            </w:r>
          </w:p>
        </w:tc>
        <w:tc>
          <w:tcPr>
            <w:tcW w:w="0" w:type="dxa"/>
            <w:vAlign w:val="bottom"/>
          </w:tcPr>
          <w:p>
            <w:pPr>
              <w:spacing w:after="0"/>
              <w:rPr>
                <w:sz w:val="1"/>
                <w:szCs w:val="1"/>
                <w:color w:val="auto"/>
              </w:rPr>
            </w:pPr>
          </w:p>
        </w:tc>
      </w:tr>
      <w:tr>
        <w:trPr>
          <w:trHeight w:val="250"/>
        </w:trPr>
        <w:tc>
          <w:tcPr>
            <w:tcW w:w="680" w:type="dxa"/>
            <w:vAlign w:val="bottom"/>
          </w:tcPr>
          <w:p>
            <w:pPr>
              <w:spacing w:after="0"/>
              <w:rPr>
                <w:sz w:val="21"/>
                <w:szCs w:val="21"/>
                <w:color w:val="auto"/>
              </w:rPr>
            </w:pPr>
          </w:p>
        </w:tc>
        <w:tc>
          <w:tcPr>
            <w:tcW w:w="8380" w:type="dxa"/>
            <w:vAlign w:val="bottom"/>
            <w:gridSpan w:val="2"/>
          </w:tcPr>
          <w:p>
            <w:pPr>
              <w:ind w:left="220"/>
              <w:spacing w:after="0"/>
              <w:rPr>
                <w:sz w:val="20"/>
                <w:szCs w:val="20"/>
                <w:color w:val="auto"/>
              </w:rPr>
            </w:pPr>
            <w:r>
              <w:rPr>
                <w:rFonts w:ascii="Arial" w:cs="Arial" w:eastAsia="Arial" w:hAnsi="Arial"/>
                <w:sz w:val="20"/>
                <w:szCs w:val="20"/>
                <w:color w:val="auto"/>
              </w:rPr>
              <w:t>Year 2015 Investor Update”</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83185</wp:posOffset>
            </wp:positionV>
            <wp:extent cx="5754370" cy="2603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21" w:right="1419" w:bottom="1440" w:gutter="0" w:footer="0" w:header="0"/>
        </w:sectPr>
      </w:pPr>
    </w:p>
    <w:bookmarkStart w:id="4" w:name="page5"/>
    <w:bookmarkEnd w:id="4"/>
    <w:p>
      <w:pPr>
        <w:jc w:val="right"/>
        <w:ind w:right="479"/>
        <w:spacing w:after="0"/>
        <w:rPr>
          <w:sz w:val="20"/>
          <w:szCs w:val="20"/>
          <w:color w:val="auto"/>
        </w:rPr>
      </w:pPr>
      <w:r>
        <w:rPr>
          <w:rFonts w:ascii="Arial" w:cs="Arial" w:eastAsia="Arial" w:hAnsi="Arial"/>
          <w:sz w:val="22"/>
          <w:szCs w:val="22"/>
          <w:b w:val="1"/>
          <w:bCs w:val="1"/>
          <w:color w:val="auto"/>
        </w:rPr>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306705</wp:posOffset>
            </wp:positionH>
            <wp:positionV relativeFrom="paragraph">
              <wp:posOffset>11430</wp:posOffset>
            </wp:positionV>
            <wp:extent cx="1886585" cy="63436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886585" cy="63436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jc w:val="center"/>
        <w:spacing w:after="0"/>
        <w:rPr>
          <w:sz w:val="20"/>
          <w:szCs w:val="20"/>
          <w:color w:val="auto"/>
        </w:rPr>
      </w:pPr>
      <w:r>
        <w:rPr>
          <w:rFonts w:ascii="Arial" w:cs="Arial" w:eastAsia="Arial" w:hAnsi="Arial"/>
          <w:sz w:val="19"/>
          <w:szCs w:val="19"/>
          <w:b w:val="1"/>
          <w:bCs w:val="1"/>
          <w:color w:val="auto"/>
        </w:rPr>
        <w:t>Voyager Therapeutics Provides Fourth Quarter and Full Year 2015 Investor Update</w:t>
      </w:r>
    </w:p>
    <w:p>
      <w:pPr>
        <w:spacing w:after="0" w:line="274" w:lineRule="exact"/>
        <w:rPr>
          <w:sz w:val="20"/>
          <w:szCs w:val="20"/>
          <w:color w:val="auto"/>
        </w:rPr>
      </w:pPr>
    </w:p>
    <w:p>
      <w:pPr>
        <w:jc w:val="center"/>
        <w:ind w:left="480" w:right="479"/>
        <w:spacing w:after="0" w:line="251" w:lineRule="auto"/>
        <w:rPr>
          <w:sz w:val="20"/>
          <w:szCs w:val="20"/>
          <w:color w:val="auto"/>
        </w:rPr>
      </w:pPr>
      <w:r>
        <w:rPr>
          <w:rFonts w:ascii="Arial" w:cs="Arial" w:eastAsia="Arial" w:hAnsi="Arial"/>
          <w:sz w:val="22"/>
          <w:szCs w:val="22"/>
          <w:i w:val="1"/>
          <w:iCs w:val="1"/>
          <w:color w:val="auto"/>
        </w:rPr>
        <w:t>Top-line Clinical Proof-of-Concept Data for VY-AADC01 for Advanced Parkinson’s Disease On Track for Release in the Fourth Quarter of 2016</w:t>
      </w:r>
    </w:p>
    <w:p>
      <w:pPr>
        <w:spacing w:after="0" w:line="200" w:lineRule="exact"/>
        <w:rPr>
          <w:sz w:val="20"/>
          <w:szCs w:val="20"/>
          <w:color w:val="auto"/>
        </w:rPr>
      </w:pPr>
    </w:p>
    <w:p>
      <w:pPr>
        <w:jc w:val="center"/>
        <w:spacing w:after="0"/>
        <w:rPr>
          <w:sz w:val="20"/>
          <w:szCs w:val="20"/>
          <w:color w:val="auto"/>
        </w:rPr>
      </w:pPr>
      <w:r>
        <w:rPr>
          <w:rFonts w:ascii="Arial" w:cs="Arial" w:eastAsia="Arial" w:hAnsi="Arial"/>
          <w:sz w:val="22"/>
          <w:szCs w:val="22"/>
          <w:i w:val="1"/>
          <w:iCs w:val="1"/>
          <w:color w:val="auto"/>
        </w:rPr>
        <w:t>Strong Cash Position Projected to Support Operations into 2019</w:t>
      </w:r>
    </w:p>
    <w:p>
      <w:pPr>
        <w:spacing w:after="0" w:line="200" w:lineRule="exact"/>
        <w:rPr>
          <w:sz w:val="20"/>
          <w:szCs w:val="20"/>
          <w:color w:val="auto"/>
        </w:rPr>
      </w:pPr>
    </w:p>
    <w:p>
      <w:pPr>
        <w:spacing w:after="0" w:line="270" w:lineRule="exact"/>
        <w:rPr>
          <w:sz w:val="20"/>
          <w:szCs w:val="20"/>
          <w:color w:val="auto"/>
        </w:rPr>
      </w:pPr>
    </w:p>
    <w:p>
      <w:pPr>
        <w:ind w:left="480" w:right="519"/>
        <w:spacing w:after="0" w:line="289" w:lineRule="auto"/>
        <w:rPr>
          <w:sz w:val="20"/>
          <w:szCs w:val="20"/>
          <w:color w:val="auto"/>
        </w:rPr>
      </w:pPr>
      <w:r>
        <w:rPr>
          <w:rFonts w:ascii="Arial" w:cs="Arial" w:eastAsia="Arial" w:hAnsi="Arial"/>
          <w:sz w:val="19"/>
          <w:szCs w:val="19"/>
          <w:b w:val="1"/>
          <w:bCs w:val="1"/>
          <w:color w:val="auto"/>
        </w:rPr>
        <w:t xml:space="preserve">Cambridge, Mass., March 17, 2016 </w:t>
      </w:r>
      <w:r>
        <w:rPr>
          <w:rFonts w:ascii="Arial" w:cs="Arial" w:eastAsia="Arial" w:hAnsi="Arial"/>
          <w:sz w:val="19"/>
          <w:szCs w:val="19"/>
          <w:color w:val="auto"/>
        </w:rPr>
        <w:t>– Voyager Therapeutics, Inc. (NASDAQ: VYGR), a</w:t>
      </w:r>
      <w:r>
        <w:rPr>
          <w:rFonts w:ascii="Arial" w:cs="Arial" w:eastAsia="Arial" w:hAnsi="Arial"/>
          <w:sz w:val="19"/>
          <w:szCs w:val="19"/>
          <w:b w:val="1"/>
          <w:bCs w:val="1"/>
          <w:color w:val="auto"/>
        </w:rPr>
        <w:t xml:space="preserve"> </w:t>
      </w:r>
      <w:r>
        <w:rPr>
          <w:rFonts w:ascii="Arial" w:cs="Arial" w:eastAsia="Arial" w:hAnsi="Arial"/>
          <w:sz w:val="19"/>
          <w:szCs w:val="19"/>
          <w:color w:val="auto"/>
        </w:rPr>
        <w:t>clinical-stage gene therapy company developing life-changing treatments for severe diseases of the central nervous system (CNS), today reported its 2015 fourth quarter and full year financial results, and also provided corporate highlights and upcoming milestones.</w:t>
      </w:r>
    </w:p>
    <w:p>
      <w:pPr>
        <w:spacing w:after="0" w:line="169" w:lineRule="exact"/>
        <w:rPr>
          <w:sz w:val="20"/>
          <w:szCs w:val="20"/>
          <w:color w:val="auto"/>
        </w:rPr>
      </w:pPr>
    </w:p>
    <w:p>
      <w:pPr>
        <w:ind w:left="480" w:right="499"/>
        <w:spacing w:after="0" w:line="275" w:lineRule="auto"/>
        <w:rPr>
          <w:sz w:val="20"/>
          <w:szCs w:val="20"/>
          <w:color w:val="auto"/>
        </w:rPr>
      </w:pPr>
      <w:r>
        <w:rPr>
          <w:rFonts w:ascii="Arial" w:cs="Arial" w:eastAsia="Arial" w:hAnsi="Arial"/>
          <w:sz w:val="19"/>
          <w:szCs w:val="19"/>
          <w:color w:val="auto"/>
        </w:rPr>
        <w:t>“2015 was certainly a year of execution on all fronts and placed Voyager in an excellent position heading into 2016,” said Steven Paul, M.D., president and chief executive officer of Voyager Therapeutics. “We are poised to continue to execute across our product pipeline and make meaningful development advances as we translate the promise of gene therapy into innovative therapies for patients suffering from severe CNS disorders. Most notably, we continue to be on track to deliver top-line proof-of-concept clinical results for our Parkinson’s disease program, VY-AADC01, before the end of the year. We also anticipate making significant progress toward the clinic for our key preclinical programs.”</w:t>
      </w:r>
    </w:p>
    <w:p>
      <w:pPr>
        <w:spacing w:after="0" w:line="179" w:lineRule="exact"/>
        <w:rPr>
          <w:sz w:val="20"/>
          <w:szCs w:val="20"/>
          <w:color w:val="auto"/>
        </w:rPr>
      </w:pPr>
    </w:p>
    <w:p>
      <w:pPr>
        <w:ind w:left="480"/>
        <w:spacing w:after="0"/>
        <w:rPr>
          <w:sz w:val="20"/>
          <w:szCs w:val="20"/>
          <w:color w:val="auto"/>
        </w:rPr>
      </w:pPr>
      <w:r>
        <w:rPr>
          <w:rFonts w:ascii="Arial" w:cs="Arial" w:eastAsia="Arial" w:hAnsi="Arial"/>
          <w:sz w:val="22"/>
          <w:szCs w:val="22"/>
          <w:b w:val="1"/>
          <w:bCs w:val="1"/>
          <w:color w:val="auto"/>
        </w:rPr>
        <w:t>2015 Key Achievements and Corporate Highlights</w:t>
      </w:r>
    </w:p>
    <w:p>
      <w:pPr>
        <w:spacing w:after="0" w:line="239" w:lineRule="exact"/>
        <w:rPr>
          <w:sz w:val="20"/>
          <w:szCs w:val="20"/>
          <w:color w:val="auto"/>
        </w:rPr>
      </w:pPr>
    </w:p>
    <w:p>
      <w:pPr>
        <w:ind w:left="860" w:right="679" w:hanging="53"/>
        <w:spacing w:after="0" w:line="252" w:lineRule="auto"/>
        <w:rPr>
          <w:sz w:val="20"/>
          <w:szCs w:val="20"/>
          <w:color w:val="auto"/>
        </w:rPr>
      </w:pPr>
      <w:r>
        <w:rPr>
          <w:rFonts w:ascii="Arial" w:cs="Arial" w:eastAsia="Arial" w:hAnsi="Arial"/>
          <w:sz w:val="18"/>
          <w:szCs w:val="18"/>
          <w:color w:val="auto"/>
        </w:rPr>
        <w:t>·</w:t>
      </w:r>
      <w:r>
        <w:rPr>
          <w:rFonts w:ascii="Arial" w:cs="Arial" w:eastAsia="Arial" w:hAnsi="Arial"/>
          <w:sz w:val="21"/>
          <w:szCs w:val="21"/>
          <w:color w:val="auto"/>
        </w:rPr>
        <w:t>Reported encouraging interim clinical results in October 2015 from the ongoing Phase</w:t>
      </w:r>
      <w:r>
        <w:rPr>
          <w:rFonts w:ascii="Arial" w:cs="Arial" w:eastAsia="Arial" w:hAnsi="Arial"/>
          <w:sz w:val="18"/>
          <w:szCs w:val="18"/>
          <w:color w:val="auto"/>
        </w:rPr>
        <w:t xml:space="preserve"> </w:t>
      </w:r>
      <w:r>
        <w:rPr>
          <w:rFonts w:ascii="Arial" w:cs="Arial" w:eastAsia="Arial" w:hAnsi="Arial"/>
          <w:sz w:val="21"/>
          <w:szCs w:val="21"/>
          <w:color w:val="auto"/>
        </w:rPr>
        <w:t>1b trial of VY-AADC01 in advanced Parkinson’s disease. Also in October, the investigational new drug application (IND) for VY-AADC01 was successfully transferred from the University of California, San Francisco to Voyager.</w:t>
      </w:r>
    </w:p>
    <w:p>
      <w:pPr>
        <w:spacing w:after="0" w:line="66" w:lineRule="exact"/>
        <w:rPr>
          <w:sz w:val="20"/>
          <w:szCs w:val="20"/>
          <w:color w:val="auto"/>
        </w:rPr>
      </w:pPr>
    </w:p>
    <w:p>
      <w:pPr>
        <w:ind w:left="860" w:right="699" w:hanging="53"/>
        <w:spacing w:after="0" w:line="259" w:lineRule="auto"/>
        <w:rPr>
          <w:sz w:val="20"/>
          <w:szCs w:val="20"/>
          <w:color w:val="auto"/>
        </w:rPr>
      </w:pPr>
      <w:r>
        <w:rPr>
          <w:rFonts w:ascii="Arial" w:cs="Arial" w:eastAsia="Arial" w:hAnsi="Arial"/>
          <w:sz w:val="17"/>
          <w:szCs w:val="17"/>
          <w:color w:val="auto"/>
        </w:rPr>
        <w:t>·</w:t>
      </w:r>
      <w:r>
        <w:rPr>
          <w:rFonts w:ascii="Arial" w:cs="Arial" w:eastAsia="Arial" w:hAnsi="Arial"/>
          <w:sz w:val="20"/>
          <w:szCs w:val="20"/>
          <w:color w:val="auto"/>
        </w:rPr>
        <w:t>Announced a transformative strategic collaboration with Sanofi Genzyme in February</w:t>
      </w:r>
      <w:r>
        <w:rPr>
          <w:rFonts w:ascii="Arial" w:cs="Arial" w:eastAsia="Arial" w:hAnsi="Arial"/>
          <w:sz w:val="17"/>
          <w:szCs w:val="17"/>
          <w:color w:val="auto"/>
        </w:rPr>
        <w:t xml:space="preserve"> </w:t>
      </w:r>
      <w:r>
        <w:rPr>
          <w:rFonts w:ascii="Arial" w:cs="Arial" w:eastAsia="Arial" w:hAnsi="Arial"/>
          <w:sz w:val="20"/>
          <w:szCs w:val="20"/>
          <w:color w:val="auto"/>
        </w:rPr>
        <w:t>2015. Under the agreement, Voyager received a $100.0 million upfront commitment, including $65.0 million in upfront cash, a $30.0 million upfront equity investment and an in-kind commitment of $5.0 million, and is eligible to receive total future potential option and milestone payments of $745.0 million. Per the collaboration agreement, Voyager retained U.S. rights to its VY-AADC01, VY-FXN01 and VY-HTT01 product programs. In addition, Voyager retained worldwide rights to VY-SOD101 for a monogenic form of amyotrophic lateral sclerosis (ALS), which is outside the scope of the collaboration agreement.</w:t>
      </w:r>
    </w:p>
    <w:p>
      <w:pPr>
        <w:spacing w:after="0" w:line="62" w:lineRule="exact"/>
        <w:rPr>
          <w:sz w:val="20"/>
          <w:szCs w:val="20"/>
          <w:color w:val="auto"/>
        </w:rPr>
      </w:pPr>
    </w:p>
    <w:p>
      <w:pPr>
        <w:ind w:left="860" w:right="539" w:hanging="53"/>
        <w:spacing w:after="0" w:line="274" w:lineRule="auto"/>
        <w:rPr>
          <w:sz w:val="20"/>
          <w:szCs w:val="20"/>
          <w:color w:val="auto"/>
        </w:rPr>
      </w:pPr>
      <w:r>
        <w:rPr>
          <w:rFonts w:ascii="Arial" w:cs="Arial" w:eastAsia="Arial" w:hAnsi="Arial"/>
          <w:sz w:val="18"/>
          <w:szCs w:val="18"/>
          <w:color w:val="auto"/>
        </w:rPr>
        <w:t>·</w:t>
      </w:r>
      <w:r>
        <w:rPr>
          <w:rFonts w:ascii="Arial" w:cs="Arial" w:eastAsia="Arial" w:hAnsi="Arial"/>
          <w:sz w:val="21"/>
          <w:szCs w:val="21"/>
          <w:color w:val="auto"/>
        </w:rPr>
        <w:t>Continued to strengthen the overall organization, including key additions to the Voyager</w:t>
      </w:r>
      <w:r>
        <w:rPr>
          <w:rFonts w:ascii="Arial" w:cs="Arial" w:eastAsia="Arial" w:hAnsi="Arial"/>
          <w:sz w:val="18"/>
          <w:szCs w:val="18"/>
          <w:color w:val="auto"/>
        </w:rPr>
        <w:t xml:space="preserve"> </w:t>
      </w:r>
      <w:r>
        <w:rPr>
          <w:rFonts w:ascii="Arial" w:cs="Arial" w:eastAsia="Arial" w:hAnsi="Arial"/>
          <w:sz w:val="21"/>
          <w:szCs w:val="21"/>
          <w:color w:val="auto"/>
        </w:rPr>
        <w:t>leadership team and board of directors. In the middle of 2015, the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306705</wp:posOffset>
            </wp:positionH>
            <wp:positionV relativeFrom="paragraph">
              <wp:posOffset>177800</wp:posOffset>
            </wp:positionV>
            <wp:extent cx="5120005" cy="2603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5120005" cy="26035"/>
                    </a:xfrm>
                    <a:prstGeom prst="rect">
                      <a:avLst/>
                    </a:prstGeom>
                    <a:noFill/>
                  </pic:spPr>
                </pic:pic>
              </a:graphicData>
            </a:graphic>
          </wp:anchor>
        </w:drawing>
      </w:r>
    </w:p>
    <w:p>
      <w:pPr>
        <w:sectPr>
          <w:pgSz w:w="11900" w:h="16838" w:orient="portrait"/>
          <w:cols w:equalWidth="0" w:num="1">
            <w:col w:w="9019"/>
          </w:cols>
          <w:pgMar w:left="1440" w:top="112" w:right="1440" w:bottom="1440" w:gutter="0" w:footer="0" w:header="0"/>
        </w:sectPr>
      </w:pPr>
    </w:p>
    <w:bookmarkStart w:id="5" w:name="page6"/>
    <w:bookmarkEnd w:id="5"/>
    <w:p>
      <w:pPr>
        <w:ind w:left="1140" w:right="499"/>
        <w:spacing w:after="0" w:line="279" w:lineRule="auto"/>
        <w:rPr>
          <w:sz w:val="20"/>
          <w:szCs w:val="20"/>
          <w:color w:val="auto"/>
        </w:rPr>
      </w:pPr>
      <w:r>
        <w:rPr>
          <w:rFonts w:ascii="Arial" w:cs="Arial" w:eastAsia="Arial" w:hAnsi="Arial"/>
          <w:sz w:val="19"/>
          <w:szCs w:val="19"/>
          <w:color w:val="auto"/>
        </w:rPr>
        <w:t>company appointed three industry and scientific leaders to its board of directors: Perry Karsen, former chief executive officer of the Celgene Cellular Therapeutics division of Celgene Corporation; Michael Higgins, former chief operating officer and chief financial officer of Ironwood Pharmaceuticals, Inc. and entrepreneur-in-residence at Polaris Partners; and Steven Hyman, M.D., director of the Stanley Center for Psychiatric Research at the Broad Institute of Harvard and MIT.</w:t>
      </w:r>
    </w:p>
    <w:p>
      <w:pPr>
        <w:spacing w:after="0" w:line="43" w:lineRule="exact"/>
        <w:rPr>
          <w:sz w:val="20"/>
          <w:szCs w:val="20"/>
          <w:color w:val="auto"/>
        </w:rPr>
      </w:pPr>
    </w:p>
    <w:p>
      <w:pPr>
        <w:ind w:left="860" w:right="559" w:hanging="53"/>
        <w:spacing w:after="0" w:line="258" w:lineRule="auto"/>
        <w:rPr>
          <w:sz w:val="20"/>
          <w:szCs w:val="20"/>
          <w:color w:val="auto"/>
        </w:rPr>
      </w:pPr>
      <w:r>
        <w:rPr>
          <w:rFonts w:ascii="Arial" w:cs="Arial" w:eastAsia="Arial" w:hAnsi="Arial"/>
          <w:sz w:val="18"/>
          <w:szCs w:val="18"/>
          <w:color w:val="auto"/>
        </w:rPr>
        <w:t>·</w:t>
      </w:r>
      <w:r>
        <w:rPr>
          <w:rFonts w:ascii="Arial" w:cs="Arial" w:eastAsia="Arial" w:hAnsi="Arial"/>
          <w:sz w:val="21"/>
          <w:szCs w:val="21"/>
          <w:color w:val="auto"/>
        </w:rPr>
        <w:t>Closed multiple additional financings to support advancement of Voyager’s product</w:t>
      </w:r>
      <w:r>
        <w:rPr>
          <w:rFonts w:ascii="Arial" w:cs="Arial" w:eastAsia="Arial" w:hAnsi="Arial"/>
          <w:sz w:val="18"/>
          <w:szCs w:val="18"/>
          <w:color w:val="auto"/>
        </w:rPr>
        <w:t xml:space="preserve"> </w:t>
      </w:r>
      <w:r>
        <w:rPr>
          <w:rFonts w:ascii="Arial" w:cs="Arial" w:eastAsia="Arial" w:hAnsi="Arial"/>
          <w:sz w:val="21"/>
          <w:szCs w:val="21"/>
          <w:color w:val="auto"/>
        </w:rPr>
        <w:t>pipeline and engine, including a $60 million Series B financing in April 2015 and a $73 million (net proceeds) initial public offering in November 2015.</w:t>
      </w:r>
    </w:p>
    <w:p>
      <w:pPr>
        <w:spacing w:after="0" w:line="59" w:lineRule="exact"/>
        <w:rPr>
          <w:sz w:val="20"/>
          <w:szCs w:val="20"/>
          <w:color w:val="auto"/>
        </w:rPr>
      </w:pPr>
    </w:p>
    <w:p>
      <w:pPr>
        <w:ind w:left="860" w:right="539" w:hanging="53"/>
        <w:spacing w:after="0" w:line="274" w:lineRule="auto"/>
        <w:rPr>
          <w:sz w:val="20"/>
          <w:szCs w:val="20"/>
          <w:color w:val="auto"/>
        </w:rPr>
      </w:pPr>
      <w:r>
        <w:rPr>
          <w:rFonts w:ascii="Arial" w:cs="Arial" w:eastAsia="Arial" w:hAnsi="Arial"/>
          <w:sz w:val="18"/>
          <w:szCs w:val="18"/>
          <w:color w:val="auto"/>
        </w:rPr>
        <w:t>·</w:t>
      </w:r>
      <w:r>
        <w:rPr>
          <w:rFonts w:ascii="Arial" w:cs="Arial" w:eastAsia="Arial" w:hAnsi="Arial"/>
          <w:sz w:val="21"/>
          <w:szCs w:val="21"/>
          <w:color w:val="auto"/>
        </w:rPr>
        <w:t>Ended 2015 in a strong financial position with approximately $224 million in cash, cash</w:t>
      </w:r>
      <w:r>
        <w:rPr>
          <w:rFonts w:ascii="Arial" w:cs="Arial" w:eastAsia="Arial" w:hAnsi="Arial"/>
          <w:sz w:val="18"/>
          <w:szCs w:val="18"/>
          <w:color w:val="auto"/>
        </w:rPr>
        <w:t xml:space="preserve"> </w:t>
      </w:r>
      <w:r>
        <w:rPr>
          <w:rFonts w:ascii="Arial" w:cs="Arial" w:eastAsia="Arial" w:hAnsi="Arial"/>
          <w:sz w:val="21"/>
          <w:szCs w:val="21"/>
          <w:color w:val="auto"/>
        </w:rPr>
        <w:t>equivalents and marketable securities.</w:t>
      </w:r>
    </w:p>
    <w:p>
      <w:pPr>
        <w:spacing w:after="0" w:line="172" w:lineRule="exact"/>
        <w:rPr>
          <w:sz w:val="20"/>
          <w:szCs w:val="20"/>
          <w:color w:val="auto"/>
        </w:rPr>
      </w:pPr>
    </w:p>
    <w:p>
      <w:pPr>
        <w:ind w:left="480"/>
        <w:spacing w:after="0"/>
        <w:rPr>
          <w:sz w:val="20"/>
          <w:szCs w:val="20"/>
          <w:color w:val="auto"/>
        </w:rPr>
      </w:pPr>
      <w:r>
        <w:rPr>
          <w:rFonts w:ascii="Arial" w:cs="Arial" w:eastAsia="Arial" w:hAnsi="Arial"/>
          <w:sz w:val="22"/>
          <w:szCs w:val="22"/>
          <w:b w:val="1"/>
          <w:bCs w:val="1"/>
          <w:color w:val="auto"/>
        </w:rPr>
        <w:t>Product Pipeline Update and Upcoming Milestones</w:t>
      </w:r>
    </w:p>
    <w:p>
      <w:pPr>
        <w:spacing w:after="0" w:line="239" w:lineRule="exact"/>
        <w:rPr>
          <w:sz w:val="20"/>
          <w:szCs w:val="20"/>
          <w:color w:val="auto"/>
        </w:rPr>
      </w:pPr>
    </w:p>
    <w:p>
      <w:pPr>
        <w:ind w:left="860" w:right="519" w:hanging="53"/>
        <w:spacing w:after="0" w:line="269" w:lineRule="auto"/>
        <w:rPr>
          <w:sz w:val="20"/>
          <w:szCs w:val="20"/>
          <w:color w:val="auto"/>
        </w:rPr>
      </w:pPr>
      <w:r>
        <w:rPr>
          <w:rFonts w:ascii="Arial" w:cs="Arial" w:eastAsia="Arial" w:hAnsi="Arial"/>
          <w:sz w:val="17"/>
          <w:szCs w:val="17"/>
          <w:color w:val="auto"/>
        </w:rPr>
        <w:t>·</w:t>
      </w:r>
      <w:r>
        <w:rPr>
          <w:rFonts w:ascii="Arial" w:cs="Arial" w:eastAsia="Arial" w:hAnsi="Arial"/>
          <w:sz w:val="20"/>
          <w:szCs w:val="20"/>
          <w:color w:val="auto"/>
        </w:rPr>
        <w:t>Enrollment in the Phase 1b clinical trial of VY-AADC01 in patients with advanced</w:t>
      </w:r>
      <w:r>
        <w:rPr>
          <w:rFonts w:ascii="Arial" w:cs="Arial" w:eastAsia="Arial" w:hAnsi="Arial"/>
          <w:sz w:val="17"/>
          <w:szCs w:val="17"/>
          <w:color w:val="auto"/>
        </w:rPr>
        <w:t xml:space="preserve"> </w:t>
      </w:r>
      <w:r>
        <w:rPr>
          <w:rFonts w:ascii="Arial" w:cs="Arial" w:eastAsia="Arial" w:hAnsi="Arial"/>
          <w:sz w:val="20"/>
          <w:szCs w:val="20"/>
          <w:color w:val="auto"/>
        </w:rPr>
        <w:t>Parkinson’s disease remains on track and Voyager expects to report top-line human proof-of-concept data in the fourth quarter of 2016. These results will include six-month follow up data from the first 10 patients (cohorts 1 and 2) enrolled in this trial.</w:t>
      </w:r>
    </w:p>
    <w:p>
      <w:pPr>
        <w:spacing w:after="0" w:line="49" w:lineRule="exact"/>
        <w:rPr>
          <w:sz w:val="20"/>
          <w:szCs w:val="20"/>
          <w:color w:val="auto"/>
        </w:rPr>
      </w:pPr>
    </w:p>
    <w:p>
      <w:pPr>
        <w:ind w:left="860" w:right="539" w:hanging="53"/>
        <w:spacing w:after="0" w:line="297" w:lineRule="auto"/>
        <w:rPr>
          <w:sz w:val="20"/>
          <w:szCs w:val="20"/>
          <w:color w:val="auto"/>
        </w:rPr>
      </w:pPr>
      <w:r>
        <w:rPr>
          <w:rFonts w:ascii="Arial" w:cs="Arial" w:eastAsia="Arial" w:hAnsi="Arial"/>
          <w:sz w:val="16"/>
          <w:szCs w:val="16"/>
          <w:color w:val="auto"/>
        </w:rPr>
        <w:t>·</w:t>
      </w:r>
      <w:r>
        <w:rPr>
          <w:rFonts w:ascii="Arial" w:cs="Arial" w:eastAsia="Arial" w:hAnsi="Arial"/>
          <w:sz w:val="19"/>
          <w:szCs w:val="19"/>
          <w:color w:val="auto"/>
        </w:rPr>
        <w:t>As planned, a second clinical trial site for VY-AADC01 has been opened and is actively</w:t>
      </w:r>
      <w:r>
        <w:rPr>
          <w:rFonts w:ascii="Arial" w:cs="Arial" w:eastAsia="Arial" w:hAnsi="Arial"/>
          <w:sz w:val="16"/>
          <w:szCs w:val="16"/>
          <w:color w:val="auto"/>
        </w:rPr>
        <w:t xml:space="preserve"> </w:t>
      </w:r>
      <w:r>
        <w:rPr>
          <w:rFonts w:ascii="Arial" w:cs="Arial" w:eastAsia="Arial" w:hAnsi="Arial"/>
          <w:sz w:val="19"/>
          <w:szCs w:val="19"/>
          <w:color w:val="auto"/>
        </w:rPr>
        <w:t>enrolling patients at the University of Pittsburgh in Pittsburgh, Pa. The initial clinical trial site at the University of California, San Francisco also continues to enroll patients.</w:t>
      </w:r>
    </w:p>
    <w:p>
      <w:pPr>
        <w:spacing w:after="0" w:line="26" w:lineRule="exact"/>
        <w:rPr>
          <w:sz w:val="20"/>
          <w:szCs w:val="20"/>
          <w:color w:val="auto"/>
        </w:rPr>
      </w:pPr>
    </w:p>
    <w:p>
      <w:pPr>
        <w:ind w:left="860" w:right="579" w:hanging="53"/>
        <w:spacing w:after="0" w:line="265" w:lineRule="auto"/>
        <w:rPr>
          <w:sz w:val="20"/>
          <w:szCs w:val="20"/>
          <w:color w:val="auto"/>
        </w:rPr>
      </w:pPr>
      <w:r>
        <w:rPr>
          <w:rFonts w:ascii="Arial" w:cs="Arial" w:eastAsia="Arial" w:hAnsi="Arial"/>
          <w:sz w:val="17"/>
          <w:szCs w:val="17"/>
          <w:color w:val="auto"/>
        </w:rPr>
        <w:t>·</w:t>
      </w:r>
      <w:r>
        <w:rPr>
          <w:rFonts w:ascii="Arial" w:cs="Arial" w:eastAsia="Arial" w:hAnsi="Arial"/>
          <w:sz w:val="20"/>
          <w:szCs w:val="20"/>
          <w:color w:val="auto"/>
        </w:rPr>
        <w:t>GMP production activities for VY-AADC01 were initiated in early 2016 in</w:t>
      </w:r>
      <w:r>
        <w:rPr>
          <w:rFonts w:ascii="Arial" w:cs="Arial" w:eastAsia="Arial" w:hAnsi="Arial"/>
          <w:sz w:val="17"/>
          <w:szCs w:val="17"/>
          <w:color w:val="auto"/>
        </w:rPr>
        <w:t xml:space="preserve"> </w:t>
      </w:r>
      <w:r>
        <w:rPr>
          <w:rFonts w:ascii="Arial" w:cs="Arial" w:eastAsia="Arial" w:hAnsi="Arial"/>
          <w:sz w:val="20"/>
          <w:szCs w:val="20"/>
          <w:color w:val="auto"/>
        </w:rPr>
        <w:t>collaboration with MassBiologics of the University of Massachusetts Medical School, utilizing their new manufacturing facility in Fall River, Mass. MassBiologics is a U.S. Food and Drug Administration (FDA) licensed manufacturer of vaccines and biologics, including viral vectors and monoclonal antibodies.</w:t>
      </w:r>
    </w:p>
    <w:p>
      <w:pPr>
        <w:spacing w:after="0" w:line="54" w:lineRule="exact"/>
        <w:rPr>
          <w:sz w:val="20"/>
          <w:szCs w:val="20"/>
          <w:color w:val="auto"/>
        </w:rPr>
      </w:pPr>
    </w:p>
    <w:p>
      <w:pPr>
        <w:ind w:left="860" w:right="699" w:hanging="53"/>
        <w:spacing w:after="0" w:line="252" w:lineRule="auto"/>
        <w:rPr>
          <w:sz w:val="20"/>
          <w:szCs w:val="20"/>
          <w:color w:val="auto"/>
        </w:rPr>
      </w:pPr>
      <w:r>
        <w:rPr>
          <w:rFonts w:ascii="Arial" w:cs="Arial" w:eastAsia="Arial" w:hAnsi="Arial"/>
          <w:sz w:val="18"/>
          <w:szCs w:val="18"/>
          <w:color w:val="auto"/>
        </w:rPr>
        <w:t>·</w:t>
      </w:r>
      <w:r>
        <w:rPr>
          <w:rFonts w:ascii="Arial" w:cs="Arial" w:eastAsia="Arial" w:hAnsi="Arial"/>
          <w:sz w:val="21"/>
          <w:szCs w:val="21"/>
          <w:color w:val="auto"/>
        </w:rPr>
        <w:t>Voyager’s four preclinical programs, VY-SOD101 for a monogenic form of ALS, VY-FXN01 for Friedreich’s ataxia, VY-HTT01 for Huntington’s disease and VY-SMN101 for spinal muscular atrophy, all continued to advance, with Voyager’s next IND submission targeted in 2017.</w:t>
      </w:r>
    </w:p>
    <w:p>
      <w:pPr>
        <w:spacing w:after="0" w:line="303" w:lineRule="exact"/>
        <w:rPr>
          <w:sz w:val="20"/>
          <w:szCs w:val="20"/>
          <w:color w:val="auto"/>
        </w:rPr>
      </w:pPr>
    </w:p>
    <w:p>
      <w:pPr>
        <w:ind w:left="480"/>
        <w:spacing w:after="0"/>
        <w:rPr>
          <w:sz w:val="20"/>
          <w:szCs w:val="20"/>
          <w:color w:val="auto"/>
        </w:rPr>
      </w:pPr>
      <w:r>
        <w:rPr>
          <w:rFonts w:ascii="Arial" w:cs="Arial" w:eastAsia="Arial" w:hAnsi="Arial"/>
          <w:sz w:val="22"/>
          <w:szCs w:val="22"/>
          <w:b w:val="1"/>
          <w:bCs w:val="1"/>
          <w:color w:val="auto"/>
        </w:rPr>
        <w:t>Upcoming Events &amp; Presentations</w:t>
      </w:r>
    </w:p>
    <w:p>
      <w:pPr>
        <w:spacing w:after="0" w:line="239" w:lineRule="exact"/>
        <w:rPr>
          <w:sz w:val="20"/>
          <w:szCs w:val="20"/>
          <w:color w:val="auto"/>
        </w:rPr>
      </w:pPr>
    </w:p>
    <w:p>
      <w:pPr>
        <w:ind w:left="860" w:right="839" w:hanging="53"/>
        <w:spacing w:after="0" w:line="274" w:lineRule="auto"/>
        <w:rPr>
          <w:sz w:val="20"/>
          <w:szCs w:val="20"/>
          <w:color w:val="auto"/>
        </w:rPr>
      </w:pPr>
      <w:r>
        <w:rPr>
          <w:rFonts w:ascii="Arial" w:cs="Arial" w:eastAsia="Arial" w:hAnsi="Arial"/>
          <w:sz w:val="18"/>
          <w:szCs w:val="18"/>
          <w:color w:val="auto"/>
        </w:rPr>
        <w:t>·</w:t>
      </w:r>
      <w:r>
        <w:rPr>
          <w:rFonts w:ascii="Arial" w:cs="Arial" w:eastAsia="Arial" w:hAnsi="Arial"/>
          <w:sz w:val="21"/>
          <w:szCs w:val="21"/>
          <w:color w:val="auto"/>
        </w:rPr>
        <w:t>Alliance for Regenerative Medicine’s 4</w:t>
      </w:r>
      <w:r>
        <w:rPr>
          <w:rFonts w:ascii="Arial" w:cs="Arial" w:eastAsia="Arial" w:hAnsi="Arial"/>
          <w:sz w:val="10"/>
          <w:szCs w:val="10"/>
          <w:color w:val="auto"/>
        </w:rPr>
        <w:t>th</w:t>
      </w:r>
      <w:r>
        <w:rPr>
          <w:rFonts w:ascii="Arial" w:cs="Arial" w:eastAsia="Arial" w:hAnsi="Arial"/>
          <w:sz w:val="18"/>
          <w:szCs w:val="18"/>
          <w:color w:val="auto"/>
        </w:rPr>
        <w:t xml:space="preserve"> </w:t>
      </w:r>
      <w:r>
        <w:rPr>
          <w:rFonts w:ascii="Arial" w:cs="Arial" w:eastAsia="Arial" w:hAnsi="Arial"/>
          <w:sz w:val="21"/>
          <w:szCs w:val="21"/>
          <w:color w:val="auto"/>
        </w:rPr>
        <w:t>Annual Cell &amp; Gene Therapy Investor Day,</w:t>
      </w:r>
      <w:r>
        <w:rPr>
          <w:rFonts w:ascii="Arial" w:cs="Arial" w:eastAsia="Arial" w:hAnsi="Arial"/>
          <w:sz w:val="18"/>
          <w:szCs w:val="18"/>
          <w:color w:val="auto"/>
        </w:rPr>
        <w:t xml:space="preserve"> </w:t>
      </w:r>
      <w:r>
        <w:rPr>
          <w:rFonts w:ascii="Arial" w:cs="Arial" w:eastAsia="Arial" w:hAnsi="Arial"/>
          <w:sz w:val="21"/>
          <w:szCs w:val="21"/>
          <w:color w:val="auto"/>
        </w:rPr>
        <w:t>New York City, March 22</w:t>
      </w:r>
      <w:r>
        <w:rPr>
          <w:rFonts w:ascii="Arial" w:cs="Arial" w:eastAsia="Arial" w:hAnsi="Arial"/>
          <w:sz w:val="10"/>
          <w:szCs w:val="10"/>
          <w:color w:val="auto"/>
        </w:rPr>
        <w:t>nd</w:t>
      </w:r>
    </w:p>
    <w:p>
      <w:pPr>
        <w:spacing w:after="0" w:line="43" w:lineRule="exact"/>
        <w:rPr>
          <w:sz w:val="20"/>
          <w:szCs w:val="20"/>
          <w:color w:val="auto"/>
        </w:rPr>
      </w:pPr>
    </w:p>
    <w:p>
      <w:pPr>
        <w:ind w:left="900" w:hanging="90"/>
        <w:spacing w:after="0"/>
        <w:tabs>
          <w:tab w:leader="none" w:pos="900" w:val="left"/>
        </w:tabs>
        <w:numPr>
          <w:ilvl w:val="0"/>
          <w:numId w:val="2"/>
        </w:numPr>
        <w:rPr>
          <w:rFonts w:ascii="Arial" w:cs="Arial" w:eastAsia="Arial" w:hAnsi="Arial"/>
          <w:sz w:val="18"/>
          <w:szCs w:val="18"/>
          <w:color w:val="auto"/>
        </w:rPr>
      </w:pPr>
      <w:r>
        <w:rPr>
          <w:rFonts w:ascii="Arial" w:cs="Arial" w:eastAsia="Arial" w:hAnsi="Arial"/>
          <w:sz w:val="22"/>
          <w:szCs w:val="22"/>
          <w:color w:val="auto"/>
        </w:rPr>
        <w:t>Voyager R&amp;D Day, New York City, April 29</w:t>
      </w:r>
      <w:r>
        <w:rPr>
          <w:rFonts w:ascii="Arial" w:cs="Arial" w:eastAsia="Arial" w:hAnsi="Arial"/>
          <w:sz w:val="10"/>
          <w:szCs w:val="10"/>
          <w:color w:val="auto"/>
        </w:rPr>
        <w:t>th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306705</wp:posOffset>
            </wp:positionH>
            <wp:positionV relativeFrom="paragraph">
              <wp:posOffset>213360</wp:posOffset>
            </wp:positionV>
            <wp:extent cx="5120005" cy="2603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5120005" cy="26035"/>
                    </a:xfrm>
                    <a:prstGeom prst="rect">
                      <a:avLst/>
                    </a:prstGeom>
                    <a:noFill/>
                  </pic:spPr>
                </pic:pic>
              </a:graphicData>
            </a:graphic>
          </wp:anchor>
        </w:drawing>
      </w:r>
    </w:p>
    <w:p>
      <w:pPr>
        <w:sectPr>
          <w:pgSz w:w="11900" w:h="16838" w:orient="portrait"/>
          <w:cols w:equalWidth="0" w:num="1">
            <w:col w:w="9019"/>
          </w:cols>
          <w:pgMar w:left="1440" w:top="118" w:right="1440" w:bottom="1440" w:gutter="0" w:footer="0" w:header="0"/>
        </w:sectPr>
      </w:pPr>
    </w:p>
    <w:bookmarkStart w:id="6" w:name="page7"/>
    <w:bookmarkEnd w:id="6"/>
    <w:p>
      <w:pPr>
        <w:ind w:left="480"/>
        <w:spacing w:after="0"/>
        <w:rPr>
          <w:sz w:val="20"/>
          <w:szCs w:val="20"/>
          <w:color w:val="auto"/>
        </w:rPr>
      </w:pPr>
      <w:r>
        <w:rPr>
          <w:rFonts w:ascii="Arial" w:cs="Arial" w:eastAsia="Arial" w:hAnsi="Arial"/>
          <w:sz w:val="22"/>
          <w:szCs w:val="22"/>
          <w:b w:val="1"/>
          <w:bCs w:val="1"/>
          <w:color w:val="auto"/>
        </w:rPr>
        <w:t>Financial Results and Guidance</w:t>
      </w:r>
    </w:p>
    <w:p>
      <w:pPr>
        <w:spacing w:after="0" w:line="240" w:lineRule="exact"/>
        <w:rPr>
          <w:sz w:val="20"/>
          <w:szCs w:val="20"/>
          <w:color w:val="auto"/>
        </w:rPr>
      </w:pPr>
    </w:p>
    <w:p>
      <w:pPr>
        <w:ind w:left="480" w:right="499"/>
        <w:spacing w:after="0" w:line="236" w:lineRule="auto"/>
        <w:rPr>
          <w:sz w:val="20"/>
          <w:szCs w:val="20"/>
          <w:color w:val="auto"/>
        </w:rPr>
      </w:pPr>
      <w:r>
        <w:rPr>
          <w:rFonts w:ascii="Arial" w:cs="Arial" w:eastAsia="Arial" w:hAnsi="Arial"/>
          <w:sz w:val="22"/>
          <w:szCs w:val="22"/>
          <w:color w:val="auto"/>
        </w:rPr>
        <w:t>For the fourth quarter ended December 31, 2015, Voyager reported a net loss of $8.8 million, or $0.67 per share, compared to a net loss of $5.2 million, or $6.58 per share, for the same period in 2014. Net loss was $38.3 million, or $9.14 per share, for the year ended December 31, 2015, compared to a net loss of $17.7 million, or $27.83 per share, for the same period in 2014.</w:t>
      </w:r>
    </w:p>
    <w:p>
      <w:pPr>
        <w:spacing w:after="0" w:line="215" w:lineRule="exact"/>
        <w:rPr>
          <w:sz w:val="20"/>
          <w:szCs w:val="20"/>
          <w:color w:val="auto"/>
        </w:rPr>
      </w:pPr>
    </w:p>
    <w:p>
      <w:pPr>
        <w:ind w:left="480" w:right="519"/>
        <w:spacing w:after="0" w:line="248" w:lineRule="auto"/>
        <w:rPr>
          <w:sz w:val="20"/>
          <w:szCs w:val="20"/>
          <w:color w:val="auto"/>
        </w:rPr>
      </w:pPr>
      <w:r>
        <w:rPr>
          <w:rFonts w:ascii="Arial" w:cs="Arial" w:eastAsia="Arial" w:hAnsi="Arial"/>
          <w:sz w:val="21"/>
          <w:szCs w:val="21"/>
          <w:color w:val="auto"/>
        </w:rPr>
        <w:t>Research and development (R&amp;D) expenses were $9.2 million for the fourth quarter ended December 31, 2015, compared to $3.0 million for the same period in 2014. The increase was largely due to expenditures in advancing development of Voyager’s pipeline and product engine, including increased R&amp;D personnel costs associated with the growth of the company. R&amp;D expenses were $27.7 million for the year ended December 31, 2015, compared to $8.9 million for the same period in 2014.</w:t>
      </w:r>
    </w:p>
    <w:p>
      <w:pPr>
        <w:spacing w:after="0" w:line="204" w:lineRule="exact"/>
        <w:rPr>
          <w:sz w:val="20"/>
          <w:szCs w:val="20"/>
          <w:color w:val="auto"/>
        </w:rPr>
      </w:pPr>
    </w:p>
    <w:p>
      <w:pPr>
        <w:ind w:left="480" w:right="519"/>
        <w:spacing w:after="0" w:line="235" w:lineRule="auto"/>
        <w:rPr>
          <w:sz w:val="20"/>
          <w:szCs w:val="20"/>
          <w:color w:val="auto"/>
        </w:rPr>
      </w:pPr>
      <w:r>
        <w:rPr>
          <w:rFonts w:ascii="Arial" w:cs="Arial" w:eastAsia="Arial" w:hAnsi="Arial"/>
          <w:sz w:val="22"/>
          <w:szCs w:val="22"/>
          <w:color w:val="auto"/>
        </w:rPr>
        <w:t>General and administrative (G&amp;A) expenses were $3.2 million for the fourth quarter ended December 31, 2015, compared to $1.5 million for the same period in 2014. The increase was largely due to expenditures in G&amp;A personnel associated with the growth of the company, including expenses related to operating as a public company. G&amp;A expenses were $9.9 million for the year ended December 31, 2015, compared to $5.5 million for the same period in 2014.</w:t>
      </w:r>
    </w:p>
    <w:p>
      <w:pPr>
        <w:spacing w:after="0" w:line="215" w:lineRule="exact"/>
        <w:rPr>
          <w:sz w:val="20"/>
          <w:szCs w:val="20"/>
          <w:color w:val="auto"/>
        </w:rPr>
      </w:pPr>
    </w:p>
    <w:p>
      <w:pPr>
        <w:ind w:left="480" w:right="679"/>
        <w:spacing w:after="0" w:line="282" w:lineRule="auto"/>
        <w:rPr>
          <w:sz w:val="20"/>
          <w:szCs w:val="20"/>
          <w:color w:val="auto"/>
        </w:rPr>
      </w:pPr>
      <w:r>
        <w:rPr>
          <w:rFonts w:ascii="Arial" w:cs="Arial" w:eastAsia="Arial" w:hAnsi="Arial"/>
          <w:sz w:val="19"/>
          <w:szCs w:val="19"/>
          <w:color w:val="auto"/>
        </w:rPr>
        <w:t>Cash, cash equivalents and marketable securities as of December 31, 2015 were approximately $224 million, compared to $161 million on September 30, 2015. Cash, cash equivalents and marketable securities as of December 31, 2015 included total net proceeds of approximately $73 million from the company's initial public offering of common stock and the underwriters' exercise of their over-allotment option in November 2015.</w:t>
      </w:r>
    </w:p>
    <w:p>
      <w:pPr>
        <w:spacing w:after="0" w:line="175" w:lineRule="exact"/>
        <w:rPr>
          <w:sz w:val="20"/>
          <w:szCs w:val="20"/>
          <w:color w:val="auto"/>
        </w:rPr>
      </w:pPr>
    </w:p>
    <w:p>
      <w:pPr>
        <w:ind w:left="480" w:right="499"/>
        <w:spacing w:after="0" w:line="252" w:lineRule="auto"/>
        <w:rPr>
          <w:sz w:val="20"/>
          <w:szCs w:val="20"/>
          <w:color w:val="auto"/>
        </w:rPr>
      </w:pPr>
      <w:r>
        <w:rPr>
          <w:rFonts w:ascii="Arial" w:cs="Arial" w:eastAsia="Arial" w:hAnsi="Arial"/>
          <w:sz w:val="21"/>
          <w:szCs w:val="21"/>
          <w:color w:val="auto"/>
        </w:rPr>
        <w:t>Based on the company’s current operating plan, Voyager expects to end 2016 with cash, cash equivalents and marketable securities of approximately $160 million and projects that its existing cash, cash equivalents and marketable securities will be sufficient to fund operating expenses and capital expenditure requirements into 2019.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306705</wp:posOffset>
            </wp:positionH>
            <wp:positionV relativeFrom="paragraph">
              <wp:posOffset>278765</wp:posOffset>
            </wp:positionV>
            <wp:extent cx="5120005" cy="2603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5120005" cy="26035"/>
                    </a:xfrm>
                    <a:prstGeom prst="rect">
                      <a:avLst/>
                    </a:prstGeom>
                    <a:noFill/>
                  </pic:spPr>
                </pic:pic>
              </a:graphicData>
            </a:graphic>
          </wp:anchor>
        </w:drawing>
      </w:r>
    </w:p>
    <w:p>
      <w:pPr>
        <w:sectPr>
          <w:pgSz w:w="11900" w:h="16838" w:orient="portrait"/>
          <w:cols w:equalWidth="0" w:num="1">
            <w:col w:w="9019"/>
          </w:cols>
          <w:pgMar w:left="1440" w:top="111" w:right="1440" w:bottom="1440" w:gutter="0" w:footer="0" w:header="0"/>
        </w:sectPr>
      </w:pPr>
    </w:p>
    <w:bookmarkStart w:id="7" w:name="page8"/>
    <w:bookmarkEnd w:id="7"/>
    <w:p>
      <w:pPr>
        <w:ind w:left="480"/>
        <w:spacing w:after="0"/>
        <w:rPr>
          <w:sz w:val="20"/>
          <w:szCs w:val="20"/>
          <w:color w:val="auto"/>
        </w:rPr>
      </w:pPr>
      <w:r>
        <w:rPr>
          <w:rFonts w:ascii="Arial" w:cs="Arial" w:eastAsia="Arial" w:hAnsi="Arial"/>
          <w:sz w:val="22"/>
          <w:szCs w:val="22"/>
          <w:b w:val="1"/>
          <w:bCs w:val="1"/>
          <w:color w:val="auto"/>
        </w:rPr>
        <w:t>Forward-Looking Statements</w:t>
      </w:r>
    </w:p>
    <w:p>
      <w:pPr>
        <w:spacing w:after="0" w:line="240" w:lineRule="exact"/>
        <w:rPr>
          <w:sz w:val="20"/>
          <w:szCs w:val="20"/>
          <w:color w:val="auto"/>
        </w:rPr>
      </w:pPr>
    </w:p>
    <w:p>
      <w:pPr>
        <w:ind w:left="480" w:right="559"/>
        <w:spacing w:after="0" w:line="269" w:lineRule="auto"/>
        <w:rPr>
          <w:sz w:val="20"/>
          <w:szCs w:val="20"/>
          <w:color w:val="auto"/>
        </w:rPr>
      </w:pPr>
      <w:r>
        <w:rPr>
          <w:rFonts w:ascii="Arial" w:cs="Arial" w:eastAsia="Arial" w:hAnsi="Arial"/>
          <w:sz w:val="19"/>
          <w:szCs w:val="19"/>
          <w:color w:val="auto"/>
        </w:rPr>
        <w:t>This press release contains forward-looking statements for the purposes of the safe harbor provisions under The Private Securities Litigation Reform Act of 1995 and other federal securities law. The use of words such as “may,” “might,” “will,” “should,” “expect,” “plan,” “anticipate,” “believe,” “estimate,” “project,” “intend,” “future,” “potential,” or “continue,” and other similar expressions are intended to identify forward-looking statements. For example, all statements Voyager makes regarding the initiation, timing, progress and results of its preclinical programs and clinical trials and its research and development programs, its ability to advance its AAV-based gene therapies into, and successfully complete, clinical trials, its ability to continue to develop its product engine, its ability to add new programs to its pipeline, its expected cash, cash equivalents and marketable securities at the end of the fiscal year and anticipation for how long expected cash, cash equivalents and marketable securities will last, and the timing or likelihood of its regulatory filings and approvals, are forward looking. All forward-looking statements are based on estimates and assumptions by Voyager’s management that, although Voyager believes to be reasonable, are inherently uncertain. All forward-looking statements are subject to risks and uncertainties that may cause actual results to differ materially from those that Voyager expected. These statements are also subject to a number of material risks and uncertainties that are described in Voyager’s most recent Quarterly Report on Form 10-Q filed with the Securities and Exchange Commission, as updated by its future filings with the Securities and Exchange Commission. Any forward-looking statement speaks only as of the date on which it was made. Voyager undertakes no obligation to publicly update or revise any forward-looking statement, whether as a result of new information, future events or otherwise, except as required by law.</w:t>
      </w: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ind w:left="480"/>
        <w:spacing w:after="0"/>
        <w:rPr>
          <w:sz w:val="20"/>
          <w:szCs w:val="20"/>
          <w:color w:val="auto"/>
        </w:rPr>
      </w:pPr>
      <w:r>
        <w:rPr>
          <w:rFonts w:ascii="Arial" w:cs="Arial" w:eastAsia="Arial" w:hAnsi="Arial"/>
          <w:sz w:val="22"/>
          <w:szCs w:val="22"/>
          <w:b w:val="1"/>
          <w:bCs w:val="1"/>
          <w:color w:val="auto"/>
        </w:rPr>
        <w:t>Conference Call</w:t>
      </w:r>
    </w:p>
    <w:p>
      <w:pPr>
        <w:spacing w:after="0" w:line="1" w:lineRule="exact"/>
        <w:rPr>
          <w:sz w:val="20"/>
          <w:szCs w:val="20"/>
          <w:color w:val="auto"/>
        </w:rPr>
      </w:pPr>
    </w:p>
    <w:p>
      <w:pPr>
        <w:ind w:left="480" w:right="659"/>
        <w:spacing w:after="0" w:line="211" w:lineRule="auto"/>
        <w:rPr>
          <w:sz w:val="20"/>
          <w:szCs w:val="20"/>
          <w:color w:val="auto"/>
        </w:rPr>
      </w:pPr>
      <w:r>
        <w:rPr>
          <w:rFonts w:ascii="Arial" w:cs="Arial" w:eastAsia="Arial" w:hAnsi="Arial"/>
          <w:sz w:val="22"/>
          <w:szCs w:val="22"/>
          <w:color w:val="auto"/>
        </w:rPr>
        <w:t>Voyager will host a conference call and webcast today at 8:30 a.m. ET. The conference call may be accessed by dialing (877) 489-6517 for domestic callers or +1 (929) 387-3945 for international callers, and referencing conference ID number 51816666. A live audio webcast of the conference call and replay will be available online from the Investors &amp; Media section of Voyager’s website at www.voyagertherapeutics.com. The webcast will be archived for 30 days.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306705</wp:posOffset>
            </wp:positionH>
            <wp:positionV relativeFrom="paragraph">
              <wp:posOffset>-12700</wp:posOffset>
            </wp:positionV>
            <wp:extent cx="5120005" cy="88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5120005" cy="8890"/>
                    </a:xfrm>
                    <a:prstGeom prst="rect">
                      <a:avLst/>
                    </a:prstGeom>
                    <a:noFill/>
                  </pic:spPr>
                </pic:pic>
              </a:graphicData>
            </a:graphic>
          </wp:anchor>
        </w:drawing>
        <w:drawing>
          <wp:anchor simplePos="0" relativeHeight="251657728" behindDoc="1" locked="0" layoutInCell="0" allowOverlap="1">
            <wp:simplePos x="0" y="0"/>
            <wp:positionH relativeFrom="column">
              <wp:posOffset>306705</wp:posOffset>
            </wp:positionH>
            <wp:positionV relativeFrom="paragraph">
              <wp:posOffset>287020</wp:posOffset>
            </wp:positionV>
            <wp:extent cx="5120005" cy="2603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5120005" cy="26035"/>
                    </a:xfrm>
                    <a:prstGeom prst="rect">
                      <a:avLst/>
                    </a:prstGeom>
                    <a:noFill/>
                  </pic:spPr>
                </pic:pic>
              </a:graphicData>
            </a:graphic>
          </wp:anchor>
        </w:drawing>
      </w:r>
    </w:p>
    <w:p>
      <w:pPr>
        <w:sectPr>
          <w:pgSz w:w="11900" w:h="16838" w:orient="portrait"/>
          <w:cols w:equalWidth="0" w:num="1">
            <w:col w:w="9019"/>
          </w:cols>
          <w:pgMar w:left="1440" w:top="111" w:right="1440" w:bottom="1440" w:gutter="0" w:footer="0" w:header="0"/>
        </w:sectPr>
      </w:pPr>
    </w:p>
    <w:bookmarkStart w:id="8" w:name="page9"/>
    <w:bookmarkEnd w:id="8"/>
    <w:p>
      <w:pPr>
        <w:ind w:left="480"/>
        <w:spacing w:after="0"/>
        <w:rPr>
          <w:sz w:val="20"/>
          <w:szCs w:val="20"/>
          <w:color w:val="auto"/>
        </w:rPr>
      </w:pPr>
      <w:r>
        <w:rPr>
          <w:rFonts w:ascii="Arial" w:cs="Arial" w:eastAsia="Arial" w:hAnsi="Arial"/>
          <w:sz w:val="22"/>
          <w:szCs w:val="22"/>
          <w:b w:val="1"/>
          <w:bCs w:val="1"/>
          <w:color w:val="auto"/>
        </w:rPr>
        <w:t>About Voyager Therapeutics</w:t>
      </w:r>
    </w:p>
    <w:p>
      <w:pPr>
        <w:spacing w:after="0" w:line="15" w:lineRule="exact"/>
        <w:rPr>
          <w:sz w:val="20"/>
          <w:szCs w:val="20"/>
          <w:color w:val="auto"/>
        </w:rPr>
      </w:pPr>
    </w:p>
    <w:p>
      <w:pPr>
        <w:ind w:left="480" w:right="659"/>
        <w:spacing w:after="0" w:line="270" w:lineRule="auto"/>
        <w:rPr>
          <w:sz w:val="20"/>
          <w:szCs w:val="20"/>
          <w:color w:val="auto"/>
        </w:rPr>
      </w:pPr>
      <w:r>
        <w:rPr>
          <w:rFonts w:ascii="Arial" w:cs="Arial" w:eastAsia="Arial" w:hAnsi="Arial"/>
          <w:sz w:val="19"/>
          <w:szCs w:val="19"/>
          <w:color w:val="auto"/>
        </w:rPr>
        <w:t>Voyager Therapeutics is a clinical-stage gene therapy company developing life-changing treatments for severe diseases of the central nervous system. Voyager is committed to advancing the field of AAV (adeno-associated virus) gene therapy through innovation and investment in vector engineering and optimization, manufacturing and dosing and delivery techniques. The company’s pipeline is focused on severe CNS diseases in need of effective new therapies, including advanced Parkinson’s disease, a monogenic form of amyotrophic lateral sclerosis (ALS), Friedreich’s ataxia, Huntington’s disease and spinal muscular atrophy (SMA). Voyager has broad strategic collaborations with Sanofi Genzyme, the specialty care global business unit of Sanofi, and the University of Massachusetts Medical School. Founded by scientific and clinical leaders in the fields of AAV gene therapy, expressed RNA interference and neuroscience, Voyager Therapeutics is headquartered in Cambridge, Massachusetts. For more information, please visit www.voyagertherapeutics.com. Follow Voyager on LinkedIn</w:t>
      </w:r>
      <w:r>
        <w:rPr>
          <w:rFonts w:ascii="Arial" w:cs="Arial" w:eastAsia="Arial" w:hAnsi="Arial"/>
          <w:sz w:val="19"/>
          <w:szCs w:val="19"/>
          <w:color w:val="1F497D"/>
        </w:rPr>
        <w:t>.</w:t>
      </w:r>
    </w:p>
    <w:p>
      <w:pPr>
        <w:spacing w:after="0" w:line="200" w:lineRule="exact"/>
        <w:rPr>
          <w:sz w:val="20"/>
          <w:szCs w:val="20"/>
          <w:color w:val="auto"/>
        </w:rPr>
      </w:pPr>
    </w:p>
    <w:p>
      <w:pPr>
        <w:spacing w:after="0" w:line="233" w:lineRule="exact"/>
        <w:rPr>
          <w:sz w:val="20"/>
          <w:szCs w:val="20"/>
          <w:color w:val="auto"/>
        </w:rPr>
      </w:pPr>
    </w:p>
    <w:p>
      <w:pPr>
        <w:jc w:val="center"/>
        <w:ind w:right="-20"/>
        <w:spacing w:after="0"/>
        <w:rPr>
          <w:sz w:val="20"/>
          <w:szCs w:val="20"/>
          <w:color w:val="auto"/>
        </w:rPr>
      </w:pPr>
      <w:r>
        <w:rPr>
          <w:rFonts w:ascii="Arial" w:cs="Arial" w:eastAsia="Arial" w:hAnsi="Arial"/>
          <w:sz w:val="22"/>
          <w:szCs w:val="22"/>
          <w:color w:val="auto"/>
        </w:rPr>
        <w:t>###</w:t>
      </w:r>
    </w:p>
    <w:p>
      <w:pPr>
        <w:ind w:left="480"/>
        <w:spacing w:after="0" w:line="238" w:lineRule="auto"/>
        <w:rPr>
          <w:sz w:val="20"/>
          <w:szCs w:val="20"/>
          <w:color w:val="auto"/>
        </w:rPr>
      </w:pPr>
      <w:r>
        <w:rPr>
          <w:rFonts w:ascii="Arial" w:cs="Arial" w:eastAsia="Arial" w:hAnsi="Arial"/>
          <w:sz w:val="22"/>
          <w:szCs w:val="22"/>
          <w:b w:val="1"/>
          <w:bCs w:val="1"/>
          <w:color w:val="auto"/>
        </w:rPr>
        <w:t>Contact:</w:t>
      </w:r>
    </w:p>
    <w:p>
      <w:pPr>
        <w:ind w:left="480"/>
        <w:spacing w:after="0" w:line="230" w:lineRule="auto"/>
        <w:rPr>
          <w:sz w:val="20"/>
          <w:szCs w:val="20"/>
          <w:color w:val="auto"/>
        </w:rPr>
      </w:pPr>
      <w:r>
        <w:rPr>
          <w:rFonts w:ascii="Arial" w:cs="Arial" w:eastAsia="Arial" w:hAnsi="Arial"/>
          <w:sz w:val="22"/>
          <w:szCs w:val="22"/>
          <w:color w:val="auto"/>
        </w:rPr>
        <w:t>Investor Relations:</w:t>
      </w:r>
    </w:p>
    <w:p>
      <w:pPr>
        <w:ind w:left="480"/>
        <w:spacing w:after="0" w:line="231" w:lineRule="auto"/>
        <w:rPr>
          <w:sz w:val="20"/>
          <w:szCs w:val="20"/>
          <w:color w:val="auto"/>
        </w:rPr>
      </w:pPr>
      <w:r>
        <w:rPr>
          <w:rFonts w:ascii="Arial" w:cs="Arial" w:eastAsia="Arial" w:hAnsi="Arial"/>
          <w:sz w:val="22"/>
          <w:szCs w:val="22"/>
          <w:color w:val="auto"/>
        </w:rPr>
        <w:t>Sarah McCabe</w:t>
      </w:r>
    </w:p>
    <w:p>
      <w:pPr>
        <w:ind w:left="480"/>
        <w:spacing w:after="0" w:line="231" w:lineRule="auto"/>
        <w:rPr>
          <w:sz w:val="20"/>
          <w:szCs w:val="20"/>
          <w:color w:val="auto"/>
        </w:rPr>
      </w:pPr>
      <w:r>
        <w:rPr>
          <w:rFonts w:ascii="Arial" w:cs="Arial" w:eastAsia="Arial" w:hAnsi="Arial"/>
          <w:sz w:val="22"/>
          <w:szCs w:val="22"/>
          <w:color w:val="auto"/>
        </w:rPr>
        <w:t>Stern Investor Relations, Inc.</w:t>
      </w:r>
    </w:p>
    <w:p>
      <w:pPr>
        <w:ind w:left="480"/>
        <w:spacing w:after="0" w:line="230" w:lineRule="auto"/>
        <w:rPr>
          <w:sz w:val="20"/>
          <w:szCs w:val="20"/>
          <w:color w:val="auto"/>
        </w:rPr>
      </w:pPr>
      <w:r>
        <w:rPr>
          <w:rFonts w:ascii="Arial" w:cs="Arial" w:eastAsia="Arial" w:hAnsi="Arial"/>
          <w:sz w:val="22"/>
          <w:szCs w:val="22"/>
          <w:color w:val="auto"/>
        </w:rPr>
        <w:t>212-362-1200</w:t>
      </w:r>
    </w:p>
    <w:p>
      <w:pPr>
        <w:spacing w:after="0" w:line="1" w:lineRule="exact"/>
        <w:rPr>
          <w:sz w:val="20"/>
          <w:szCs w:val="20"/>
          <w:color w:val="auto"/>
        </w:rPr>
      </w:pPr>
    </w:p>
    <w:p>
      <w:pPr>
        <w:ind w:left="480"/>
        <w:spacing w:after="0"/>
        <w:rPr>
          <w:sz w:val="20"/>
          <w:szCs w:val="20"/>
          <w:color w:val="auto"/>
        </w:rPr>
      </w:pPr>
      <w:r>
        <w:rPr>
          <w:rFonts w:ascii="Arial" w:cs="Arial" w:eastAsia="Arial" w:hAnsi="Arial"/>
          <w:sz w:val="22"/>
          <w:szCs w:val="22"/>
          <w:color w:val="auto"/>
        </w:rPr>
        <w:t>sarah@sternir.com</w:t>
      </w:r>
    </w:p>
    <w:p>
      <w:pPr>
        <w:spacing w:after="0" w:line="215" w:lineRule="exact"/>
        <w:rPr>
          <w:sz w:val="20"/>
          <w:szCs w:val="20"/>
          <w:color w:val="auto"/>
        </w:rPr>
      </w:pPr>
    </w:p>
    <w:p>
      <w:pPr>
        <w:ind w:left="480"/>
        <w:spacing w:after="0"/>
        <w:rPr>
          <w:sz w:val="20"/>
          <w:szCs w:val="20"/>
          <w:color w:val="auto"/>
        </w:rPr>
      </w:pPr>
      <w:r>
        <w:rPr>
          <w:rFonts w:ascii="Arial" w:cs="Arial" w:eastAsia="Arial" w:hAnsi="Arial"/>
          <w:sz w:val="22"/>
          <w:szCs w:val="22"/>
          <w:color w:val="auto"/>
        </w:rPr>
        <w:t>Media:</w:t>
      </w:r>
    </w:p>
    <w:p>
      <w:pPr>
        <w:ind w:left="480"/>
        <w:spacing w:after="0" w:line="238" w:lineRule="auto"/>
        <w:rPr>
          <w:sz w:val="20"/>
          <w:szCs w:val="20"/>
          <w:color w:val="auto"/>
        </w:rPr>
      </w:pPr>
      <w:r>
        <w:rPr>
          <w:rFonts w:ascii="Arial" w:cs="Arial" w:eastAsia="Arial" w:hAnsi="Arial"/>
          <w:sz w:val="22"/>
          <w:szCs w:val="22"/>
          <w:color w:val="auto"/>
        </w:rPr>
        <w:t>Katie Engleman</w:t>
      </w:r>
    </w:p>
    <w:p>
      <w:pPr>
        <w:ind w:left="480"/>
        <w:spacing w:after="0" w:line="230" w:lineRule="auto"/>
        <w:rPr>
          <w:sz w:val="20"/>
          <w:szCs w:val="20"/>
          <w:color w:val="auto"/>
        </w:rPr>
      </w:pPr>
      <w:r>
        <w:rPr>
          <w:rFonts w:ascii="Arial" w:cs="Arial" w:eastAsia="Arial" w:hAnsi="Arial"/>
          <w:sz w:val="22"/>
          <w:szCs w:val="22"/>
          <w:color w:val="auto"/>
        </w:rPr>
        <w:t>Pure Communications, Inc.</w:t>
      </w:r>
    </w:p>
    <w:p>
      <w:pPr>
        <w:ind w:left="480"/>
        <w:spacing w:after="0" w:line="231" w:lineRule="auto"/>
        <w:rPr>
          <w:sz w:val="20"/>
          <w:szCs w:val="20"/>
          <w:color w:val="auto"/>
        </w:rPr>
      </w:pPr>
      <w:r>
        <w:rPr>
          <w:rFonts w:ascii="Arial" w:cs="Arial" w:eastAsia="Arial" w:hAnsi="Arial"/>
          <w:sz w:val="22"/>
          <w:szCs w:val="22"/>
          <w:color w:val="auto"/>
        </w:rPr>
        <w:t>910-509-3977</w:t>
      </w:r>
    </w:p>
    <w:p>
      <w:pPr>
        <w:spacing w:after="0" w:line="1" w:lineRule="exact"/>
        <w:rPr>
          <w:sz w:val="20"/>
          <w:szCs w:val="20"/>
          <w:color w:val="auto"/>
        </w:rPr>
      </w:pPr>
    </w:p>
    <w:p>
      <w:pPr>
        <w:ind w:left="480"/>
        <w:spacing w:after="0"/>
        <w:rPr>
          <w:sz w:val="20"/>
          <w:szCs w:val="20"/>
          <w:color w:val="auto"/>
        </w:rPr>
      </w:pPr>
      <w:r>
        <w:rPr>
          <w:rFonts w:ascii="Arial" w:cs="Arial" w:eastAsia="Arial" w:hAnsi="Arial"/>
          <w:sz w:val="22"/>
          <w:szCs w:val="22"/>
          <w:color w:val="auto"/>
        </w:rPr>
        <w:t>Katie@purecommunicationsinc.com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306705</wp:posOffset>
            </wp:positionH>
            <wp:positionV relativeFrom="paragraph">
              <wp:posOffset>287655</wp:posOffset>
            </wp:positionV>
            <wp:extent cx="5120005" cy="2603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5120005" cy="26035"/>
                    </a:xfrm>
                    <a:prstGeom prst="rect">
                      <a:avLst/>
                    </a:prstGeom>
                    <a:noFill/>
                  </pic:spPr>
                </pic:pic>
              </a:graphicData>
            </a:graphic>
          </wp:anchor>
        </w:drawing>
      </w:r>
    </w:p>
    <w:p>
      <w:pPr>
        <w:sectPr>
          <w:pgSz w:w="11900" w:h="16838" w:orient="portrait"/>
          <w:cols w:equalWidth="0" w:num="1">
            <w:col w:w="9019"/>
          </w:cols>
          <w:pgMar w:left="1440" w:top="111" w:right="1440" w:bottom="1440" w:gutter="0" w:footer="0" w:header="0"/>
        </w:sectPr>
      </w:pPr>
    </w:p>
    <w:bookmarkStart w:id="9" w:name="page10"/>
    <w:bookmarkEnd w:id="9"/>
    <w:p>
      <w:pPr>
        <w:jc w:val="center"/>
        <w:spacing w:after="0"/>
        <w:rPr>
          <w:sz w:val="20"/>
          <w:szCs w:val="20"/>
          <w:color w:val="auto"/>
        </w:rPr>
      </w:pPr>
      <w:r>
        <w:rPr>
          <w:rFonts w:ascii="Arial" w:cs="Arial" w:eastAsia="Arial" w:hAnsi="Arial"/>
          <w:sz w:val="22"/>
          <w:szCs w:val="22"/>
          <w:b w:val="1"/>
          <w:bCs w:val="1"/>
          <w:color w:val="auto"/>
        </w:rPr>
        <w:t>Selected Financial Information</w:t>
      </w:r>
    </w:p>
    <w:p>
      <w:pPr>
        <w:spacing w:after="0" w:line="17" w:lineRule="exact"/>
        <w:rPr>
          <w:sz w:val="20"/>
          <w:szCs w:val="20"/>
          <w:color w:val="auto"/>
        </w:rPr>
      </w:pPr>
    </w:p>
    <w:p>
      <w:pPr>
        <w:jc w:val="center"/>
        <w:spacing w:after="0"/>
        <w:rPr>
          <w:sz w:val="20"/>
          <w:szCs w:val="20"/>
          <w:color w:val="auto"/>
        </w:rPr>
      </w:pPr>
      <w:r>
        <w:rPr>
          <w:rFonts w:ascii="Arial" w:cs="Arial" w:eastAsia="Arial" w:hAnsi="Arial"/>
          <w:sz w:val="20"/>
          <w:szCs w:val="20"/>
          <w:i w:val="1"/>
          <w:iCs w:val="1"/>
          <w:color w:val="auto"/>
        </w:rPr>
        <w:t>(amounts in thousands)</w:t>
      </w:r>
    </w:p>
    <w:p>
      <w:pPr>
        <w:jc w:val="center"/>
        <w:spacing w:after="0"/>
        <w:rPr>
          <w:sz w:val="20"/>
          <w:szCs w:val="20"/>
          <w:color w:val="auto"/>
        </w:rPr>
      </w:pPr>
      <w:r>
        <w:rPr>
          <w:rFonts w:ascii="Arial" w:cs="Arial" w:eastAsia="Arial" w:hAnsi="Arial"/>
          <w:sz w:val="20"/>
          <w:szCs w:val="20"/>
          <w:i w:val="1"/>
          <w:iCs w:val="1"/>
          <w:color w:val="auto"/>
        </w:rPr>
        <w:t>(Unaudited)</w:t>
      </w:r>
    </w:p>
    <w:p>
      <w:pPr>
        <w:spacing w:after="0" w:line="200" w:lineRule="exact"/>
        <w:rPr>
          <w:sz w:val="20"/>
          <w:szCs w:val="20"/>
          <w:color w:val="auto"/>
        </w:rPr>
      </w:pPr>
    </w:p>
    <w:p>
      <w:pPr>
        <w:spacing w:after="0" w:line="211" w:lineRule="exact"/>
        <w:rPr>
          <w:sz w:val="20"/>
          <w:szCs w:val="20"/>
          <w:color w:val="auto"/>
        </w:rPr>
      </w:pPr>
    </w:p>
    <w:tbl>
      <w:tblPr>
        <w:tblLayout w:type="fixed"/>
        <w:tblInd w:w="480" w:type="dxa"/>
        <w:tblCellMar>
          <w:top w:w="0" w:type="dxa"/>
          <w:left w:w="0" w:type="dxa"/>
          <w:bottom w:w="0" w:type="dxa"/>
          <w:right w:w="0" w:type="dxa"/>
        </w:tblCellMar>
      </w:tblPr>
      <w:tr>
        <w:trPr>
          <w:trHeight w:val="161"/>
        </w:trPr>
        <w:tc>
          <w:tcPr>
            <w:tcW w:w="18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2740" w:type="dxa"/>
            <w:vAlign w:val="bottom"/>
            <w:gridSpan w:val="5"/>
          </w:tcPr>
          <w:p>
            <w:pPr>
              <w:jc w:val="center"/>
              <w:ind w:right="660"/>
              <w:spacing w:after="0"/>
              <w:rPr>
                <w:sz w:val="20"/>
                <w:szCs w:val="20"/>
                <w:color w:val="auto"/>
              </w:rPr>
            </w:pPr>
            <w:r>
              <w:rPr>
                <w:rFonts w:ascii="Arial" w:cs="Arial" w:eastAsia="Arial" w:hAnsi="Arial"/>
                <w:sz w:val="14"/>
                <w:szCs w:val="14"/>
                <w:b w:val="1"/>
                <w:bCs w:val="1"/>
                <w:color w:val="auto"/>
                <w:w w:val="95"/>
              </w:rPr>
              <w:t>Three Months Ended</w:t>
            </w:r>
          </w:p>
        </w:tc>
        <w:tc>
          <w:tcPr>
            <w:tcW w:w="3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60" w:type="dxa"/>
            <w:vAlign w:val="bottom"/>
            <w:gridSpan w:val="5"/>
          </w:tcPr>
          <w:p>
            <w:pPr>
              <w:jc w:val="right"/>
              <w:ind w:right="300"/>
              <w:spacing w:after="0"/>
              <w:rPr>
                <w:sz w:val="20"/>
                <w:szCs w:val="20"/>
                <w:color w:val="auto"/>
              </w:rPr>
            </w:pPr>
            <w:r>
              <w:rPr>
                <w:rFonts w:ascii="Arial" w:cs="Arial" w:eastAsia="Arial" w:hAnsi="Arial"/>
                <w:sz w:val="14"/>
                <w:szCs w:val="14"/>
                <w:b w:val="1"/>
                <w:bCs w:val="1"/>
                <w:color w:val="auto"/>
              </w:rPr>
              <w:t>Year Ended</w:t>
            </w:r>
          </w:p>
        </w:tc>
        <w:tc>
          <w:tcPr>
            <w:tcW w:w="7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1860" w:type="dxa"/>
            <w:vAlign w:val="bottom"/>
            <w:vMerge w:val="restart"/>
          </w:tcPr>
          <w:p>
            <w:pPr>
              <w:ind w:left="120"/>
              <w:spacing w:after="0"/>
              <w:rPr>
                <w:sz w:val="20"/>
                <w:szCs w:val="20"/>
                <w:color w:val="auto"/>
              </w:rPr>
            </w:pPr>
            <w:r>
              <w:rPr>
                <w:rFonts w:ascii="Arial" w:cs="Arial" w:eastAsia="Arial" w:hAnsi="Arial"/>
                <w:sz w:val="14"/>
                <w:szCs w:val="14"/>
                <w:b w:val="1"/>
                <w:bCs w:val="1"/>
                <w:color w:val="auto"/>
              </w:rPr>
              <w:t>Statement of Operations</w:t>
            </w:r>
          </w:p>
        </w:tc>
        <w:tc>
          <w:tcPr>
            <w:tcW w:w="340" w:type="dxa"/>
            <w:vAlign w:val="bottom"/>
            <w:tcBorders>
              <w:bottom w:val="single" w:sz="8" w:color="auto"/>
            </w:tcBorders>
          </w:tcPr>
          <w:p>
            <w:pPr>
              <w:spacing w:after="0"/>
              <w:rPr>
                <w:sz w:val="14"/>
                <w:szCs w:val="14"/>
                <w:color w:val="auto"/>
              </w:rPr>
            </w:pPr>
          </w:p>
        </w:tc>
        <w:tc>
          <w:tcPr>
            <w:tcW w:w="1560" w:type="dxa"/>
            <w:vAlign w:val="bottom"/>
            <w:tcBorders>
              <w:bottom w:val="single" w:sz="8" w:color="auto"/>
            </w:tcBorders>
            <w:gridSpan w:val="3"/>
          </w:tcPr>
          <w:p>
            <w:pPr>
              <w:jc w:val="center"/>
              <w:ind w:left="434"/>
              <w:spacing w:after="0"/>
              <w:rPr>
                <w:sz w:val="20"/>
                <w:szCs w:val="20"/>
                <w:color w:val="auto"/>
              </w:rPr>
            </w:pPr>
            <w:r>
              <w:rPr>
                <w:rFonts w:ascii="Arial" w:cs="Arial" w:eastAsia="Arial" w:hAnsi="Arial"/>
                <w:sz w:val="14"/>
                <w:szCs w:val="14"/>
                <w:b w:val="1"/>
                <w:bCs w:val="1"/>
                <w:color w:val="auto"/>
                <w:w w:val="92"/>
              </w:rPr>
              <w:t>December 31,</w:t>
            </w:r>
          </w:p>
        </w:tc>
        <w:tc>
          <w:tcPr>
            <w:tcW w:w="840" w:type="dxa"/>
            <w:vAlign w:val="bottom"/>
            <w:tcBorders>
              <w:bottom w:val="single" w:sz="8" w:color="auto"/>
            </w:tcBorders>
          </w:tcPr>
          <w:p>
            <w:pPr>
              <w:spacing w:after="0"/>
              <w:rPr>
                <w:sz w:val="14"/>
                <w:szCs w:val="14"/>
                <w:color w:val="auto"/>
              </w:rPr>
            </w:pPr>
          </w:p>
        </w:tc>
        <w:tc>
          <w:tcPr>
            <w:tcW w:w="340" w:type="dxa"/>
            <w:vAlign w:val="bottom"/>
          </w:tcPr>
          <w:p>
            <w:pPr>
              <w:spacing w:after="0"/>
              <w:rPr>
                <w:sz w:val="14"/>
                <w:szCs w:val="14"/>
                <w:color w:val="auto"/>
              </w:rPr>
            </w:pPr>
          </w:p>
        </w:tc>
        <w:tc>
          <w:tcPr>
            <w:tcW w:w="360" w:type="dxa"/>
            <w:vAlign w:val="bottom"/>
            <w:tcBorders>
              <w:bottom w:val="single" w:sz="8" w:color="auto"/>
            </w:tcBorders>
          </w:tcPr>
          <w:p>
            <w:pPr>
              <w:spacing w:after="0"/>
              <w:rPr>
                <w:sz w:val="14"/>
                <w:szCs w:val="14"/>
                <w:color w:val="auto"/>
              </w:rPr>
            </w:pPr>
          </w:p>
        </w:tc>
        <w:tc>
          <w:tcPr>
            <w:tcW w:w="36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260" w:type="dxa"/>
            <w:vAlign w:val="bottom"/>
            <w:tcBorders>
              <w:bottom w:val="single" w:sz="8" w:color="auto"/>
            </w:tcBorders>
            <w:gridSpan w:val="5"/>
          </w:tcPr>
          <w:p>
            <w:pPr>
              <w:jc w:val="right"/>
              <w:ind w:right="240"/>
              <w:spacing w:after="0"/>
              <w:rPr>
                <w:sz w:val="20"/>
                <w:szCs w:val="20"/>
                <w:color w:val="auto"/>
              </w:rPr>
            </w:pPr>
            <w:r>
              <w:rPr>
                <w:rFonts w:ascii="Arial" w:cs="Arial" w:eastAsia="Arial" w:hAnsi="Arial"/>
                <w:sz w:val="14"/>
                <w:szCs w:val="14"/>
                <w:b w:val="1"/>
                <w:bCs w:val="1"/>
                <w:color w:val="auto"/>
              </w:rPr>
              <w:t>December 31,</w:t>
            </w:r>
          </w:p>
        </w:tc>
        <w:tc>
          <w:tcPr>
            <w:tcW w:w="760" w:type="dxa"/>
            <w:vAlign w:val="bottom"/>
            <w:tcBorders>
              <w:bottom w:val="single" w:sz="8" w:color="auto"/>
            </w:tcBorders>
          </w:tcPr>
          <w:p>
            <w:pPr>
              <w:spacing w:after="0"/>
              <w:rPr>
                <w:sz w:val="14"/>
                <w:szCs w:val="14"/>
                <w:color w:val="auto"/>
              </w:rPr>
            </w:pPr>
          </w:p>
        </w:tc>
        <w:tc>
          <w:tcPr>
            <w:tcW w:w="2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06"/>
        </w:trPr>
        <w:tc>
          <w:tcPr>
            <w:tcW w:w="1860" w:type="dxa"/>
            <w:vAlign w:val="bottom"/>
            <w:vMerge w:val="continue"/>
          </w:tcPr>
          <w:p>
            <w:pPr>
              <w:spacing w:after="0"/>
              <w:rPr>
                <w:sz w:val="9"/>
                <w:szCs w:val="9"/>
                <w:color w:val="auto"/>
              </w:rPr>
            </w:pPr>
          </w:p>
        </w:tc>
        <w:tc>
          <w:tcPr>
            <w:tcW w:w="340" w:type="dxa"/>
            <w:vAlign w:val="bottom"/>
          </w:tcPr>
          <w:p>
            <w:pPr>
              <w:spacing w:after="0"/>
              <w:rPr>
                <w:sz w:val="9"/>
                <w:szCs w:val="9"/>
                <w:color w:val="auto"/>
              </w:rPr>
            </w:pPr>
          </w:p>
        </w:tc>
        <w:tc>
          <w:tcPr>
            <w:tcW w:w="860" w:type="dxa"/>
            <w:vAlign w:val="bottom"/>
            <w:vMerge w:val="restart"/>
          </w:tcPr>
          <w:p>
            <w:pPr>
              <w:jc w:val="right"/>
              <w:ind w:right="354"/>
              <w:spacing w:after="0"/>
              <w:rPr>
                <w:sz w:val="20"/>
                <w:szCs w:val="20"/>
                <w:color w:val="auto"/>
              </w:rPr>
            </w:pPr>
            <w:r>
              <w:rPr>
                <w:rFonts w:ascii="Arial" w:cs="Arial" w:eastAsia="Arial" w:hAnsi="Arial"/>
                <w:sz w:val="14"/>
                <w:szCs w:val="14"/>
                <w:b w:val="1"/>
                <w:bCs w:val="1"/>
                <w:color w:val="auto"/>
              </w:rPr>
              <w:t>2015</w:t>
            </w:r>
          </w:p>
        </w:tc>
        <w:tc>
          <w:tcPr>
            <w:tcW w:w="340" w:type="dxa"/>
            <w:vAlign w:val="bottom"/>
          </w:tcPr>
          <w:p>
            <w:pPr>
              <w:spacing w:after="0"/>
              <w:rPr>
                <w:sz w:val="9"/>
                <w:szCs w:val="9"/>
                <w:color w:val="auto"/>
              </w:rPr>
            </w:pPr>
          </w:p>
        </w:tc>
        <w:tc>
          <w:tcPr>
            <w:tcW w:w="360" w:type="dxa"/>
            <w:vAlign w:val="bottom"/>
          </w:tcPr>
          <w:p>
            <w:pPr>
              <w:spacing w:after="0"/>
              <w:rPr>
                <w:sz w:val="9"/>
                <w:szCs w:val="9"/>
                <w:color w:val="auto"/>
              </w:rPr>
            </w:pPr>
          </w:p>
        </w:tc>
        <w:tc>
          <w:tcPr>
            <w:tcW w:w="840" w:type="dxa"/>
            <w:vAlign w:val="bottom"/>
            <w:vMerge w:val="restart"/>
          </w:tcPr>
          <w:p>
            <w:pPr>
              <w:jc w:val="right"/>
              <w:ind w:right="352"/>
              <w:spacing w:after="0"/>
              <w:rPr>
                <w:sz w:val="20"/>
                <w:szCs w:val="20"/>
                <w:color w:val="auto"/>
              </w:rPr>
            </w:pPr>
            <w:r>
              <w:rPr>
                <w:rFonts w:ascii="Arial" w:cs="Arial" w:eastAsia="Arial" w:hAnsi="Arial"/>
                <w:sz w:val="14"/>
                <w:szCs w:val="14"/>
                <w:b w:val="1"/>
                <w:bCs w:val="1"/>
                <w:color w:val="auto"/>
              </w:rPr>
              <w:t>2014</w:t>
            </w:r>
          </w:p>
        </w:tc>
        <w:tc>
          <w:tcPr>
            <w:tcW w:w="340" w:type="dxa"/>
            <w:vAlign w:val="bottom"/>
          </w:tcPr>
          <w:p>
            <w:pPr>
              <w:spacing w:after="0"/>
              <w:rPr>
                <w:sz w:val="9"/>
                <w:szCs w:val="9"/>
                <w:color w:val="auto"/>
              </w:rPr>
            </w:pPr>
          </w:p>
        </w:tc>
        <w:tc>
          <w:tcPr>
            <w:tcW w:w="360" w:type="dxa"/>
            <w:vAlign w:val="bottom"/>
          </w:tcPr>
          <w:p>
            <w:pPr>
              <w:spacing w:after="0"/>
              <w:rPr>
                <w:sz w:val="9"/>
                <w:szCs w:val="9"/>
                <w:color w:val="auto"/>
              </w:rPr>
            </w:pPr>
          </w:p>
        </w:tc>
        <w:tc>
          <w:tcPr>
            <w:tcW w:w="480" w:type="dxa"/>
            <w:vAlign w:val="bottom"/>
            <w:gridSpan w:val="2"/>
            <w:vMerge w:val="restart"/>
          </w:tcPr>
          <w:p>
            <w:pPr>
              <w:jc w:val="right"/>
              <w:ind w:right="40"/>
              <w:spacing w:after="0"/>
              <w:rPr>
                <w:sz w:val="20"/>
                <w:szCs w:val="20"/>
                <w:color w:val="auto"/>
              </w:rPr>
            </w:pPr>
            <w:r>
              <w:rPr>
                <w:rFonts w:ascii="Arial" w:cs="Arial" w:eastAsia="Arial" w:hAnsi="Arial"/>
                <w:sz w:val="14"/>
                <w:szCs w:val="14"/>
                <w:b w:val="1"/>
                <w:bCs w:val="1"/>
                <w:color w:val="auto"/>
              </w:rPr>
              <w:t>2015</w:t>
            </w:r>
          </w:p>
        </w:tc>
        <w:tc>
          <w:tcPr>
            <w:tcW w:w="460" w:type="dxa"/>
            <w:vAlign w:val="bottom"/>
          </w:tcPr>
          <w:p>
            <w:pPr>
              <w:spacing w:after="0"/>
              <w:rPr>
                <w:sz w:val="9"/>
                <w:szCs w:val="9"/>
                <w:color w:val="auto"/>
              </w:rPr>
            </w:pPr>
          </w:p>
        </w:tc>
        <w:tc>
          <w:tcPr>
            <w:tcW w:w="360" w:type="dxa"/>
            <w:vAlign w:val="bottom"/>
          </w:tcPr>
          <w:p>
            <w:pPr>
              <w:spacing w:after="0"/>
              <w:rPr>
                <w:sz w:val="9"/>
                <w:szCs w:val="9"/>
                <w:color w:val="auto"/>
              </w:rPr>
            </w:pPr>
          </w:p>
        </w:tc>
        <w:tc>
          <w:tcPr>
            <w:tcW w:w="80" w:type="dxa"/>
            <w:vAlign w:val="bottom"/>
          </w:tcPr>
          <w:p>
            <w:pPr>
              <w:spacing w:after="0"/>
              <w:rPr>
                <w:sz w:val="9"/>
                <w:szCs w:val="9"/>
                <w:color w:val="auto"/>
              </w:rPr>
            </w:pPr>
          </w:p>
        </w:tc>
        <w:tc>
          <w:tcPr>
            <w:tcW w:w="200" w:type="dxa"/>
            <w:vAlign w:val="bottom"/>
          </w:tcPr>
          <w:p>
            <w:pPr>
              <w:spacing w:after="0"/>
              <w:rPr>
                <w:sz w:val="9"/>
                <w:szCs w:val="9"/>
                <w:color w:val="auto"/>
              </w:rPr>
            </w:pPr>
          </w:p>
        </w:tc>
        <w:tc>
          <w:tcPr>
            <w:tcW w:w="160" w:type="dxa"/>
            <w:vAlign w:val="bottom"/>
          </w:tcPr>
          <w:p>
            <w:pPr>
              <w:spacing w:after="0"/>
              <w:rPr>
                <w:sz w:val="9"/>
                <w:szCs w:val="9"/>
                <w:color w:val="auto"/>
              </w:rPr>
            </w:pPr>
          </w:p>
        </w:tc>
        <w:tc>
          <w:tcPr>
            <w:tcW w:w="760" w:type="dxa"/>
            <w:vAlign w:val="bottom"/>
            <w:vMerge w:val="restart"/>
          </w:tcPr>
          <w:p>
            <w:pPr>
              <w:jc w:val="right"/>
              <w:ind w:right="352"/>
              <w:spacing w:after="0"/>
              <w:rPr>
                <w:sz w:val="20"/>
                <w:szCs w:val="20"/>
                <w:color w:val="auto"/>
              </w:rPr>
            </w:pPr>
            <w:r>
              <w:rPr>
                <w:rFonts w:ascii="Arial" w:cs="Arial" w:eastAsia="Arial" w:hAnsi="Arial"/>
                <w:sz w:val="14"/>
                <w:szCs w:val="14"/>
                <w:b w:val="1"/>
                <w:bCs w:val="1"/>
                <w:color w:val="auto"/>
                <w:w w:val="96"/>
              </w:rPr>
              <w:t>2014</w:t>
            </w:r>
          </w:p>
        </w:tc>
        <w:tc>
          <w:tcPr>
            <w:tcW w:w="2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19"/>
        </w:trPr>
        <w:tc>
          <w:tcPr>
            <w:tcW w:w="1860" w:type="dxa"/>
            <w:vAlign w:val="bottom"/>
            <w:vMerge w:val="restart"/>
          </w:tcPr>
          <w:p>
            <w:pPr>
              <w:ind w:left="120"/>
              <w:spacing w:after="0"/>
              <w:rPr>
                <w:sz w:val="20"/>
                <w:szCs w:val="20"/>
                <w:color w:val="auto"/>
              </w:rPr>
            </w:pPr>
            <w:r>
              <w:rPr>
                <w:rFonts w:ascii="Arial" w:cs="Arial" w:eastAsia="Arial" w:hAnsi="Arial"/>
                <w:sz w:val="14"/>
                <w:szCs w:val="14"/>
                <w:b w:val="1"/>
                <w:bCs w:val="1"/>
                <w:color w:val="auto"/>
              </w:rPr>
              <w:t>Items:</w:t>
            </w:r>
          </w:p>
        </w:tc>
        <w:tc>
          <w:tcPr>
            <w:tcW w:w="340" w:type="dxa"/>
            <w:vAlign w:val="bottom"/>
          </w:tcPr>
          <w:p>
            <w:pPr>
              <w:spacing w:after="0"/>
              <w:rPr>
                <w:sz w:val="10"/>
                <w:szCs w:val="10"/>
                <w:color w:val="auto"/>
              </w:rPr>
            </w:pPr>
          </w:p>
        </w:tc>
        <w:tc>
          <w:tcPr>
            <w:tcW w:w="860" w:type="dxa"/>
            <w:vAlign w:val="bottom"/>
            <w:vMerge w:val="continue"/>
          </w:tcPr>
          <w:p>
            <w:pPr>
              <w:spacing w:after="0"/>
              <w:rPr>
                <w:sz w:val="10"/>
                <w:szCs w:val="10"/>
                <w:color w:val="auto"/>
              </w:rPr>
            </w:pPr>
          </w:p>
        </w:tc>
        <w:tc>
          <w:tcPr>
            <w:tcW w:w="34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840" w:type="dxa"/>
            <w:vAlign w:val="bottom"/>
            <w:vMerge w:val="continue"/>
          </w:tcPr>
          <w:p>
            <w:pPr>
              <w:spacing w:after="0"/>
              <w:rPr>
                <w:sz w:val="10"/>
                <w:szCs w:val="10"/>
                <w:color w:val="auto"/>
              </w:rPr>
            </w:pPr>
          </w:p>
        </w:tc>
        <w:tc>
          <w:tcPr>
            <w:tcW w:w="34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480" w:type="dxa"/>
            <w:vAlign w:val="bottom"/>
            <w:gridSpan w:val="2"/>
            <w:vMerge w:val="continue"/>
          </w:tcPr>
          <w:p>
            <w:pPr>
              <w:spacing w:after="0"/>
              <w:rPr>
                <w:sz w:val="10"/>
                <w:szCs w:val="10"/>
                <w:color w:val="auto"/>
              </w:rPr>
            </w:pPr>
          </w:p>
        </w:tc>
        <w:tc>
          <w:tcPr>
            <w:tcW w:w="46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760" w:type="dxa"/>
            <w:vAlign w:val="bottom"/>
            <w:vMerge w:val="continue"/>
          </w:tcPr>
          <w:p>
            <w:pPr>
              <w:spacing w:after="0"/>
              <w:rPr>
                <w:sz w:val="10"/>
                <w:szCs w:val="10"/>
                <w:color w:val="auto"/>
              </w:rPr>
            </w:pPr>
          </w:p>
        </w:tc>
        <w:tc>
          <w:tcPr>
            <w:tcW w:w="2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53"/>
        </w:trPr>
        <w:tc>
          <w:tcPr>
            <w:tcW w:w="1860" w:type="dxa"/>
            <w:vAlign w:val="bottom"/>
            <w:vMerge w:val="continue"/>
          </w:tcPr>
          <w:p>
            <w:pPr>
              <w:spacing w:after="0"/>
              <w:rPr>
                <w:sz w:val="4"/>
                <w:szCs w:val="4"/>
                <w:color w:val="auto"/>
              </w:rPr>
            </w:pPr>
          </w:p>
        </w:tc>
        <w:tc>
          <w:tcPr>
            <w:tcW w:w="340" w:type="dxa"/>
            <w:vAlign w:val="bottom"/>
            <w:tcBorders>
              <w:bottom w:val="single" w:sz="8" w:color="auto"/>
            </w:tcBorders>
          </w:tcPr>
          <w:p>
            <w:pPr>
              <w:spacing w:after="0"/>
              <w:rPr>
                <w:sz w:val="4"/>
                <w:szCs w:val="4"/>
                <w:color w:val="auto"/>
              </w:rPr>
            </w:pPr>
          </w:p>
        </w:tc>
        <w:tc>
          <w:tcPr>
            <w:tcW w:w="860" w:type="dxa"/>
            <w:vAlign w:val="bottom"/>
            <w:tcBorders>
              <w:bottom w:val="single" w:sz="8" w:color="auto"/>
            </w:tcBorders>
          </w:tcPr>
          <w:p>
            <w:pPr>
              <w:spacing w:after="0"/>
              <w:rPr>
                <w:sz w:val="4"/>
                <w:szCs w:val="4"/>
                <w:color w:val="auto"/>
              </w:rPr>
            </w:pPr>
          </w:p>
        </w:tc>
        <w:tc>
          <w:tcPr>
            <w:tcW w:w="340" w:type="dxa"/>
            <w:vAlign w:val="bottom"/>
          </w:tcPr>
          <w:p>
            <w:pPr>
              <w:spacing w:after="0"/>
              <w:rPr>
                <w:sz w:val="4"/>
                <w:szCs w:val="4"/>
                <w:color w:val="auto"/>
              </w:rPr>
            </w:pPr>
          </w:p>
        </w:tc>
        <w:tc>
          <w:tcPr>
            <w:tcW w:w="360" w:type="dxa"/>
            <w:vAlign w:val="bottom"/>
            <w:tcBorders>
              <w:bottom w:val="single" w:sz="8" w:color="auto"/>
            </w:tcBorders>
          </w:tcPr>
          <w:p>
            <w:pPr>
              <w:spacing w:after="0"/>
              <w:rPr>
                <w:sz w:val="4"/>
                <w:szCs w:val="4"/>
                <w:color w:val="auto"/>
              </w:rPr>
            </w:pPr>
          </w:p>
        </w:tc>
        <w:tc>
          <w:tcPr>
            <w:tcW w:w="840" w:type="dxa"/>
            <w:vAlign w:val="bottom"/>
            <w:tcBorders>
              <w:bottom w:val="single" w:sz="8" w:color="auto"/>
            </w:tcBorders>
          </w:tcPr>
          <w:p>
            <w:pPr>
              <w:spacing w:after="0"/>
              <w:rPr>
                <w:sz w:val="4"/>
                <w:szCs w:val="4"/>
                <w:color w:val="auto"/>
              </w:rPr>
            </w:pPr>
          </w:p>
        </w:tc>
        <w:tc>
          <w:tcPr>
            <w:tcW w:w="340" w:type="dxa"/>
            <w:vAlign w:val="bottom"/>
          </w:tcPr>
          <w:p>
            <w:pPr>
              <w:spacing w:after="0"/>
              <w:rPr>
                <w:sz w:val="4"/>
                <w:szCs w:val="4"/>
                <w:color w:val="auto"/>
              </w:rPr>
            </w:pPr>
          </w:p>
        </w:tc>
        <w:tc>
          <w:tcPr>
            <w:tcW w:w="360" w:type="dxa"/>
            <w:vAlign w:val="bottom"/>
            <w:tcBorders>
              <w:bottom w:val="single" w:sz="8" w:color="auto"/>
            </w:tcBorders>
          </w:tcPr>
          <w:p>
            <w:pPr>
              <w:spacing w:after="0"/>
              <w:rPr>
                <w:sz w:val="4"/>
                <w:szCs w:val="4"/>
                <w:color w:val="auto"/>
              </w:rPr>
            </w:pPr>
          </w:p>
        </w:tc>
        <w:tc>
          <w:tcPr>
            <w:tcW w:w="36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460" w:type="dxa"/>
            <w:vAlign w:val="bottom"/>
            <w:tcBorders>
              <w:bottom w:val="single" w:sz="8" w:color="auto"/>
            </w:tcBorders>
          </w:tcPr>
          <w:p>
            <w:pPr>
              <w:spacing w:after="0"/>
              <w:rPr>
                <w:sz w:val="4"/>
                <w:szCs w:val="4"/>
                <w:color w:val="auto"/>
              </w:rPr>
            </w:pPr>
          </w:p>
        </w:tc>
        <w:tc>
          <w:tcPr>
            <w:tcW w:w="360" w:type="dxa"/>
            <w:vAlign w:val="bottom"/>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200" w:type="dxa"/>
            <w:vAlign w:val="bottom"/>
            <w:tcBorders>
              <w:bottom w:val="single" w:sz="8" w:color="auto"/>
            </w:tcBorders>
          </w:tcPr>
          <w:p>
            <w:pPr>
              <w:spacing w:after="0"/>
              <w:rPr>
                <w:sz w:val="4"/>
                <w:szCs w:val="4"/>
                <w:color w:val="auto"/>
              </w:rPr>
            </w:pPr>
          </w:p>
        </w:tc>
        <w:tc>
          <w:tcPr>
            <w:tcW w:w="160" w:type="dxa"/>
            <w:vAlign w:val="bottom"/>
            <w:tcBorders>
              <w:bottom w:val="single" w:sz="8" w:color="auto"/>
            </w:tcBorders>
          </w:tcPr>
          <w:p>
            <w:pPr>
              <w:spacing w:after="0"/>
              <w:rPr>
                <w:sz w:val="4"/>
                <w:szCs w:val="4"/>
                <w:color w:val="auto"/>
              </w:rPr>
            </w:pPr>
          </w:p>
        </w:tc>
        <w:tc>
          <w:tcPr>
            <w:tcW w:w="760" w:type="dxa"/>
            <w:vAlign w:val="bottom"/>
            <w:tcBorders>
              <w:bottom w:val="single" w:sz="8" w:color="auto"/>
            </w:tcBorders>
          </w:tcPr>
          <w:p>
            <w:pPr>
              <w:spacing w:after="0"/>
              <w:rPr>
                <w:sz w:val="4"/>
                <w:szCs w:val="4"/>
                <w:color w:val="auto"/>
              </w:rPr>
            </w:pPr>
          </w:p>
        </w:tc>
        <w:tc>
          <w:tcPr>
            <w:tcW w:w="26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96"/>
        </w:trPr>
        <w:tc>
          <w:tcPr>
            <w:tcW w:w="18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260" w:type="dxa"/>
            <w:vAlign w:val="bottom"/>
            <w:vMerge w:val="restart"/>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1860" w:type="dxa"/>
            <w:vAlign w:val="bottom"/>
            <w:shd w:val="clear" w:color="auto" w:fill="CCEEFF"/>
          </w:tcPr>
          <w:p>
            <w:pPr>
              <w:ind w:left="120"/>
              <w:spacing w:after="0"/>
              <w:rPr>
                <w:sz w:val="20"/>
                <w:szCs w:val="20"/>
                <w:color w:val="auto"/>
              </w:rPr>
            </w:pPr>
            <w:r>
              <w:rPr>
                <w:rFonts w:ascii="Arial" w:cs="Arial" w:eastAsia="Arial" w:hAnsi="Arial"/>
                <w:sz w:val="18"/>
                <w:szCs w:val="18"/>
                <w:color w:val="auto"/>
                <w:w w:val="97"/>
              </w:rPr>
              <w:t>Collaboration revenue</w:t>
            </w:r>
          </w:p>
        </w:tc>
        <w:tc>
          <w:tcPr>
            <w:tcW w:w="3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4,937</w:t>
            </w:r>
          </w:p>
        </w:tc>
        <w:tc>
          <w:tcPr>
            <w:tcW w:w="34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118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w:t>
            </w:r>
          </w:p>
        </w:tc>
        <w:tc>
          <w:tcPr>
            <w:tcW w:w="3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94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17,334</w:t>
            </w:r>
          </w:p>
        </w:tc>
        <w:tc>
          <w:tcPr>
            <w:tcW w:w="3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9"/>
                <w:szCs w:val="19"/>
                <w:color w:val="auto"/>
              </w:rPr>
            </w:pPr>
          </w:p>
        </w:tc>
        <w:tc>
          <w:tcPr>
            <w:tcW w:w="760" w:type="dxa"/>
            <w:vAlign w:val="bottom"/>
            <w:shd w:val="clear" w:color="auto" w:fill="CCEEFF"/>
          </w:tcPr>
          <w:p>
            <w:pPr>
              <w:jc w:val="right"/>
              <w:ind w:right="112"/>
              <w:spacing w:after="0"/>
              <w:rPr>
                <w:sz w:val="20"/>
                <w:szCs w:val="20"/>
                <w:color w:val="auto"/>
              </w:rPr>
            </w:pPr>
            <w:r>
              <w:rPr>
                <w:rFonts w:ascii="Arial" w:cs="Arial" w:eastAsia="Arial" w:hAnsi="Arial"/>
                <w:sz w:val="18"/>
                <w:szCs w:val="18"/>
                <w:color w:val="auto"/>
              </w:rPr>
              <w:t>—</w:t>
            </w:r>
          </w:p>
        </w:tc>
        <w:tc>
          <w:tcPr>
            <w:tcW w:w="26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860" w:type="dxa"/>
            <w:vAlign w:val="bottom"/>
          </w:tcPr>
          <w:p>
            <w:pPr>
              <w:ind w:left="120"/>
              <w:spacing w:after="0"/>
              <w:rPr>
                <w:sz w:val="20"/>
                <w:szCs w:val="20"/>
                <w:color w:val="auto"/>
              </w:rPr>
            </w:pPr>
            <w:r>
              <w:rPr>
                <w:rFonts w:ascii="Arial" w:cs="Arial" w:eastAsia="Arial" w:hAnsi="Arial"/>
                <w:sz w:val="18"/>
                <w:szCs w:val="18"/>
                <w:color w:val="auto"/>
              </w:rPr>
              <w:t>Operating expenses:</w:t>
            </w:r>
          </w:p>
        </w:tc>
        <w:tc>
          <w:tcPr>
            <w:tcW w:w="34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2"/>
        </w:trPr>
        <w:tc>
          <w:tcPr>
            <w:tcW w:w="1860" w:type="dxa"/>
            <w:vAlign w:val="bottom"/>
            <w:shd w:val="clear" w:color="auto" w:fill="CCEEFF"/>
          </w:tcPr>
          <w:p>
            <w:pPr>
              <w:ind w:left="480"/>
              <w:spacing w:after="0" w:line="201" w:lineRule="exact"/>
              <w:rPr>
                <w:sz w:val="20"/>
                <w:szCs w:val="20"/>
                <w:color w:val="auto"/>
              </w:rPr>
            </w:pPr>
            <w:r>
              <w:rPr>
                <w:rFonts w:ascii="Arial" w:cs="Arial" w:eastAsia="Arial" w:hAnsi="Arial"/>
                <w:sz w:val="18"/>
                <w:szCs w:val="18"/>
                <w:color w:val="auto"/>
              </w:rPr>
              <w:t>Research and</w:t>
            </w:r>
          </w:p>
        </w:tc>
        <w:tc>
          <w:tcPr>
            <w:tcW w:w="34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2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1860" w:type="dxa"/>
            <w:vAlign w:val="bottom"/>
            <w:shd w:val="clear" w:color="auto" w:fill="CCEEFF"/>
          </w:tcPr>
          <w:p>
            <w:pPr>
              <w:ind w:left="120"/>
              <w:spacing w:after="0"/>
              <w:rPr>
                <w:sz w:val="20"/>
                <w:szCs w:val="20"/>
                <w:color w:val="auto"/>
              </w:rPr>
            </w:pPr>
            <w:r>
              <w:rPr>
                <w:rFonts w:ascii="Arial" w:cs="Arial" w:eastAsia="Arial" w:hAnsi="Arial"/>
                <w:sz w:val="18"/>
                <w:szCs w:val="18"/>
                <w:color w:val="auto"/>
              </w:rPr>
              <w:t>development</w:t>
            </w:r>
          </w:p>
        </w:tc>
        <w:tc>
          <w:tcPr>
            <w:tcW w:w="340" w:type="dxa"/>
            <w:vAlign w:val="bottom"/>
            <w:shd w:val="clear" w:color="auto" w:fill="CCEEFF"/>
          </w:tcPr>
          <w:p>
            <w:pPr>
              <w:spacing w:after="0"/>
              <w:rPr>
                <w:sz w:val="20"/>
                <w:szCs w:val="20"/>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9,220</w:t>
            </w:r>
          </w:p>
        </w:tc>
        <w:tc>
          <w:tcPr>
            <w:tcW w:w="340" w:type="dxa"/>
            <w:vAlign w:val="bottom"/>
            <w:shd w:val="clear" w:color="auto" w:fill="CCEEFF"/>
          </w:tcPr>
          <w:p>
            <w:pPr>
              <w:spacing w:after="0"/>
              <w:rPr>
                <w:sz w:val="20"/>
                <w:szCs w:val="20"/>
                <w:color w:val="auto"/>
              </w:rPr>
            </w:pPr>
          </w:p>
        </w:tc>
        <w:tc>
          <w:tcPr>
            <w:tcW w:w="360" w:type="dxa"/>
            <w:vAlign w:val="bottom"/>
            <w:shd w:val="clear" w:color="auto" w:fill="CCEEFF"/>
          </w:tcPr>
          <w:p>
            <w:pPr>
              <w:spacing w:after="0"/>
              <w:rPr>
                <w:sz w:val="20"/>
                <w:szCs w:val="20"/>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2,960</w:t>
            </w:r>
          </w:p>
        </w:tc>
        <w:tc>
          <w:tcPr>
            <w:tcW w:w="340" w:type="dxa"/>
            <w:vAlign w:val="bottom"/>
            <w:shd w:val="clear" w:color="auto" w:fill="CCEEFF"/>
          </w:tcPr>
          <w:p>
            <w:pPr>
              <w:spacing w:after="0"/>
              <w:rPr>
                <w:sz w:val="20"/>
                <w:szCs w:val="20"/>
                <w:color w:val="auto"/>
              </w:rPr>
            </w:pPr>
          </w:p>
        </w:tc>
        <w:tc>
          <w:tcPr>
            <w:tcW w:w="360" w:type="dxa"/>
            <w:vAlign w:val="bottom"/>
            <w:shd w:val="clear" w:color="auto" w:fill="CCEEFF"/>
          </w:tcPr>
          <w:p>
            <w:pPr>
              <w:spacing w:after="0"/>
              <w:rPr>
                <w:sz w:val="20"/>
                <w:szCs w:val="20"/>
                <w:color w:val="auto"/>
              </w:rPr>
            </w:pPr>
          </w:p>
        </w:tc>
        <w:tc>
          <w:tcPr>
            <w:tcW w:w="94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27,679</w:t>
            </w:r>
          </w:p>
        </w:tc>
        <w:tc>
          <w:tcPr>
            <w:tcW w:w="36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8,898</w:t>
            </w:r>
          </w:p>
        </w:tc>
        <w:tc>
          <w:tcPr>
            <w:tcW w:w="2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2"/>
        </w:trPr>
        <w:tc>
          <w:tcPr>
            <w:tcW w:w="1860" w:type="dxa"/>
            <w:vAlign w:val="bottom"/>
          </w:tcPr>
          <w:p>
            <w:pPr>
              <w:ind w:left="480"/>
              <w:spacing w:after="0" w:line="201" w:lineRule="exact"/>
              <w:rPr>
                <w:sz w:val="20"/>
                <w:szCs w:val="20"/>
                <w:color w:val="auto"/>
              </w:rPr>
            </w:pPr>
            <w:r>
              <w:rPr>
                <w:rFonts w:ascii="Arial" w:cs="Arial" w:eastAsia="Arial" w:hAnsi="Arial"/>
                <w:sz w:val="18"/>
                <w:szCs w:val="18"/>
                <w:color w:val="auto"/>
              </w:rPr>
              <w:t>General and</w:t>
            </w:r>
          </w:p>
        </w:tc>
        <w:tc>
          <w:tcPr>
            <w:tcW w:w="34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1860" w:type="dxa"/>
            <w:vAlign w:val="bottom"/>
            <w:tcBorders>
              <w:bottom w:val="single" w:sz="8" w:color="CCEEFF"/>
            </w:tcBorders>
          </w:tcPr>
          <w:p>
            <w:pPr>
              <w:ind w:left="120"/>
              <w:spacing w:after="0"/>
              <w:rPr>
                <w:sz w:val="20"/>
                <w:szCs w:val="20"/>
                <w:color w:val="auto"/>
              </w:rPr>
            </w:pPr>
            <w:r>
              <w:rPr>
                <w:rFonts w:ascii="Arial" w:cs="Arial" w:eastAsia="Arial" w:hAnsi="Arial"/>
                <w:sz w:val="18"/>
                <w:szCs w:val="18"/>
                <w:color w:val="auto"/>
              </w:rPr>
              <w:t>administrative</w:t>
            </w:r>
          </w:p>
        </w:tc>
        <w:tc>
          <w:tcPr>
            <w:tcW w:w="34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3,157</w:t>
            </w:r>
          </w:p>
        </w:tc>
        <w:tc>
          <w:tcPr>
            <w:tcW w:w="340" w:type="dxa"/>
            <w:vAlign w:val="bottom"/>
            <w:tcBorders>
              <w:bottom w:val="single" w:sz="8" w:color="CCEEFF"/>
            </w:tcBorders>
          </w:tcPr>
          <w:p>
            <w:pPr>
              <w:spacing w:after="0"/>
              <w:rPr>
                <w:sz w:val="20"/>
                <w:szCs w:val="20"/>
                <w:color w:val="auto"/>
              </w:rPr>
            </w:pPr>
          </w:p>
        </w:tc>
        <w:tc>
          <w:tcPr>
            <w:tcW w:w="360" w:type="dxa"/>
            <w:vAlign w:val="bottom"/>
            <w:tcBorders>
              <w:bottom w:val="single" w:sz="8" w:color="auto"/>
            </w:tcBorders>
          </w:tcPr>
          <w:p>
            <w:pPr>
              <w:spacing w:after="0"/>
              <w:rPr>
                <w:sz w:val="20"/>
                <w:szCs w:val="20"/>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1,536</w:t>
            </w:r>
          </w:p>
        </w:tc>
        <w:tc>
          <w:tcPr>
            <w:tcW w:w="340" w:type="dxa"/>
            <w:vAlign w:val="bottom"/>
            <w:tcBorders>
              <w:bottom w:val="single" w:sz="8" w:color="CCEEFF"/>
            </w:tcBorders>
          </w:tcPr>
          <w:p>
            <w:pPr>
              <w:spacing w:after="0"/>
              <w:rPr>
                <w:sz w:val="20"/>
                <w:szCs w:val="20"/>
                <w:color w:val="auto"/>
              </w:rPr>
            </w:pPr>
          </w:p>
        </w:tc>
        <w:tc>
          <w:tcPr>
            <w:tcW w:w="360" w:type="dxa"/>
            <w:vAlign w:val="bottom"/>
            <w:tcBorders>
              <w:bottom w:val="single" w:sz="8" w:color="auto"/>
            </w:tcBorders>
          </w:tcPr>
          <w:p>
            <w:pPr>
              <w:spacing w:after="0"/>
              <w:rPr>
                <w:sz w:val="20"/>
                <w:szCs w:val="20"/>
                <w:color w:val="auto"/>
              </w:rPr>
            </w:pPr>
          </w:p>
        </w:tc>
        <w:tc>
          <w:tcPr>
            <w:tcW w:w="36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4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8"/>
              </w:rPr>
              <w:t>9,909</w:t>
            </w:r>
          </w:p>
        </w:tc>
        <w:tc>
          <w:tcPr>
            <w:tcW w:w="360" w:type="dxa"/>
            <w:vAlign w:val="bottom"/>
            <w:tcBorders>
              <w:bottom w:val="single" w:sz="8" w:color="CCEEFF"/>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5,469</w:t>
            </w:r>
          </w:p>
        </w:tc>
        <w:tc>
          <w:tcPr>
            <w:tcW w:w="2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82"/>
        </w:trPr>
        <w:tc>
          <w:tcPr>
            <w:tcW w:w="1860" w:type="dxa"/>
            <w:vAlign w:val="bottom"/>
            <w:shd w:val="clear" w:color="auto" w:fill="CCEEFF"/>
          </w:tcPr>
          <w:p>
            <w:pPr>
              <w:ind w:left="120"/>
              <w:spacing w:after="0" w:line="182" w:lineRule="exact"/>
              <w:rPr>
                <w:sz w:val="20"/>
                <w:szCs w:val="20"/>
                <w:color w:val="auto"/>
              </w:rPr>
            </w:pPr>
            <w:r>
              <w:rPr>
                <w:rFonts w:ascii="Arial" w:cs="Arial" w:eastAsia="Arial" w:hAnsi="Arial"/>
                <w:sz w:val="18"/>
                <w:szCs w:val="18"/>
                <w:color w:val="auto"/>
              </w:rPr>
              <w:t>Total operating</w:t>
            </w:r>
          </w:p>
        </w:tc>
        <w:tc>
          <w:tcPr>
            <w:tcW w:w="340" w:type="dxa"/>
            <w:vAlign w:val="bottom"/>
            <w:shd w:val="clear" w:color="auto" w:fill="CCEEFF"/>
          </w:tcPr>
          <w:p>
            <w:pPr>
              <w:spacing w:after="0"/>
              <w:rPr>
                <w:sz w:val="15"/>
                <w:szCs w:val="15"/>
                <w:color w:val="auto"/>
              </w:rPr>
            </w:pPr>
          </w:p>
        </w:tc>
        <w:tc>
          <w:tcPr>
            <w:tcW w:w="86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360" w:type="dxa"/>
            <w:vAlign w:val="bottom"/>
            <w:shd w:val="clear" w:color="auto" w:fill="CCEEFF"/>
          </w:tcPr>
          <w:p>
            <w:pPr>
              <w:spacing w:after="0"/>
              <w:rPr>
                <w:sz w:val="15"/>
                <w:szCs w:val="15"/>
                <w:color w:val="auto"/>
              </w:rPr>
            </w:pPr>
          </w:p>
        </w:tc>
        <w:tc>
          <w:tcPr>
            <w:tcW w:w="84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360" w:type="dxa"/>
            <w:vAlign w:val="bottom"/>
            <w:shd w:val="clear" w:color="auto" w:fill="CCEEFF"/>
          </w:tcPr>
          <w:p>
            <w:pPr>
              <w:spacing w:after="0"/>
              <w:rPr>
                <w:sz w:val="15"/>
                <w:szCs w:val="15"/>
                <w:color w:val="auto"/>
              </w:rPr>
            </w:pPr>
          </w:p>
        </w:tc>
        <w:tc>
          <w:tcPr>
            <w:tcW w:w="3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460" w:type="dxa"/>
            <w:vAlign w:val="bottom"/>
            <w:shd w:val="clear" w:color="auto" w:fill="CCEEFF"/>
          </w:tcPr>
          <w:p>
            <w:pPr>
              <w:spacing w:after="0"/>
              <w:rPr>
                <w:sz w:val="15"/>
                <w:szCs w:val="15"/>
                <w:color w:val="auto"/>
              </w:rPr>
            </w:pPr>
          </w:p>
        </w:tc>
        <w:tc>
          <w:tcPr>
            <w:tcW w:w="3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760" w:type="dxa"/>
            <w:vAlign w:val="bottom"/>
            <w:shd w:val="clear" w:color="auto" w:fill="CCEEFF"/>
          </w:tcPr>
          <w:p>
            <w:pPr>
              <w:spacing w:after="0"/>
              <w:rPr>
                <w:sz w:val="15"/>
                <w:szCs w:val="15"/>
                <w:color w:val="auto"/>
              </w:rPr>
            </w:pPr>
          </w:p>
        </w:tc>
        <w:tc>
          <w:tcPr>
            <w:tcW w:w="2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0"/>
        </w:trPr>
        <w:tc>
          <w:tcPr>
            <w:tcW w:w="1860" w:type="dxa"/>
            <w:vAlign w:val="bottom"/>
            <w:shd w:val="clear" w:color="auto" w:fill="CCEEFF"/>
          </w:tcPr>
          <w:p>
            <w:pPr>
              <w:ind w:left="120"/>
              <w:spacing w:after="0"/>
              <w:rPr>
                <w:sz w:val="20"/>
                <w:szCs w:val="20"/>
                <w:color w:val="auto"/>
              </w:rPr>
            </w:pPr>
            <w:r>
              <w:rPr>
                <w:rFonts w:ascii="Arial" w:cs="Arial" w:eastAsia="Arial" w:hAnsi="Arial"/>
                <w:sz w:val="18"/>
                <w:szCs w:val="18"/>
                <w:color w:val="auto"/>
              </w:rPr>
              <w:t>expenses</w:t>
            </w:r>
          </w:p>
        </w:tc>
        <w:tc>
          <w:tcPr>
            <w:tcW w:w="340" w:type="dxa"/>
            <w:vAlign w:val="bottom"/>
            <w:tcBorders>
              <w:bottom w:val="single" w:sz="8" w:color="auto"/>
            </w:tcBorders>
            <w:shd w:val="clear" w:color="auto" w:fill="CCEEFF"/>
          </w:tcPr>
          <w:p>
            <w:pPr>
              <w:spacing w:after="0"/>
              <w:rPr>
                <w:sz w:val="20"/>
                <w:szCs w:val="20"/>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12,377</w:t>
            </w:r>
          </w:p>
        </w:tc>
        <w:tc>
          <w:tcPr>
            <w:tcW w:w="340" w:type="dxa"/>
            <w:vAlign w:val="bottom"/>
            <w:shd w:val="clear" w:color="auto" w:fill="CCEEFF"/>
          </w:tcPr>
          <w:p>
            <w:pPr>
              <w:spacing w:after="0"/>
              <w:rPr>
                <w:sz w:val="20"/>
                <w:szCs w:val="20"/>
                <w:color w:val="auto"/>
              </w:rPr>
            </w:pPr>
          </w:p>
        </w:tc>
        <w:tc>
          <w:tcPr>
            <w:tcW w:w="360" w:type="dxa"/>
            <w:vAlign w:val="bottom"/>
            <w:tcBorders>
              <w:bottom w:val="single" w:sz="8" w:color="auto"/>
            </w:tcBorders>
            <w:shd w:val="clear" w:color="auto" w:fill="CCEEFF"/>
          </w:tcPr>
          <w:p>
            <w:pPr>
              <w:spacing w:after="0"/>
              <w:rPr>
                <w:sz w:val="20"/>
                <w:szCs w:val="20"/>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4,496</w:t>
            </w:r>
          </w:p>
        </w:tc>
        <w:tc>
          <w:tcPr>
            <w:tcW w:w="340" w:type="dxa"/>
            <w:vAlign w:val="bottom"/>
            <w:shd w:val="clear" w:color="auto" w:fill="CCEEFF"/>
          </w:tcPr>
          <w:p>
            <w:pPr>
              <w:spacing w:after="0"/>
              <w:rPr>
                <w:sz w:val="20"/>
                <w:szCs w:val="20"/>
                <w:color w:val="auto"/>
              </w:rPr>
            </w:pPr>
          </w:p>
        </w:tc>
        <w:tc>
          <w:tcPr>
            <w:tcW w:w="360" w:type="dxa"/>
            <w:vAlign w:val="bottom"/>
            <w:tcBorders>
              <w:bottom w:val="single" w:sz="8" w:color="auto"/>
            </w:tcBorders>
            <w:shd w:val="clear" w:color="auto" w:fill="CCEEFF"/>
          </w:tcPr>
          <w:p>
            <w:pPr>
              <w:spacing w:after="0"/>
              <w:rPr>
                <w:sz w:val="20"/>
                <w:szCs w:val="20"/>
                <w:color w:val="auto"/>
              </w:rPr>
            </w:pPr>
          </w:p>
        </w:tc>
        <w:tc>
          <w:tcPr>
            <w:tcW w:w="940" w:type="dxa"/>
            <w:vAlign w:val="bottom"/>
            <w:tcBorders>
              <w:bottom w:val="single" w:sz="8" w:color="auto"/>
            </w:tcBorders>
            <w:gridSpan w:val="3"/>
            <w:shd w:val="clear" w:color="auto" w:fill="CCEEFF"/>
          </w:tcPr>
          <w:p>
            <w:pPr>
              <w:jc w:val="right"/>
              <w:spacing w:after="0"/>
              <w:rPr>
                <w:sz w:val="20"/>
                <w:szCs w:val="20"/>
                <w:color w:val="auto"/>
              </w:rPr>
            </w:pPr>
            <w:r>
              <w:rPr>
                <w:rFonts w:ascii="Arial" w:cs="Arial" w:eastAsia="Arial" w:hAnsi="Arial"/>
                <w:sz w:val="18"/>
                <w:szCs w:val="18"/>
                <w:color w:val="auto"/>
              </w:rPr>
              <w:t>37,588</w:t>
            </w:r>
          </w:p>
        </w:tc>
        <w:tc>
          <w:tcPr>
            <w:tcW w:w="360" w:type="dxa"/>
            <w:vAlign w:val="bottom"/>
            <w:shd w:val="clear" w:color="auto" w:fill="CCEEFF"/>
          </w:tcPr>
          <w:p>
            <w:pPr>
              <w:spacing w:after="0"/>
              <w:rPr>
                <w:sz w:val="20"/>
                <w:szCs w:val="20"/>
                <w:color w:val="auto"/>
              </w:rPr>
            </w:pPr>
          </w:p>
        </w:tc>
        <w:tc>
          <w:tcPr>
            <w:tcW w:w="80" w:type="dxa"/>
            <w:vAlign w:val="bottom"/>
            <w:tcBorders>
              <w:bottom w:val="single" w:sz="8" w:color="auto"/>
            </w:tcBorders>
            <w:shd w:val="clear" w:color="auto" w:fill="CCEEFF"/>
          </w:tcPr>
          <w:p>
            <w:pPr>
              <w:spacing w:after="0"/>
              <w:rPr>
                <w:sz w:val="20"/>
                <w:szCs w:val="20"/>
                <w:color w:val="auto"/>
              </w:rPr>
            </w:pPr>
          </w:p>
        </w:tc>
        <w:tc>
          <w:tcPr>
            <w:tcW w:w="200" w:type="dxa"/>
            <w:vAlign w:val="bottom"/>
            <w:tcBorders>
              <w:bottom w:val="single" w:sz="8" w:color="auto"/>
            </w:tcBorders>
            <w:shd w:val="clear" w:color="auto" w:fill="CCEEFF"/>
          </w:tcPr>
          <w:p>
            <w:pPr>
              <w:spacing w:after="0"/>
              <w:rPr>
                <w:sz w:val="20"/>
                <w:szCs w:val="20"/>
                <w:color w:val="auto"/>
              </w:rPr>
            </w:pPr>
          </w:p>
        </w:tc>
        <w:tc>
          <w:tcPr>
            <w:tcW w:w="160" w:type="dxa"/>
            <w:vAlign w:val="bottom"/>
            <w:tcBorders>
              <w:bottom w:val="single" w:sz="8" w:color="auto"/>
            </w:tcBorders>
            <w:shd w:val="clear" w:color="auto" w:fill="CCEEFF"/>
          </w:tcPr>
          <w:p>
            <w:pPr>
              <w:spacing w:after="0"/>
              <w:rPr>
                <w:sz w:val="20"/>
                <w:szCs w:val="20"/>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14,367</w:t>
            </w:r>
          </w:p>
        </w:tc>
        <w:tc>
          <w:tcPr>
            <w:tcW w:w="2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91"/>
        </w:trPr>
        <w:tc>
          <w:tcPr>
            <w:tcW w:w="1860" w:type="dxa"/>
            <w:vAlign w:val="bottom"/>
          </w:tcPr>
          <w:p>
            <w:pPr>
              <w:ind w:left="120"/>
              <w:spacing w:after="0"/>
              <w:rPr>
                <w:sz w:val="20"/>
                <w:szCs w:val="20"/>
                <w:color w:val="auto"/>
              </w:rPr>
            </w:pPr>
            <w:r>
              <w:rPr>
                <w:rFonts w:ascii="Arial" w:cs="Arial" w:eastAsia="Arial" w:hAnsi="Arial"/>
                <w:sz w:val="18"/>
                <w:szCs w:val="18"/>
                <w:color w:val="auto"/>
              </w:rPr>
              <w:t>Operating loss</w:t>
            </w:r>
          </w:p>
        </w:tc>
        <w:tc>
          <w:tcPr>
            <w:tcW w:w="340" w:type="dxa"/>
            <w:vAlign w:val="bottom"/>
          </w:tcPr>
          <w:p>
            <w:pPr>
              <w:spacing w:after="0"/>
              <w:rPr>
                <w:sz w:val="24"/>
                <w:szCs w:val="24"/>
                <w:color w:val="auto"/>
              </w:rPr>
            </w:pPr>
          </w:p>
        </w:tc>
        <w:tc>
          <w:tcPr>
            <w:tcW w:w="1200" w:type="dxa"/>
            <w:vAlign w:val="bottom"/>
            <w:gridSpan w:val="2"/>
          </w:tcPr>
          <w:p>
            <w:pPr>
              <w:ind w:left="340"/>
              <w:spacing w:after="0"/>
              <w:rPr>
                <w:sz w:val="20"/>
                <w:szCs w:val="20"/>
                <w:color w:val="auto"/>
              </w:rPr>
            </w:pPr>
            <w:r>
              <w:rPr>
                <w:rFonts w:ascii="Arial" w:cs="Arial" w:eastAsia="Arial" w:hAnsi="Arial"/>
                <w:sz w:val="18"/>
                <w:szCs w:val="18"/>
                <w:color w:val="auto"/>
              </w:rPr>
              <w:t>(7,440)</w:t>
            </w:r>
          </w:p>
        </w:tc>
        <w:tc>
          <w:tcPr>
            <w:tcW w:w="360" w:type="dxa"/>
            <w:vAlign w:val="bottom"/>
          </w:tcPr>
          <w:p>
            <w:pPr>
              <w:spacing w:after="0"/>
              <w:rPr>
                <w:sz w:val="24"/>
                <w:szCs w:val="24"/>
                <w:color w:val="auto"/>
              </w:rPr>
            </w:pPr>
          </w:p>
        </w:tc>
        <w:tc>
          <w:tcPr>
            <w:tcW w:w="1180" w:type="dxa"/>
            <w:vAlign w:val="bottom"/>
            <w:gridSpan w:val="2"/>
          </w:tcPr>
          <w:p>
            <w:pPr>
              <w:jc w:val="right"/>
              <w:ind w:right="320"/>
              <w:spacing w:after="0"/>
              <w:rPr>
                <w:sz w:val="20"/>
                <w:szCs w:val="20"/>
                <w:color w:val="auto"/>
              </w:rPr>
            </w:pPr>
            <w:r>
              <w:rPr>
                <w:rFonts w:ascii="Arial" w:cs="Arial" w:eastAsia="Arial" w:hAnsi="Arial"/>
                <w:sz w:val="18"/>
                <w:szCs w:val="18"/>
                <w:color w:val="auto"/>
              </w:rPr>
              <w:t>(4,496)</w:t>
            </w:r>
          </w:p>
        </w:tc>
        <w:tc>
          <w:tcPr>
            <w:tcW w:w="360" w:type="dxa"/>
            <w:vAlign w:val="bottom"/>
          </w:tcPr>
          <w:p>
            <w:pPr>
              <w:spacing w:after="0"/>
              <w:rPr>
                <w:sz w:val="24"/>
                <w:szCs w:val="24"/>
                <w:color w:val="auto"/>
              </w:rPr>
            </w:pPr>
          </w:p>
        </w:tc>
        <w:tc>
          <w:tcPr>
            <w:tcW w:w="1300" w:type="dxa"/>
            <w:vAlign w:val="bottom"/>
            <w:gridSpan w:val="4"/>
          </w:tcPr>
          <w:p>
            <w:pPr>
              <w:jc w:val="right"/>
              <w:ind w:right="288"/>
              <w:spacing w:after="0"/>
              <w:rPr>
                <w:sz w:val="20"/>
                <w:szCs w:val="20"/>
                <w:color w:val="auto"/>
              </w:rPr>
            </w:pPr>
            <w:r>
              <w:rPr>
                <w:rFonts w:ascii="Arial" w:cs="Arial" w:eastAsia="Arial" w:hAnsi="Arial"/>
                <w:sz w:val="18"/>
                <w:szCs w:val="18"/>
                <w:color w:val="auto"/>
              </w:rPr>
              <w:t>(20,254)</w:t>
            </w: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20" w:type="dxa"/>
            <w:vAlign w:val="bottom"/>
            <w:gridSpan w:val="2"/>
          </w:tcPr>
          <w:p>
            <w:pPr>
              <w:jc w:val="right"/>
              <w:ind w:right="240"/>
              <w:spacing w:after="0"/>
              <w:rPr>
                <w:sz w:val="20"/>
                <w:szCs w:val="20"/>
                <w:color w:val="auto"/>
              </w:rPr>
            </w:pPr>
            <w:r>
              <w:rPr>
                <w:rFonts w:ascii="Arial" w:cs="Arial" w:eastAsia="Arial" w:hAnsi="Arial"/>
                <w:sz w:val="18"/>
                <w:szCs w:val="18"/>
                <w:color w:val="auto"/>
              </w:rPr>
              <w:t>(14,367)</w:t>
            </w:r>
          </w:p>
        </w:tc>
        <w:tc>
          <w:tcPr>
            <w:tcW w:w="0" w:type="dxa"/>
            <w:vAlign w:val="bottom"/>
          </w:tcPr>
          <w:p>
            <w:pPr>
              <w:spacing w:after="0"/>
              <w:rPr>
                <w:sz w:val="1"/>
                <w:szCs w:val="1"/>
                <w:color w:val="auto"/>
              </w:rPr>
            </w:pPr>
          </w:p>
        </w:tc>
      </w:tr>
      <w:tr>
        <w:trPr>
          <w:trHeight w:val="202"/>
        </w:trPr>
        <w:tc>
          <w:tcPr>
            <w:tcW w:w="1860" w:type="dxa"/>
            <w:vAlign w:val="bottom"/>
            <w:shd w:val="clear" w:color="auto" w:fill="CCEEFF"/>
          </w:tcPr>
          <w:p>
            <w:pPr>
              <w:ind w:left="120"/>
              <w:spacing w:after="0" w:line="201" w:lineRule="exact"/>
              <w:rPr>
                <w:sz w:val="20"/>
                <w:szCs w:val="20"/>
                <w:color w:val="auto"/>
              </w:rPr>
            </w:pPr>
            <w:r>
              <w:rPr>
                <w:rFonts w:ascii="Arial" w:cs="Arial" w:eastAsia="Arial" w:hAnsi="Arial"/>
                <w:sz w:val="18"/>
                <w:szCs w:val="18"/>
                <w:color w:val="auto"/>
              </w:rPr>
              <w:t>Total other income</w:t>
            </w:r>
          </w:p>
        </w:tc>
        <w:tc>
          <w:tcPr>
            <w:tcW w:w="34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2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1860" w:type="dxa"/>
            <w:vAlign w:val="bottom"/>
            <w:shd w:val="clear" w:color="auto" w:fill="CCEEFF"/>
          </w:tcPr>
          <w:p>
            <w:pPr>
              <w:ind w:left="120"/>
              <w:spacing w:after="0"/>
              <w:rPr>
                <w:sz w:val="20"/>
                <w:szCs w:val="20"/>
                <w:color w:val="auto"/>
              </w:rPr>
            </w:pPr>
            <w:r>
              <w:rPr>
                <w:rFonts w:ascii="Arial" w:cs="Arial" w:eastAsia="Arial" w:hAnsi="Arial"/>
                <w:sz w:val="18"/>
                <w:szCs w:val="18"/>
                <w:color w:val="auto"/>
              </w:rPr>
              <w:t>(expense), net</w:t>
            </w:r>
          </w:p>
        </w:tc>
        <w:tc>
          <w:tcPr>
            <w:tcW w:w="340" w:type="dxa"/>
            <w:vAlign w:val="bottom"/>
            <w:shd w:val="clear" w:color="auto" w:fill="CCEEFF"/>
          </w:tcPr>
          <w:p>
            <w:pPr>
              <w:spacing w:after="0"/>
              <w:rPr>
                <w:sz w:val="20"/>
                <w:szCs w:val="20"/>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157</w:t>
            </w:r>
          </w:p>
        </w:tc>
        <w:tc>
          <w:tcPr>
            <w:tcW w:w="340" w:type="dxa"/>
            <w:vAlign w:val="bottom"/>
            <w:shd w:val="clear" w:color="auto" w:fill="CCEEFF"/>
          </w:tcPr>
          <w:p>
            <w:pPr>
              <w:spacing w:after="0"/>
              <w:rPr>
                <w:sz w:val="20"/>
                <w:szCs w:val="20"/>
                <w:color w:val="auto"/>
              </w:rPr>
            </w:pPr>
          </w:p>
        </w:tc>
        <w:tc>
          <w:tcPr>
            <w:tcW w:w="360" w:type="dxa"/>
            <w:vAlign w:val="bottom"/>
            <w:shd w:val="clear" w:color="auto" w:fill="CCEEFF"/>
          </w:tcPr>
          <w:p>
            <w:pPr>
              <w:spacing w:after="0"/>
              <w:rPr>
                <w:sz w:val="20"/>
                <w:szCs w:val="20"/>
                <w:color w:val="auto"/>
              </w:rPr>
            </w:pPr>
          </w:p>
        </w:tc>
        <w:tc>
          <w:tcPr>
            <w:tcW w:w="118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(194)</w:t>
            </w:r>
          </w:p>
        </w:tc>
        <w:tc>
          <w:tcPr>
            <w:tcW w:w="360" w:type="dxa"/>
            <w:vAlign w:val="bottom"/>
            <w:shd w:val="clear" w:color="auto" w:fill="CCEEFF"/>
          </w:tcPr>
          <w:p>
            <w:pPr>
              <w:spacing w:after="0"/>
              <w:rPr>
                <w:sz w:val="20"/>
                <w:szCs w:val="20"/>
                <w:color w:val="auto"/>
              </w:rPr>
            </w:pPr>
          </w:p>
        </w:tc>
        <w:tc>
          <w:tcPr>
            <w:tcW w:w="1300" w:type="dxa"/>
            <w:vAlign w:val="bottom"/>
            <w:gridSpan w:val="4"/>
            <w:shd w:val="clear" w:color="auto" w:fill="CCEEFF"/>
          </w:tcPr>
          <w:p>
            <w:pPr>
              <w:jc w:val="right"/>
              <w:ind w:right="288"/>
              <w:spacing w:after="0"/>
              <w:rPr>
                <w:sz w:val="20"/>
                <w:szCs w:val="20"/>
                <w:color w:val="auto"/>
              </w:rPr>
            </w:pPr>
            <w:r>
              <w:rPr>
                <w:rFonts w:ascii="Arial" w:cs="Arial" w:eastAsia="Arial" w:hAnsi="Arial"/>
                <w:sz w:val="18"/>
                <w:szCs w:val="18"/>
                <w:color w:val="auto"/>
              </w:rPr>
              <w:t>(9,418)</w:t>
            </w:r>
          </w:p>
        </w:tc>
        <w:tc>
          <w:tcPr>
            <w:tcW w:w="8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(1,950)</w:t>
            </w:r>
          </w:p>
        </w:tc>
        <w:tc>
          <w:tcPr>
            <w:tcW w:w="2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1860" w:type="dxa"/>
            <w:vAlign w:val="bottom"/>
            <w:tcBorders>
              <w:bottom w:val="single" w:sz="8" w:color="CCEEFF"/>
            </w:tcBorders>
          </w:tcPr>
          <w:p>
            <w:pPr>
              <w:ind w:left="120"/>
              <w:spacing w:after="0"/>
              <w:rPr>
                <w:sz w:val="20"/>
                <w:szCs w:val="20"/>
                <w:color w:val="auto"/>
              </w:rPr>
            </w:pPr>
            <w:r>
              <w:rPr>
                <w:rFonts w:ascii="Arial" w:cs="Arial" w:eastAsia="Arial" w:hAnsi="Arial"/>
                <w:sz w:val="18"/>
                <w:szCs w:val="18"/>
                <w:color w:val="auto"/>
              </w:rPr>
              <w:t>Net loss</w:t>
            </w:r>
          </w:p>
        </w:tc>
        <w:tc>
          <w:tcPr>
            <w:tcW w:w="340" w:type="dxa"/>
            <w:vAlign w:val="bottom"/>
            <w:tcBorders>
              <w:top w:val="single" w:sz="8" w:color="auto"/>
              <w:bottom w:val="single" w:sz="8" w:color="auto"/>
            </w:tcBorders>
          </w:tcPr>
          <w:p>
            <w:pPr>
              <w:spacing w:after="0"/>
              <w:rPr>
                <w:sz w:val="18"/>
                <w:szCs w:val="18"/>
                <w:color w:val="auto"/>
              </w:rPr>
            </w:pPr>
          </w:p>
        </w:tc>
        <w:tc>
          <w:tcPr>
            <w:tcW w:w="860" w:type="dxa"/>
            <w:vAlign w:val="bottom"/>
            <w:tcBorders>
              <w:top w:val="single" w:sz="8" w:color="auto"/>
              <w:bottom w:val="single" w:sz="8" w:color="auto"/>
            </w:tcBorders>
          </w:tcPr>
          <w:p>
            <w:pPr>
              <w:ind w:left="340"/>
              <w:spacing w:after="0"/>
              <w:rPr>
                <w:sz w:val="20"/>
                <w:szCs w:val="20"/>
                <w:color w:val="auto"/>
              </w:rPr>
            </w:pPr>
            <w:r>
              <w:rPr>
                <w:rFonts w:ascii="Arial" w:cs="Arial" w:eastAsia="Arial" w:hAnsi="Arial"/>
                <w:sz w:val="18"/>
                <w:szCs w:val="18"/>
                <w:color w:val="auto"/>
                <w:w w:val="87"/>
              </w:rPr>
              <w:t>(7,283)</w:t>
            </w:r>
          </w:p>
        </w:tc>
        <w:tc>
          <w:tcPr>
            <w:tcW w:w="340" w:type="dxa"/>
            <w:vAlign w:val="bottom"/>
            <w:tcBorders>
              <w:bottom w:val="single" w:sz="8" w:color="CCEEFF"/>
            </w:tcBorders>
          </w:tcPr>
          <w:p>
            <w:pPr>
              <w:spacing w:after="0"/>
              <w:rPr>
                <w:sz w:val="18"/>
                <w:szCs w:val="18"/>
                <w:color w:val="auto"/>
              </w:rPr>
            </w:pPr>
          </w:p>
        </w:tc>
        <w:tc>
          <w:tcPr>
            <w:tcW w:w="360" w:type="dxa"/>
            <w:vAlign w:val="bottom"/>
            <w:tcBorders>
              <w:top w:val="single" w:sz="8" w:color="auto"/>
              <w:bottom w:val="single" w:sz="8" w:color="auto"/>
            </w:tcBorders>
          </w:tcPr>
          <w:p>
            <w:pPr>
              <w:spacing w:after="0"/>
              <w:rPr>
                <w:sz w:val="18"/>
                <w:szCs w:val="18"/>
                <w:color w:val="auto"/>
              </w:rPr>
            </w:pP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(4,690)</w:t>
            </w:r>
          </w:p>
        </w:tc>
        <w:tc>
          <w:tcPr>
            <w:tcW w:w="340" w:type="dxa"/>
            <w:vAlign w:val="bottom"/>
            <w:tcBorders>
              <w:bottom w:val="single" w:sz="8" w:color="CCEEFF"/>
            </w:tcBorders>
          </w:tcPr>
          <w:p>
            <w:pPr>
              <w:spacing w:after="0"/>
              <w:rPr>
                <w:sz w:val="18"/>
                <w:szCs w:val="18"/>
                <w:color w:val="auto"/>
              </w:rPr>
            </w:pPr>
          </w:p>
        </w:tc>
        <w:tc>
          <w:tcPr>
            <w:tcW w:w="360" w:type="dxa"/>
            <w:vAlign w:val="bottom"/>
            <w:tcBorders>
              <w:top w:val="single" w:sz="8" w:color="auto"/>
              <w:bottom w:val="single" w:sz="8" w:color="auto"/>
            </w:tcBorders>
          </w:tcPr>
          <w:p>
            <w:pPr>
              <w:spacing w:after="0"/>
              <w:rPr>
                <w:sz w:val="18"/>
                <w:szCs w:val="18"/>
                <w:color w:val="auto"/>
              </w:rPr>
            </w:pPr>
          </w:p>
        </w:tc>
        <w:tc>
          <w:tcPr>
            <w:tcW w:w="940" w:type="dxa"/>
            <w:vAlign w:val="bottom"/>
            <w:tcBorders>
              <w:top w:val="single" w:sz="8" w:color="auto"/>
              <w:bottom w:val="single" w:sz="8" w:color="auto"/>
            </w:tcBorders>
            <w:gridSpan w:val="3"/>
          </w:tcPr>
          <w:p>
            <w:pPr>
              <w:jc w:val="right"/>
              <w:spacing w:after="0"/>
              <w:rPr>
                <w:sz w:val="20"/>
                <w:szCs w:val="20"/>
                <w:color w:val="auto"/>
              </w:rPr>
            </w:pPr>
            <w:r>
              <w:rPr>
                <w:rFonts w:ascii="Arial" w:cs="Arial" w:eastAsia="Arial" w:hAnsi="Arial"/>
                <w:sz w:val="18"/>
                <w:szCs w:val="18"/>
                <w:color w:val="auto"/>
              </w:rPr>
              <w:t>(29,672)</w:t>
            </w:r>
          </w:p>
        </w:tc>
        <w:tc>
          <w:tcPr>
            <w:tcW w:w="360" w:type="dxa"/>
            <w:vAlign w:val="bottom"/>
            <w:tcBorders>
              <w:bottom w:val="single" w:sz="8" w:color="CCEEFF"/>
            </w:tcBorders>
          </w:tcPr>
          <w:p>
            <w:pPr>
              <w:spacing w:after="0"/>
              <w:rPr>
                <w:sz w:val="18"/>
                <w:szCs w:val="18"/>
                <w:color w:val="auto"/>
              </w:rPr>
            </w:pPr>
          </w:p>
        </w:tc>
        <w:tc>
          <w:tcPr>
            <w:tcW w:w="80" w:type="dxa"/>
            <w:vAlign w:val="bottom"/>
            <w:tcBorders>
              <w:top w:val="single" w:sz="8" w:color="auto"/>
              <w:bottom w:val="single" w:sz="8" w:color="auto"/>
            </w:tcBorders>
          </w:tcPr>
          <w:p>
            <w:pPr>
              <w:spacing w:after="0"/>
              <w:rPr>
                <w:sz w:val="18"/>
                <w:szCs w:val="18"/>
                <w:color w:val="auto"/>
              </w:rPr>
            </w:pPr>
          </w:p>
        </w:tc>
        <w:tc>
          <w:tcPr>
            <w:tcW w:w="200" w:type="dxa"/>
            <w:vAlign w:val="bottom"/>
            <w:tcBorders>
              <w:top w:val="single" w:sz="8" w:color="auto"/>
              <w:bottom w:val="single" w:sz="8" w:color="auto"/>
            </w:tcBorders>
          </w:tcPr>
          <w:p>
            <w:pPr>
              <w:spacing w:after="0"/>
              <w:rPr>
                <w:sz w:val="18"/>
                <w:szCs w:val="18"/>
                <w:color w:val="auto"/>
              </w:rPr>
            </w:pPr>
          </w:p>
        </w:tc>
        <w:tc>
          <w:tcPr>
            <w:tcW w:w="160" w:type="dxa"/>
            <w:vAlign w:val="bottom"/>
            <w:tcBorders>
              <w:top w:val="single" w:sz="8" w:color="auto"/>
              <w:bottom w:val="single" w:sz="8" w:color="auto"/>
            </w:tcBorders>
          </w:tcPr>
          <w:p>
            <w:pPr>
              <w:spacing w:after="0"/>
              <w:rPr>
                <w:sz w:val="18"/>
                <w:szCs w:val="18"/>
                <w:color w:val="auto"/>
              </w:rPr>
            </w:pPr>
          </w:p>
        </w:tc>
        <w:tc>
          <w:tcPr>
            <w:tcW w:w="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(16,317)</w:t>
            </w:r>
          </w:p>
        </w:tc>
        <w:tc>
          <w:tcPr>
            <w:tcW w:w="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82"/>
        </w:trPr>
        <w:tc>
          <w:tcPr>
            <w:tcW w:w="1860" w:type="dxa"/>
            <w:vAlign w:val="bottom"/>
            <w:shd w:val="clear" w:color="auto" w:fill="CCEEFF"/>
          </w:tcPr>
          <w:p>
            <w:pPr>
              <w:ind w:left="120"/>
              <w:spacing w:after="0" w:line="182" w:lineRule="exact"/>
              <w:rPr>
                <w:sz w:val="20"/>
                <w:szCs w:val="20"/>
                <w:color w:val="auto"/>
              </w:rPr>
            </w:pPr>
            <w:r>
              <w:rPr>
                <w:rFonts w:ascii="Arial" w:cs="Arial" w:eastAsia="Arial" w:hAnsi="Arial"/>
                <w:sz w:val="18"/>
                <w:szCs w:val="18"/>
                <w:color w:val="auto"/>
                <w:w w:val="96"/>
              </w:rPr>
              <w:t>GAAP charges related</w:t>
            </w:r>
          </w:p>
        </w:tc>
        <w:tc>
          <w:tcPr>
            <w:tcW w:w="340" w:type="dxa"/>
            <w:vAlign w:val="bottom"/>
            <w:shd w:val="clear" w:color="auto" w:fill="CCEEFF"/>
          </w:tcPr>
          <w:p>
            <w:pPr>
              <w:spacing w:after="0"/>
              <w:rPr>
                <w:sz w:val="15"/>
                <w:szCs w:val="15"/>
                <w:color w:val="auto"/>
              </w:rPr>
            </w:pPr>
          </w:p>
        </w:tc>
        <w:tc>
          <w:tcPr>
            <w:tcW w:w="86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360" w:type="dxa"/>
            <w:vAlign w:val="bottom"/>
            <w:shd w:val="clear" w:color="auto" w:fill="CCEEFF"/>
          </w:tcPr>
          <w:p>
            <w:pPr>
              <w:spacing w:after="0"/>
              <w:rPr>
                <w:sz w:val="15"/>
                <w:szCs w:val="15"/>
                <w:color w:val="auto"/>
              </w:rPr>
            </w:pPr>
          </w:p>
        </w:tc>
        <w:tc>
          <w:tcPr>
            <w:tcW w:w="84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360" w:type="dxa"/>
            <w:vAlign w:val="bottom"/>
            <w:shd w:val="clear" w:color="auto" w:fill="CCEEFF"/>
          </w:tcPr>
          <w:p>
            <w:pPr>
              <w:spacing w:after="0"/>
              <w:rPr>
                <w:sz w:val="15"/>
                <w:szCs w:val="15"/>
                <w:color w:val="auto"/>
              </w:rPr>
            </w:pPr>
          </w:p>
        </w:tc>
        <w:tc>
          <w:tcPr>
            <w:tcW w:w="3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460" w:type="dxa"/>
            <w:vAlign w:val="bottom"/>
            <w:shd w:val="clear" w:color="auto" w:fill="CCEEFF"/>
          </w:tcPr>
          <w:p>
            <w:pPr>
              <w:spacing w:after="0"/>
              <w:rPr>
                <w:sz w:val="15"/>
                <w:szCs w:val="15"/>
                <w:color w:val="auto"/>
              </w:rPr>
            </w:pPr>
          </w:p>
        </w:tc>
        <w:tc>
          <w:tcPr>
            <w:tcW w:w="3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760" w:type="dxa"/>
            <w:vAlign w:val="bottom"/>
            <w:shd w:val="clear" w:color="auto" w:fill="CCEEFF"/>
          </w:tcPr>
          <w:p>
            <w:pPr>
              <w:spacing w:after="0"/>
              <w:rPr>
                <w:sz w:val="15"/>
                <w:szCs w:val="15"/>
                <w:color w:val="auto"/>
              </w:rPr>
            </w:pPr>
          </w:p>
        </w:tc>
        <w:tc>
          <w:tcPr>
            <w:tcW w:w="2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6"/>
        </w:trPr>
        <w:tc>
          <w:tcPr>
            <w:tcW w:w="1860" w:type="dxa"/>
            <w:vAlign w:val="bottom"/>
            <w:shd w:val="clear" w:color="auto" w:fill="CCEEFF"/>
          </w:tcPr>
          <w:p>
            <w:pPr>
              <w:ind w:left="120"/>
              <w:spacing w:after="0"/>
              <w:rPr>
                <w:sz w:val="20"/>
                <w:szCs w:val="20"/>
                <w:color w:val="auto"/>
              </w:rPr>
            </w:pPr>
            <w:r>
              <w:rPr>
                <w:rFonts w:ascii="Arial" w:cs="Arial" w:eastAsia="Arial" w:hAnsi="Arial"/>
                <w:sz w:val="18"/>
                <w:szCs w:val="18"/>
                <w:color w:val="auto"/>
              </w:rPr>
              <w:t>to pre-IPO preferred</w:t>
            </w:r>
          </w:p>
        </w:tc>
        <w:tc>
          <w:tcPr>
            <w:tcW w:w="34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1860" w:type="dxa"/>
            <w:vAlign w:val="bottom"/>
            <w:shd w:val="clear" w:color="auto" w:fill="CCEEFF"/>
          </w:tcPr>
          <w:p>
            <w:pPr>
              <w:ind w:left="120"/>
              <w:spacing w:after="0"/>
              <w:rPr>
                <w:sz w:val="20"/>
                <w:szCs w:val="20"/>
                <w:color w:val="auto"/>
              </w:rPr>
            </w:pPr>
            <w:r>
              <w:rPr>
                <w:rFonts w:ascii="Arial" w:cs="Arial" w:eastAsia="Arial" w:hAnsi="Arial"/>
                <w:sz w:val="18"/>
                <w:szCs w:val="18"/>
                <w:color w:val="auto"/>
              </w:rPr>
              <w:t>stock</w:t>
            </w:r>
          </w:p>
        </w:tc>
        <w:tc>
          <w:tcPr>
            <w:tcW w:w="340" w:type="dxa"/>
            <w:vAlign w:val="bottom"/>
            <w:shd w:val="clear" w:color="auto" w:fill="CCEEFF"/>
          </w:tcPr>
          <w:p>
            <w:pPr>
              <w:spacing w:after="0"/>
              <w:rPr>
                <w:sz w:val="20"/>
                <w:szCs w:val="20"/>
                <w:color w:val="auto"/>
              </w:rPr>
            </w:pPr>
          </w:p>
        </w:tc>
        <w:tc>
          <w:tcPr>
            <w:tcW w:w="120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(1,534)</w:t>
            </w:r>
          </w:p>
        </w:tc>
        <w:tc>
          <w:tcPr>
            <w:tcW w:w="360" w:type="dxa"/>
            <w:vAlign w:val="bottom"/>
            <w:shd w:val="clear" w:color="auto" w:fill="CCEEFF"/>
          </w:tcPr>
          <w:p>
            <w:pPr>
              <w:spacing w:after="0"/>
              <w:rPr>
                <w:sz w:val="20"/>
                <w:szCs w:val="20"/>
                <w:color w:val="auto"/>
              </w:rPr>
            </w:pPr>
          </w:p>
        </w:tc>
        <w:tc>
          <w:tcPr>
            <w:tcW w:w="118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(507)</w:t>
            </w:r>
          </w:p>
        </w:tc>
        <w:tc>
          <w:tcPr>
            <w:tcW w:w="360" w:type="dxa"/>
            <w:vAlign w:val="bottom"/>
            <w:shd w:val="clear" w:color="auto" w:fill="CCEEFF"/>
          </w:tcPr>
          <w:p>
            <w:pPr>
              <w:spacing w:after="0"/>
              <w:rPr>
                <w:sz w:val="20"/>
                <w:szCs w:val="20"/>
                <w:color w:val="auto"/>
              </w:rPr>
            </w:pPr>
          </w:p>
        </w:tc>
        <w:tc>
          <w:tcPr>
            <w:tcW w:w="1300" w:type="dxa"/>
            <w:vAlign w:val="bottom"/>
            <w:gridSpan w:val="4"/>
            <w:shd w:val="clear" w:color="auto" w:fill="CCEEFF"/>
          </w:tcPr>
          <w:p>
            <w:pPr>
              <w:jc w:val="right"/>
              <w:ind w:right="288"/>
              <w:spacing w:after="0"/>
              <w:rPr>
                <w:sz w:val="20"/>
                <w:szCs w:val="20"/>
                <w:color w:val="auto"/>
              </w:rPr>
            </w:pPr>
            <w:r>
              <w:rPr>
                <w:rFonts w:ascii="Arial" w:cs="Arial" w:eastAsia="Arial" w:hAnsi="Arial"/>
                <w:sz w:val="18"/>
                <w:szCs w:val="18"/>
                <w:color w:val="auto"/>
              </w:rPr>
              <w:t>(8,618)</w:t>
            </w:r>
          </w:p>
        </w:tc>
        <w:tc>
          <w:tcPr>
            <w:tcW w:w="8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(1,366)</w:t>
            </w:r>
          </w:p>
        </w:tc>
        <w:tc>
          <w:tcPr>
            <w:tcW w:w="2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82"/>
        </w:trPr>
        <w:tc>
          <w:tcPr>
            <w:tcW w:w="1860" w:type="dxa"/>
            <w:vAlign w:val="bottom"/>
          </w:tcPr>
          <w:p>
            <w:pPr>
              <w:ind w:left="120"/>
              <w:spacing w:after="0" w:line="182" w:lineRule="exact"/>
              <w:rPr>
                <w:sz w:val="20"/>
                <w:szCs w:val="20"/>
                <w:color w:val="auto"/>
              </w:rPr>
            </w:pPr>
            <w:r>
              <w:rPr>
                <w:rFonts w:ascii="Arial" w:cs="Arial" w:eastAsia="Arial" w:hAnsi="Arial"/>
                <w:sz w:val="18"/>
                <w:szCs w:val="18"/>
                <w:color w:val="auto"/>
              </w:rPr>
              <w:t>Net loss attributable</w:t>
            </w:r>
          </w:p>
        </w:tc>
        <w:tc>
          <w:tcPr>
            <w:tcW w:w="340" w:type="dxa"/>
            <w:vAlign w:val="bottom"/>
            <w:tcBorders>
              <w:top w:val="single" w:sz="8" w:color="auto"/>
            </w:tcBorders>
          </w:tcPr>
          <w:p>
            <w:pPr>
              <w:spacing w:after="0"/>
              <w:rPr>
                <w:sz w:val="15"/>
                <w:szCs w:val="15"/>
                <w:color w:val="auto"/>
              </w:rPr>
            </w:pPr>
          </w:p>
        </w:tc>
        <w:tc>
          <w:tcPr>
            <w:tcW w:w="860" w:type="dxa"/>
            <w:vAlign w:val="bottom"/>
            <w:tcBorders>
              <w:top w:val="single" w:sz="8" w:color="auto"/>
            </w:tcBorders>
          </w:tcPr>
          <w:p>
            <w:pPr>
              <w:spacing w:after="0"/>
              <w:rPr>
                <w:sz w:val="15"/>
                <w:szCs w:val="15"/>
                <w:color w:val="auto"/>
              </w:rPr>
            </w:pPr>
          </w:p>
        </w:tc>
        <w:tc>
          <w:tcPr>
            <w:tcW w:w="340" w:type="dxa"/>
            <w:vAlign w:val="bottom"/>
          </w:tcPr>
          <w:p>
            <w:pPr>
              <w:spacing w:after="0"/>
              <w:rPr>
                <w:sz w:val="15"/>
                <w:szCs w:val="15"/>
                <w:color w:val="auto"/>
              </w:rPr>
            </w:pPr>
          </w:p>
        </w:tc>
        <w:tc>
          <w:tcPr>
            <w:tcW w:w="360" w:type="dxa"/>
            <w:vAlign w:val="bottom"/>
            <w:tcBorders>
              <w:top w:val="single" w:sz="8" w:color="auto"/>
            </w:tcBorders>
          </w:tcPr>
          <w:p>
            <w:pPr>
              <w:spacing w:after="0"/>
              <w:rPr>
                <w:sz w:val="15"/>
                <w:szCs w:val="15"/>
                <w:color w:val="auto"/>
              </w:rPr>
            </w:pPr>
          </w:p>
        </w:tc>
        <w:tc>
          <w:tcPr>
            <w:tcW w:w="840" w:type="dxa"/>
            <w:vAlign w:val="bottom"/>
            <w:tcBorders>
              <w:top w:val="single" w:sz="8" w:color="auto"/>
            </w:tcBorders>
          </w:tcPr>
          <w:p>
            <w:pPr>
              <w:spacing w:after="0"/>
              <w:rPr>
                <w:sz w:val="15"/>
                <w:szCs w:val="15"/>
                <w:color w:val="auto"/>
              </w:rPr>
            </w:pPr>
          </w:p>
        </w:tc>
        <w:tc>
          <w:tcPr>
            <w:tcW w:w="340" w:type="dxa"/>
            <w:vAlign w:val="bottom"/>
          </w:tcPr>
          <w:p>
            <w:pPr>
              <w:spacing w:after="0"/>
              <w:rPr>
                <w:sz w:val="15"/>
                <w:szCs w:val="15"/>
                <w:color w:val="auto"/>
              </w:rPr>
            </w:pPr>
          </w:p>
        </w:tc>
        <w:tc>
          <w:tcPr>
            <w:tcW w:w="360" w:type="dxa"/>
            <w:vAlign w:val="bottom"/>
            <w:tcBorders>
              <w:top w:val="single" w:sz="8" w:color="auto"/>
            </w:tcBorders>
          </w:tcPr>
          <w:p>
            <w:pPr>
              <w:spacing w:after="0"/>
              <w:rPr>
                <w:sz w:val="15"/>
                <w:szCs w:val="15"/>
                <w:color w:val="auto"/>
              </w:rPr>
            </w:pPr>
          </w:p>
        </w:tc>
        <w:tc>
          <w:tcPr>
            <w:tcW w:w="360" w:type="dxa"/>
            <w:vAlign w:val="bottom"/>
            <w:tcBorders>
              <w:top w:val="single" w:sz="8" w:color="auto"/>
            </w:tcBorders>
          </w:tcPr>
          <w:p>
            <w:pPr>
              <w:spacing w:after="0"/>
              <w:rPr>
                <w:sz w:val="15"/>
                <w:szCs w:val="15"/>
                <w:color w:val="auto"/>
              </w:rPr>
            </w:pPr>
          </w:p>
        </w:tc>
        <w:tc>
          <w:tcPr>
            <w:tcW w:w="120" w:type="dxa"/>
            <w:vAlign w:val="bottom"/>
            <w:tcBorders>
              <w:top w:val="single" w:sz="8" w:color="auto"/>
            </w:tcBorders>
          </w:tcPr>
          <w:p>
            <w:pPr>
              <w:spacing w:after="0"/>
              <w:rPr>
                <w:sz w:val="15"/>
                <w:szCs w:val="15"/>
                <w:color w:val="auto"/>
              </w:rPr>
            </w:pPr>
          </w:p>
        </w:tc>
        <w:tc>
          <w:tcPr>
            <w:tcW w:w="460" w:type="dxa"/>
            <w:vAlign w:val="bottom"/>
            <w:tcBorders>
              <w:top w:val="single" w:sz="8" w:color="auto"/>
            </w:tcBorders>
          </w:tcPr>
          <w:p>
            <w:pPr>
              <w:spacing w:after="0"/>
              <w:rPr>
                <w:sz w:val="15"/>
                <w:szCs w:val="15"/>
                <w:color w:val="auto"/>
              </w:rPr>
            </w:pPr>
          </w:p>
        </w:tc>
        <w:tc>
          <w:tcPr>
            <w:tcW w:w="360" w:type="dxa"/>
            <w:vAlign w:val="bottom"/>
          </w:tcPr>
          <w:p>
            <w:pPr>
              <w:spacing w:after="0"/>
              <w:rPr>
                <w:sz w:val="15"/>
                <w:szCs w:val="15"/>
                <w:color w:val="auto"/>
              </w:rPr>
            </w:pPr>
          </w:p>
        </w:tc>
        <w:tc>
          <w:tcPr>
            <w:tcW w:w="80" w:type="dxa"/>
            <w:vAlign w:val="bottom"/>
            <w:tcBorders>
              <w:top w:val="single" w:sz="8" w:color="auto"/>
            </w:tcBorders>
          </w:tcPr>
          <w:p>
            <w:pPr>
              <w:spacing w:after="0"/>
              <w:rPr>
                <w:sz w:val="15"/>
                <w:szCs w:val="15"/>
                <w:color w:val="auto"/>
              </w:rPr>
            </w:pPr>
          </w:p>
        </w:tc>
        <w:tc>
          <w:tcPr>
            <w:tcW w:w="200" w:type="dxa"/>
            <w:vAlign w:val="bottom"/>
            <w:tcBorders>
              <w:top w:val="single" w:sz="8" w:color="auto"/>
            </w:tcBorders>
          </w:tcPr>
          <w:p>
            <w:pPr>
              <w:spacing w:after="0"/>
              <w:rPr>
                <w:sz w:val="15"/>
                <w:szCs w:val="15"/>
                <w:color w:val="auto"/>
              </w:rPr>
            </w:pPr>
          </w:p>
        </w:tc>
        <w:tc>
          <w:tcPr>
            <w:tcW w:w="160" w:type="dxa"/>
            <w:vAlign w:val="bottom"/>
            <w:tcBorders>
              <w:top w:val="single" w:sz="8" w:color="auto"/>
            </w:tcBorders>
          </w:tcPr>
          <w:p>
            <w:pPr>
              <w:spacing w:after="0"/>
              <w:rPr>
                <w:sz w:val="15"/>
                <w:szCs w:val="15"/>
                <w:color w:val="auto"/>
              </w:rPr>
            </w:pPr>
          </w:p>
        </w:tc>
        <w:tc>
          <w:tcPr>
            <w:tcW w:w="760" w:type="dxa"/>
            <w:vAlign w:val="bottom"/>
            <w:tcBorders>
              <w:top w:val="single" w:sz="8" w:color="auto"/>
            </w:tcBorders>
          </w:tcPr>
          <w:p>
            <w:pPr>
              <w:spacing w:after="0"/>
              <w:rPr>
                <w:sz w:val="15"/>
                <w:szCs w:val="15"/>
                <w:color w:val="auto"/>
              </w:rPr>
            </w:pPr>
          </w:p>
        </w:tc>
        <w:tc>
          <w:tcPr>
            <w:tcW w:w="2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6"/>
        </w:trPr>
        <w:tc>
          <w:tcPr>
            <w:tcW w:w="1860" w:type="dxa"/>
            <w:vAlign w:val="bottom"/>
          </w:tcPr>
          <w:p>
            <w:pPr>
              <w:ind w:left="120"/>
              <w:spacing w:after="0"/>
              <w:rPr>
                <w:sz w:val="20"/>
                <w:szCs w:val="20"/>
                <w:color w:val="auto"/>
              </w:rPr>
            </w:pPr>
            <w:r>
              <w:rPr>
                <w:rFonts w:ascii="Arial" w:cs="Arial" w:eastAsia="Arial" w:hAnsi="Arial"/>
                <w:sz w:val="18"/>
                <w:szCs w:val="18"/>
                <w:color w:val="auto"/>
              </w:rPr>
              <w:t>to common</w:t>
            </w:r>
          </w:p>
        </w:tc>
        <w:tc>
          <w:tcPr>
            <w:tcW w:w="340" w:type="dxa"/>
            <w:vAlign w:val="bottom"/>
            <w:vMerge w:val="restart"/>
          </w:tcPr>
          <w:p>
            <w:pPr>
              <w:jc w:val="right"/>
              <w:ind w:right="30"/>
              <w:spacing w:after="0"/>
              <w:rPr>
                <w:sz w:val="20"/>
                <w:szCs w:val="20"/>
                <w:color w:val="auto"/>
              </w:rPr>
            </w:pPr>
            <w:r>
              <w:rPr>
                <w:rFonts w:ascii="Arial" w:cs="Arial" w:eastAsia="Arial" w:hAnsi="Arial"/>
                <w:sz w:val="18"/>
                <w:szCs w:val="18"/>
                <w:color w:val="auto"/>
              </w:rPr>
              <w:t>$</w:t>
            </w:r>
          </w:p>
        </w:tc>
        <w:tc>
          <w:tcPr>
            <w:tcW w:w="1200" w:type="dxa"/>
            <w:vAlign w:val="bottom"/>
            <w:gridSpan w:val="2"/>
            <w:vMerge w:val="restart"/>
          </w:tcPr>
          <w:p>
            <w:pPr>
              <w:ind w:left="340"/>
              <w:spacing w:after="0"/>
              <w:rPr>
                <w:sz w:val="20"/>
                <w:szCs w:val="20"/>
                <w:color w:val="auto"/>
              </w:rPr>
            </w:pPr>
            <w:r>
              <w:rPr>
                <w:rFonts w:ascii="Arial" w:cs="Arial" w:eastAsia="Arial" w:hAnsi="Arial"/>
                <w:sz w:val="18"/>
                <w:szCs w:val="18"/>
                <w:color w:val="auto"/>
              </w:rPr>
              <w:t>(8,817)</w:t>
            </w:r>
          </w:p>
        </w:tc>
        <w:tc>
          <w:tcPr>
            <w:tcW w:w="360" w:type="dxa"/>
            <w:vAlign w:val="bottom"/>
            <w:vMerge w:val="restart"/>
          </w:tcPr>
          <w:p>
            <w:pPr>
              <w:jc w:val="right"/>
              <w:ind w:right="50"/>
              <w:spacing w:after="0"/>
              <w:rPr>
                <w:sz w:val="20"/>
                <w:szCs w:val="20"/>
                <w:color w:val="auto"/>
              </w:rPr>
            </w:pPr>
            <w:r>
              <w:rPr>
                <w:rFonts w:ascii="Arial" w:cs="Arial" w:eastAsia="Arial" w:hAnsi="Arial"/>
                <w:sz w:val="18"/>
                <w:szCs w:val="18"/>
                <w:color w:val="auto"/>
              </w:rPr>
              <w:t>$</w:t>
            </w:r>
          </w:p>
        </w:tc>
        <w:tc>
          <w:tcPr>
            <w:tcW w:w="1180" w:type="dxa"/>
            <w:vAlign w:val="bottom"/>
            <w:gridSpan w:val="2"/>
            <w:vMerge w:val="restart"/>
          </w:tcPr>
          <w:p>
            <w:pPr>
              <w:jc w:val="right"/>
              <w:ind w:right="320"/>
              <w:spacing w:after="0"/>
              <w:rPr>
                <w:sz w:val="20"/>
                <w:szCs w:val="20"/>
                <w:color w:val="auto"/>
              </w:rPr>
            </w:pPr>
            <w:r>
              <w:rPr>
                <w:rFonts w:ascii="Arial" w:cs="Arial" w:eastAsia="Arial" w:hAnsi="Arial"/>
                <w:sz w:val="18"/>
                <w:szCs w:val="18"/>
                <w:color w:val="auto"/>
              </w:rPr>
              <w:t>(5,197)</w:t>
            </w:r>
          </w:p>
        </w:tc>
        <w:tc>
          <w:tcPr>
            <w:tcW w:w="360" w:type="dxa"/>
            <w:vAlign w:val="bottom"/>
            <w:vMerge w:val="restart"/>
          </w:tcPr>
          <w:p>
            <w:pPr>
              <w:jc w:val="right"/>
              <w:ind w:right="50"/>
              <w:spacing w:after="0"/>
              <w:rPr>
                <w:sz w:val="20"/>
                <w:szCs w:val="20"/>
                <w:color w:val="auto"/>
              </w:rPr>
            </w:pPr>
            <w:r>
              <w:rPr>
                <w:rFonts w:ascii="Arial" w:cs="Arial" w:eastAsia="Arial" w:hAnsi="Arial"/>
                <w:sz w:val="18"/>
                <w:szCs w:val="18"/>
                <w:color w:val="auto"/>
              </w:rPr>
              <w:t>$</w:t>
            </w:r>
          </w:p>
        </w:tc>
        <w:tc>
          <w:tcPr>
            <w:tcW w:w="1300" w:type="dxa"/>
            <w:vAlign w:val="bottom"/>
            <w:gridSpan w:val="4"/>
            <w:vMerge w:val="restart"/>
          </w:tcPr>
          <w:p>
            <w:pPr>
              <w:jc w:val="right"/>
              <w:ind w:right="288"/>
              <w:spacing w:after="0"/>
              <w:rPr>
                <w:sz w:val="20"/>
                <w:szCs w:val="20"/>
                <w:color w:val="auto"/>
              </w:rPr>
            </w:pPr>
            <w:r>
              <w:rPr>
                <w:rFonts w:ascii="Arial" w:cs="Arial" w:eastAsia="Arial" w:hAnsi="Arial"/>
                <w:sz w:val="18"/>
                <w:szCs w:val="18"/>
                <w:color w:val="auto"/>
              </w:rPr>
              <w:t>(38,290)</w:t>
            </w:r>
          </w:p>
        </w:tc>
        <w:tc>
          <w:tcPr>
            <w:tcW w:w="80" w:type="dxa"/>
            <w:vAlign w:val="bottom"/>
          </w:tcPr>
          <w:p>
            <w:pPr>
              <w:spacing w:after="0"/>
              <w:rPr>
                <w:sz w:val="18"/>
                <w:szCs w:val="18"/>
                <w:color w:val="auto"/>
              </w:rPr>
            </w:pPr>
          </w:p>
        </w:tc>
        <w:tc>
          <w:tcPr>
            <w:tcW w:w="200" w:type="dxa"/>
            <w:vAlign w:val="bottom"/>
            <w:vMerge w:val="restart"/>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1020" w:type="dxa"/>
            <w:vAlign w:val="bottom"/>
            <w:gridSpan w:val="2"/>
            <w:vMerge w:val="restart"/>
          </w:tcPr>
          <w:p>
            <w:pPr>
              <w:jc w:val="right"/>
              <w:ind w:right="240"/>
              <w:spacing w:after="0"/>
              <w:rPr>
                <w:sz w:val="20"/>
                <w:szCs w:val="20"/>
                <w:color w:val="auto"/>
              </w:rPr>
            </w:pPr>
            <w:r>
              <w:rPr>
                <w:rFonts w:ascii="Arial" w:cs="Arial" w:eastAsia="Arial" w:hAnsi="Arial"/>
                <w:sz w:val="18"/>
                <w:szCs w:val="18"/>
                <w:color w:val="auto"/>
              </w:rPr>
              <w:t>(17,683)</w:t>
            </w:r>
          </w:p>
        </w:tc>
        <w:tc>
          <w:tcPr>
            <w:tcW w:w="0" w:type="dxa"/>
            <w:vAlign w:val="bottom"/>
          </w:tcPr>
          <w:p>
            <w:pPr>
              <w:spacing w:after="0"/>
              <w:rPr>
                <w:sz w:val="1"/>
                <w:szCs w:val="1"/>
                <w:color w:val="auto"/>
              </w:rPr>
            </w:pPr>
          </w:p>
        </w:tc>
      </w:tr>
      <w:tr>
        <w:trPr>
          <w:trHeight w:val="217"/>
        </w:trPr>
        <w:tc>
          <w:tcPr>
            <w:tcW w:w="1860" w:type="dxa"/>
            <w:vAlign w:val="bottom"/>
          </w:tcPr>
          <w:p>
            <w:pPr>
              <w:ind w:left="120"/>
              <w:spacing w:after="0"/>
              <w:rPr>
                <w:sz w:val="20"/>
                <w:szCs w:val="20"/>
                <w:color w:val="auto"/>
              </w:rPr>
            </w:pPr>
            <w:r>
              <w:rPr>
                <w:rFonts w:ascii="Arial" w:cs="Arial" w:eastAsia="Arial" w:hAnsi="Arial"/>
                <w:sz w:val="18"/>
                <w:szCs w:val="18"/>
                <w:color w:val="auto"/>
              </w:rPr>
              <w:t>stockholders</w:t>
            </w:r>
          </w:p>
        </w:tc>
        <w:tc>
          <w:tcPr>
            <w:tcW w:w="340" w:type="dxa"/>
            <w:vAlign w:val="bottom"/>
            <w:vMerge w:val="continue"/>
          </w:tcPr>
          <w:p>
            <w:pPr>
              <w:spacing w:after="0"/>
              <w:rPr>
                <w:sz w:val="18"/>
                <w:szCs w:val="18"/>
                <w:color w:val="auto"/>
              </w:rPr>
            </w:pPr>
          </w:p>
        </w:tc>
        <w:tc>
          <w:tcPr>
            <w:tcW w:w="1200" w:type="dxa"/>
            <w:vAlign w:val="bottom"/>
            <w:gridSpan w:val="2"/>
            <w:vMerge w:val="continue"/>
          </w:tcPr>
          <w:p>
            <w:pPr>
              <w:spacing w:after="0"/>
              <w:rPr>
                <w:sz w:val="18"/>
                <w:szCs w:val="18"/>
                <w:color w:val="auto"/>
              </w:rPr>
            </w:pPr>
          </w:p>
        </w:tc>
        <w:tc>
          <w:tcPr>
            <w:tcW w:w="360" w:type="dxa"/>
            <w:vAlign w:val="bottom"/>
            <w:vMerge w:val="continue"/>
          </w:tcPr>
          <w:p>
            <w:pPr>
              <w:spacing w:after="0"/>
              <w:rPr>
                <w:sz w:val="18"/>
                <w:szCs w:val="18"/>
                <w:color w:val="auto"/>
              </w:rPr>
            </w:pPr>
          </w:p>
        </w:tc>
        <w:tc>
          <w:tcPr>
            <w:tcW w:w="1180" w:type="dxa"/>
            <w:vAlign w:val="bottom"/>
            <w:gridSpan w:val="2"/>
            <w:vMerge w:val="continue"/>
          </w:tcPr>
          <w:p>
            <w:pPr>
              <w:spacing w:after="0"/>
              <w:rPr>
                <w:sz w:val="18"/>
                <w:szCs w:val="18"/>
                <w:color w:val="auto"/>
              </w:rPr>
            </w:pPr>
          </w:p>
        </w:tc>
        <w:tc>
          <w:tcPr>
            <w:tcW w:w="360" w:type="dxa"/>
            <w:vAlign w:val="bottom"/>
            <w:vMerge w:val="continue"/>
          </w:tcPr>
          <w:p>
            <w:pPr>
              <w:spacing w:after="0"/>
              <w:rPr>
                <w:sz w:val="18"/>
                <w:szCs w:val="18"/>
                <w:color w:val="auto"/>
              </w:rPr>
            </w:pPr>
          </w:p>
        </w:tc>
        <w:tc>
          <w:tcPr>
            <w:tcW w:w="1300" w:type="dxa"/>
            <w:vAlign w:val="bottom"/>
            <w:gridSpan w:val="4"/>
            <w:vMerge w:val="continue"/>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vMerge w:val="continue"/>
          </w:tcPr>
          <w:p>
            <w:pPr>
              <w:spacing w:after="0"/>
              <w:rPr>
                <w:sz w:val="18"/>
                <w:szCs w:val="18"/>
                <w:color w:val="auto"/>
              </w:rPr>
            </w:pPr>
          </w:p>
        </w:tc>
        <w:tc>
          <w:tcPr>
            <w:tcW w:w="160" w:type="dxa"/>
            <w:vAlign w:val="bottom"/>
          </w:tcPr>
          <w:p>
            <w:pPr>
              <w:spacing w:after="0"/>
              <w:rPr>
                <w:sz w:val="18"/>
                <w:szCs w:val="18"/>
                <w:color w:val="auto"/>
              </w:rPr>
            </w:pPr>
          </w:p>
        </w:tc>
        <w:tc>
          <w:tcPr>
            <w:tcW w:w="1020" w:type="dxa"/>
            <w:vAlign w:val="bottom"/>
            <w:gridSpan w:val="2"/>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1860" w:type="dxa"/>
            <w:vAlign w:val="bottom"/>
          </w:tcPr>
          <w:p>
            <w:pPr>
              <w:spacing w:after="0"/>
              <w:rPr>
                <w:sz w:val="2"/>
                <w:szCs w:val="2"/>
                <w:color w:val="auto"/>
              </w:rPr>
            </w:pPr>
          </w:p>
        </w:tc>
        <w:tc>
          <w:tcPr>
            <w:tcW w:w="340" w:type="dxa"/>
            <w:vAlign w:val="bottom"/>
            <w:shd w:val="clear" w:color="auto" w:fill="000000"/>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340" w:type="dxa"/>
            <w:vAlign w:val="bottom"/>
          </w:tcPr>
          <w:p>
            <w:pPr>
              <w:spacing w:after="0"/>
              <w:rPr>
                <w:sz w:val="2"/>
                <w:szCs w:val="2"/>
                <w:color w:val="auto"/>
              </w:rPr>
            </w:pPr>
          </w:p>
        </w:tc>
        <w:tc>
          <w:tcPr>
            <w:tcW w:w="360" w:type="dxa"/>
            <w:vAlign w:val="bottom"/>
            <w:shd w:val="clear" w:color="auto" w:fill="000000"/>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340" w:type="dxa"/>
            <w:vAlign w:val="bottom"/>
          </w:tcPr>
          <w:p>
            <w:pPr>
              <w:spacing w:after="0"/>
              <w:rPr>
                <w:sz w:val="2"/>
                <w:szCs w:val="2"/>
                <w:color w:val="auto"/>
              </w:rPr>
            </w:pPr>
          </w:p>
        </w:tc>
        <w:tc>
          <w:tcPr>
            <w:tcW w:w="360" w:type="dxa"/>
            <w:vAlign w:val="bottom"/>
            <w:shd w:val="clear" w:color="auto" w:fill="000000"/>
          </w:tcPr>
          <w:p>
            <w:pPr>
              <w:spacing w:after="0"/>
              <w:rPr>
                <w:sz w:val="2"/>
                <w:szCs w:val="2"/>
                <w:color w:val="auto"/>
              </w:rPr>
            </w:pPr>
          </w:p>
        </w:tc>
        <w:tc>
          <w:tcPr>
            <w:tcW w:w="360" w:type="dxa"/>
            <w:vAlign w:val="bottom"/>
            <w:shd w:val="clear" w:color="auto" w:fill="000000"/>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360" w:type="dxa"/>
            <w:vAlign w:val="bottom"/>
          </w:tcPr>
          <w:p>
            <w:pPr>
              <w:spacing w:after="0"/>
              <w:rPr>
                <w:sz w:val="2"/>
                <w:szCs w:val="2"/>
                <w:color w:val="auto"/>
              </w:rPr>
            </w:pPr>
          </w:p>
        </w:tc>
        <w:tc>
          <w:tcPr>
            <w:tcW w:w="280" w:type="dxa"/>
            <w:vAlign w:val="bottom"/>
            <w:gridSpan w:val="2"/>
            <w:shd w:val="clear" w:color="auto" w:fill="000000"/>
          </w:tcPr>
          <w:p>
            <w:pPr>
              <w:spacing w:after="0"/>
              <w:rPr>
                <w:sz w:val="2"/>
                <w:szCs w:val="2"/>
                <w:color w:val="auto"/>
              </w:rPr>
            </w:pPr>
          </w:p>
        </w:tc>
        <w:tc>
          <w:tcPr>
            <w:tcW w:w="920" w:type="dxa"/>
            <w:vAlign w:val="bottom"/>
            <w:gridSpan w:val="2"/>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899"/>
        </w:trPr>
        <w:tc>
          <w:tcPr>
            <w:tcW w:w="1860" w:type="dxa"/>
            <w:vAlign w:val="bottom"/>
          </w:tcPr>
          <w:p>
            <w:pPr>
              <w:ind w:left="40"/>
              <w:spacing w:after="0"/>
              <w:rPr>
                <w:sz w:val="20"/>
                <w:szCs w:val="20"/>
                <w:color w:val="auto"/>
              </w:rPr>
            </w:pPr>
            <w:r>
              <w:rPr>
                <w:rFonts w:ascii="Arial" w:cs="Arial" w:eastAsia="Arial" w:hAnsi="Arial"/>
                <w:sz w:val="14"/>
                <w:szCs w:val="14"/>
                <w:b w:val="1"/>
                <w:bCs w:val="1"/>
                <w:color w:val="auto"/>
                <w:w w:val="88"/>
              </w:rPr>
              <w:t>Selected Balance Sheet Items:</w:t>
            </w:r>
          </w:p>
        </w:tc>
        <w:tc>
          <w:tcPr>
            <w:tcW w:w="3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460" w:type="dxa"/>
            <w:vAlign w:val="bottom"/>
            <w:tcBorders>
              <w:bottom w:val="single" w:sz="8" w:color="auto"/>
            </w:tcBorders>
          </w:tcPr>
          <w:p>
            <w:pPr>
              <w:spacing w:after="0"/>
              <w:rPr>
                <w:sz w:val="24"/>
                <w:szCs w:val="24"/>
                <w:color w:val="auto"/>
              </w:rPr>
            </w:pPr>
          </w:p>
        </w:tc>
        <w:tc>
          <w:tcPr>
            <w:tcW w:w="1820" w:type="dxa"/>
            <w:vAlign w:val="bottom"/>
            <w:tcBorders>
              <w:bottom w:val="single" w:sz="8" w:color="auto"/>
            </w:tcBorders>
            <w:gridSpan w:val="6"/>
          </w:tcPr>
          <w:p>
            <w:pPr>
              <w:jc w:val="right"/>
              <w:ind w:right="780"/>
              <w:spacing w:after="0"/>
              <w:rPr>
                <w:sz w:val="20"/>
                <w:szCs w:val="20"/>
                <w:color w:val="auto"/>
              </w:rPr>
            </w:pPr>
            <w:r>
              <w:rPr>
                <w:rFonts w:ascii="Arial" w:cs="Arial" w:eastAsia="Arial" w:hAnsi="Arial"/>
                <w:sz w:val="14"/>
                <w:szCs w:val="14"/>
                <w:b w:val="1"/>
                <w:bCs w:val="1"/>
                <w:color w:val="auto"/>
              </w:rPr>
              <w:t>December 31,</w:t>
            </w:r>
          </w:p>
        </w:tc>
        <w:tc>
          <w:tcPr>
            <w:tcW w:w="0" w:type="dxa"/>
            <w:vAlign w:val="bottom"/>
          </w:tcPr>
          <w:p>
            <w:pPr>
              <w:spacing w:after="0"/>
              <w:rPr>
                <w:sz w:val="1"/>
                <w:szCs w:val="1"/>
                <w:color w:val="auto"/>
              </w:rPr>
            </w:pPr>
          </w:p>
        </w:tc>
      </w:tr>
      <w:tr>
        <w:trPr>
          <w:trHeight w:val="196"/>
        </w:trPr>
        <w:tc>
          <w:tcPr>
            <w:tcW w:w="18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820" w:type="dxa"/>
            <w:vAlign w:val="bottom"/>
            <w:tcBorders>
              <w:bottom w:val="single" w:sz="8" w:color="auto"/>
            </w:tcBorders>
            <w:gridSpan w:val="2"/>
          </w:tcPr>
          <w:p>
            <w:pPr>
              <w:jc w:val="right"/>
              <w:ind w:right="208"/>
              <w:spacing w:after="0"/>
              <w:rPr>
                <w:sz w:val="20"/>
                <w:szCs w:val="20"/>
                <w:color w:val="auto"/>
              </w:rPr>
            </w:pPr>
            <w:r>
              <w:rPr>
                <w:rFonts w:ascii="Arial" w:cs="Arial" w:eastAsia="Arial" w:hAnsi="Arial"/>
                <w:sz w:val="14"/>
                <w:szCs w:val="14"/>
                <w:b w:val="1"/>
                <w:bCs w:val="1"/>
                <w:color w:val="auto"/>
              </w:rPr>
              <w:t>2015</w:t>
            </w:r>
          </w:p>
        </w:tc>
        <w:tc>
          <w:tcPr>
            <w:tcW w:w="80" w:type="dxa"/>
            <w:vAlign w:val="bottom"/>
            <w:tcBorders>
              <w:bottom w:val="single" w:sz="8" w:color="auto"/>
            </w:tcBorders>
          </w:tcPr>
          <w:p>
            <w:pPr>
              <w:spacing w:after="0"/>
              <w:rPr>
                <w:sz w:val="17"/>
                <w:szCs w:val="17"/>
                <w:color w:val="auto"/>
              </w:rPr>
            </w:pPr>
          </w:p>
        </w:tc>
        <w:tc>
          <w:tcPr>
            <w:tcW w:w="200" w:type="dxa"/>
            <w:vAlign w:val="bottom"/>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760" w:type="dxa"/>
            <w:vAlign w:val="bottom"/>
            <w:tcBorders>
              <w:bottom w:val="single" w:sz="8" w:color="auto"/>
            </w:tcBorders>
          </w:tcPr>
          <w:p>
            <w:pPr>
              <w:jc w:val="right"/>
              <w:ind w:right="92"/>
              <w:spacing w:after="0"/>
              <w:rPr>
                <w:sz w:val="20"/>
                <w:szCs w:val="20"/>
                <w:color w:val="auto"/>
              </w:rPr>
            </w:pPr>
            <w:r>
              <w:rPr>
                <w:rFonts w:ascii="Arial" w:cs="Arial" w:eastAsia="Arial" w:hAnsi="Arial"/>
                <w:sz w:val="14"/>
                <w:szCs w:val="14"/>
                <w:b w:val="1"/>
                <w:bCs w:val="1"/>
                <w:color w:val="auto"/>
              </w:rPr>
              <w:t>2014</w:t>
            </w:r>
          </w:p>
        </w:tc>
        <w:tc>
          <w:tcPr>
            <w:tcW w:w="26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70"/>
        </w:trPr>
        <w:tc>
          <w:tcPr>
            <w:tcW w:w="186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86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84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3760" w:type="dxa"/>
            <w:vAlign w:val="bottom"/>
            <w:gridSpan w:val="5"/>
            <w:shd w:val="clear" w:color="auto" w:fill="CCEEFF"/>
          </w:tcPr>
          <w:p>
            <w:pPr>
              <w:ind w:left="40"/>
              <w:spacing w:after="0"/>
              <w:rPr>
                <w:sz w:val="20"/>
                <w:szCs w:val="20"/>
                <w:color w:val="auto"/>
              </w:rPr>
            </w:pPr>
            <w:r>
              <w:rPr>
                <w:rFonts w:ascii="Arial" w:cs="Arial" w:eastAsia="Arial" w:hAnsi="Arial"/>
                <w:sz w:val="18"/>
                <w:szCs w:val="18"/>
                <w:color w:val="auto"/>
                <w:w w:val="93"/>
              </w:rPr>
              <w:t>Cash, cash equivalents and marketable securities</w:t>
            </w:r>
          </w:p>
        </w:tc>
        <w:tc>
          <w:tcPr>
            <w:tcW w:w="840" w:type="dxa"/>
            <w:vAlign w:val="bottom"/>
            <w:shd w:val="clear" w:color="auto" w:fill="CCEEFF"/>
          </w:tcPr>
          <w:p>
            <w:pPr>
              <w:spacing w:after="0"/>
              <w:rPr>
                <w:sz w:val="23"/>
                <w:szCs w:val="23"/>
                <w:color w:val="auto"/>
              </w:rPr>
            </w:pPr>
          </w:p>
        </w:tc>
        <w:tc>
          <w:tcPr>
            <w:tcW w:w="340" w:type="dxa"/>
            <w:vAlign w:val="bottom"/>
            <w:shd w:val="clear" w:color="auto" w:fill="CCEEFF"/>
          </w:tcPr>
          <w:p>
            <w:pPr>
              <w:spacing w:after="0"/>
              <w:rPr>
                <w:sz w:val="23"/>
                <w:szCs w:val="23"/>
                <w:color w:val="auto"/>
              </w:rPr>
            </w:pPr>
          </w:p>
        </w:tc>
        <w:tc>
          <w:tcPr>
            <w:tcW w:w="360" w:type="dxa"/>
            <w:vAlign w:val="bottom"/>
            <w:shd w:val="clear" w:color="auto" w:fill="CCEEFF"/>
          </w:tcPr>
          <w:p>
            <w:pPr>
              <w:spacing w:after="0"/>
              <w:rPr>
                <w:sz w:val="23"/>
                <w:szCs w:val="23"/>
                <w:color w:val="auto"/>
              </w:rPr>
            </w:pPr>
          </w:p>
        </w:tc>
        <w:tc>
          <w:tcPr>
            <w:tcW w:w="4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224,345</w:t>
            </w:r>
          </w:p>
        </w:tc>
        <w:tc>
          <w:tcPr>
            <w:tcW w:w="80" w:type="dxa"/>
            <w:vAlign w:val="bottom"/>
            <w:shd w:val="clear" w:color="auto" w:fill="CCEEFF"/>
          </w:tcPr>
          <w:p>
            <w:pPr>
              <w:spacing w:after="0"/>
              <w:rPr>
                <w:sz w:val="23"/>
                <w:szCs w:val="23"/>
                <w:color w:val="auto"/>
              </w:rPr>
            </w:pPr>
          </w:p>
        </w:tc>
        <w:tc>
          <w:tcPr>
            <w:tcW w:w="3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7,035</w:t>
            </w:r>
          </w:p>
        </w:tc>
        <w:tc>
          <w:tcPr>
            <w:tcW w:w="0" w:type="dxa"/>
            <w:vAlign w:val="bottom"/>
          </w:tcPr>
          <w:p>
            <w:pPr>
              <w:spacing w:after="0"/>
              <w:rPr>
                <w:sz w:val="1"/>
                <w:szCs w:val="1"/>
                <w:color w:val="auto"/>
              </w:rPr>
            </w:pPr>
          </w:p>
        </w:tc>
      </w:tr>
      <w:tr>
        <w:trPr>
          <w:trHeight w:val="270"/>
        </w:trPr>
        <w:tc>
          <w:tcPr>
            <w:tcW w:w="1860" w:type="dxa"/>
            <w:vAlign w:val="bottom"/>
          </w:tcPr>
          <w:p>
            <w:pPr>
              <w:ind w:left="40"/>
              <w:spacing w:after="0"/>
              <w:rPr>
                <w:sz w:val="20"/>
                <w:szCs w:val="20"/>
                <w:color w:val="auto"/>
              </w:rPr>
            </w:pPr>
            <w:r>
              <w:rPr>
                <w:rFonts w:ascii="Arial" w:cs="Arial" w:eastAsia="Arial" w:hAnsi="Arial"/>
                <w:sz w:val="18"/>
                <w:szCs w:val="18"/>
                <w:color w:val="auto"/>
              </w:rPr>
              <w:t>Total assets</w:t>
            </w:r>
          </w:p>
        </w:tc>
        <w:tc>
          <w:tcPr>
            <w:tcW w:w="340" w:type="dxa"/>
            <w:vAlign w:val="bottom"/>
          </w:tcPr>
          <w:p>
            <w:pPr>
              <w:spacing w:after="0"/>
              <w:rPr>
                <w:sz w:val="23"/>
                <w:szCs w:val="23"/>
                <w:color w:val="auto"/>
              </w:rPr>
            </w:pPr>
          </w:p>
        </w:tc>
        <w:tc>
          <w:tcPr>
            <w:tcW w:w="86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84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4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20" w:type="dxa"/>
            <w:vAlign w:val="bottom"/>
            <w:gridSpan w:val="2"/>
          </w:tcPr>
          <w:p>
            <w:pPr>
              <w:jc w:val="right"/>
              <w:spacing w:after="0"/>
              <w:rPr>
                <w:sz w:val="20"/>
                <w:szCs w:val="20"/>
                <w:color w:val="auto"/>
              </w:rPr>
            </w:pPr>
            <w:r>
              <w:rPr>
                <w:rFonts w:ascii="Arial" w:cs="Arial" w:eastAsia="Arial" w:hAnsi="Arial"/>
                <w:sz w:val="18"/>
                <w:szCs w:val="18"/>
                <w:color w:val="auto"/>
              </w:rPr>
              <w:t>229,457</w:t>
            </w:r>
          </w:p>
        </w:tc>
        <w:tc>
          <w:tcPr>
            <w:tcW w:w="80" w:type="dxa"/>
            <w:vAlign w:val="bottom"/>
          </w:tcPr>
          <w:p>
            <w:pPr>
              <w:spacing w:after="0"/>
              <w:rPr>
                <w:sz w:val="23"/>
                <w:szCs w:val="23"/>
                <w:color w:val="auto"/>
              </w:rPr>
            </w:pPr>
          </w:p>
        </w:tc>
        <w:tc>
          <w:tcPr>
            <w:tcW w:w="36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rPr>
              <w:t>11,497</w:t>
            </w:r>
          </w:p>
        </w:tc>
        <w:tc>
          <w:tcPr>
            <w:tcW w:w="0" w:type="dxa"/>
            <w:vAlign w:val="bottom"/>
          </w:tcPr>
          <w:p>
            <w:pPr>
              <w:spacing w:after="0"/>
              <w:rPr>
                <w:sz w:val="1"/>
                <w:szCs w:val="1"/>
                <w:color w:val="auto"/>
              </w:rPr>
            </w:pPr>
          </w:p>
        </w:tc>
      </w:tr>
      <w:tr>
        <w:trPr>
          <w:trHeight w:val="270"/>
        </w:trPr>
        <w:tc>
          <w:tcPr>
            <w:tcW w:w="3400" w:type="dxa"/>
            <w:vAlign w:val="bottom"/>
            <w:gridSpan w:val="4"/>
            <w:shd w:val="clear" w:color="auto" w:fill="CCEEFF"/>
          </w:tcPr>
          <w:p>
            <w:pPr>
              <w:ind w:left="40"/>
              <w:spacing w:after="0"/>
              <w:rPr>
                <w:sz w:val="20"/>
                <w:szCs w:val="20"/>
                <w:color w:val="auto"/>
              </w:rPr>
            </w:pPr>
            <w:r>
              <w:rPr>
                <w:rFonts w:ascii="Arial" w:cs="Arial" w:eastAsia="Arial" w:hAnsi="Arial"/>
                <w:sz w:val="18"/>
                <w:szCs w:val="18"/>
                <w:color w:val="auto"/>
              </w:rPr>
              <w:t>Accounts payable and accrued expenses</w:t>
            </w:r>
          </w:p>
        </w:tc>
        <w:tc>
          <w:tcPr>
            <w:tcW w:w="360" w:type="dxa"/>
            <w:vAlign w:val="bottom"/>
            <w:shd w:val="clear" w:color="auto" w:fill="CCEEFF"/>
          </w:tcPr>
          <w:p>
            <w:pPr>
              <w:spacing w:after="0"/>
              <w:rPr>
                <w:sz w:val="23"/>
                <w:szCs w:val="23"/>
                <w:color w:val="auto"/>
              </w:rPr>
            </w:pPr>
          </w:p>
        </w:tc>
        <w:tc>
          <w:tcPr>
            <w:tcW w:w="840" w:type="dxa"/>
            <w:vAlign w:val="bottom"/>
            <w:shd w:val="clear" w:color="auto" w:fill="CCEEFF"/>
          </w:tcPr>
          <w:p>
            <w:pPr>
              <w:spacing w:after="0"/>
              <w:rPr>
                <w:sz w:val="23"/>
                <w:szCs w:val="23"/>
                <w:color w:val="auto"/>
              </w:rPr>
            </w:pPr>
          </w:p>
        </w:tc>
        <w:tc>
          <w:tcPr>
            <w:tcW w:w="340" w:type="dxa"/>
            <w:vAlign w:val="bottom"/>
            <w:shd w:val="clear" w:color="auto" w:fill="CCEEFF"/>
          </w:tcPr>
          <w:p>
            <w:pPr>
              <w:spacing w:after="0"/>
              <w:rPr>
                <w:sz w:val="23"/>
                <w:szCs w:val="23"/>
                <w:color w:val="auto"/>
              </w:rPr>
            </w:pPr>
          </w:p>
        </w:tc>
        <w:tc>
          <w:tcPr>
            <w:tcW w:w="360" w:type="dxa"/>
            <w:vAlign w:val="bottom"/>
            <w:shd w:val="clear" w:color="auto" w:fill="CCEEFF"/>
          </w:tcPr>
          <w:p>
            <w:pPr>
              <w:spacing w:after="0"/>
              <w:rPr>
                <w:sz w:val="23"/>
                <w:szCs w:val="23"/>
                <w:color w:val="auto"/>
              </w:rPr>
            </w:pPr>
          </w:p>
        </w:tc>
        <w:tc>
          <w:tcPr>
            <w:tcW w:w="4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4,042</w:t>
            </w:r>
          </w:p>
        </w:tc>
        <w:tc>
          <w:tcPr>
            <w:tcW w:w="80" w:type="dxa"/>
            <w:vAlign w:val="bottom"/>
            <w:shd w:val="clear" w:color="auto" w:fill="CCEEFF"/>
          </w:tcPr>
          <w:p>
            <w:pPr>
              <w:spacing w:after="0"/>
              <w:rPr>
                <w:sz w:val="23"/>
                <w:szCs w:val="23"/>
                <w:color w:val="auto"/>
              </w:rPr>
            </w:pPr>
          </w:p>
        </w:tc>
        <w:tc>
          <w:tcPr>
            <w:tcW w:w="3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2,196</w:t>
            </w:r>
          </w:p>
        </w:tc>
        <w:tc>
          <w:tcPr>
            <w:tcW w:w="0" w:type="dxa"/>
            <w:vAlign w:val="bottom"/>
          </w:tcPr>
          <w:p>
            <w:pPr>
              <w:spacing w:after="0"/>
              <w:rPr>
                <w:sz w:val="1"/>
                <w:szCs w:val="1"/>
                <w:color w:val="auto"/>
              </w:rPr>
            </w:pPr>
          </w:p>
        </w:tc>
      </w:tr>
      <w:tr>
        <w:trPr>
          <w:trHeight w:val="297"/>
        </w:trPr>
        <w:tc>
          <w:tcPr>
            <w:tcW w:w="1860" w:type="dxa"/>
            <w:vAlign w:val="bottom"/>
          </w:tcPr>
          <w:p>
            <w:pPr>
              <w:ind w:left="40"/>
              <w:spacing w:after="0"/>
              <w:rPr>
                <w:sz w:val="20"/>
                <w:szCs w:val="20"/>
                <w:color w:val="auto"/>
              </w:rPr>
            </w:pPr>
            <w:r>
              <w:rPr>
                <w:rFonts w:ascii="Arial" w:cs="Arial" w:eastAsia="Arial" w:hAnsi="Arial"/>
                <w:sz w:val="18"/>
                <w:szCs w:val="18"/>
                <w:color w:val="auto"/>
              </w:rPr>
              <w:t>Deferred revenue</w:t>
            </w:r>
          </w:p>
        </w:tc>
        <w:tc>
          <w:tcPr>
            <w:tcW w:w="3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4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20" w:type="dxa"/>
            <w:vAlign w:val="bottom"/>
            <w:gridSpan w:val="2"/>
          </w:tcPr>
          <w:p>
            <w:pPr>
              <w:jc w:val="right"/>
              <w:spacing w:after="0"/>
              <w:rPr>
                <w:sz w:val="20"/>
                <w:szCs w:val="20"/>
                <w:color w:val="auto"/>
              </w:rPr>
            </w:pPr>
            <w:r>
              <w:rPr>
                <w:rFonts w:ascii="Arial" w:cs="Arial" w:eastAsia="Arial" w:hAnsi="Arial"/>
                <w:sz w:val="18"/>
                <w:szCs w:val="18"/>
                <w:color w:val="auto"/>
              </w:rPr>
              <w:t>54,982</w:t>
            </w:r>
          </w:p>
        </w:tc>
        <w:tc>
          <w:tcPr>
            <w:tcW w:w="80" w:type="dxa"/>
            <w:vAlign w:val="bottom"/>
          </w:tcPr>
          <w:p>
            <w:pPr>
              <w:spacing w:after="0"/>
              <w:rPr>
                <w:sz w:val="24"/>
                <w:szCs w:val="24"/>
                <w:color w:val="auto"/>
              </w:rPr>
            </w:pPr>
          </w:p>
        </w:tc>
        <w:tc>
          <w:tcPr>
            <w:tcW w:w="36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102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97"/>
        </w:trPr>
        <w:tc>
          <w:tcPr>
            <w:tcW w:w="3400" w:type="dxa"/>
            <w:vAlign w:val="bottom"/>
            <w:gridSpan w:val="4"/>
            <w:shd w:val="clear" w:color="auto" w:fill="CCEEFF"/>
          </w:tcPr>
          <w:p>
            <w:pPr>
              <w:ind w:left="40"/>
              <w:spacing w:after="0"/>
              <w:rPr>
                <w:sz w:val="20"/>
                <w:szCs w:val="20"/>
                <w:color w:val="auto"/>
              </w:rPr>
            </w:pPr>
            <w:r>
              <w:rPr>
                <w:rFonts w:ascii="Arial" w:cs="Arial" w:eastAsia="Arial" w:hAnsi="Arial"/>
                <w:sz w:val="18"/>
                <w:szCs w:val="18"/>
                <w:color w:val="auto"/>
              </w:rPr>
              <w:t>Redeemable convertible preferred stock</w:t>
            </w:r>
          </w:p>
        </w:tc>
        <w:tc>
          <w:tcPr>
            <w:tcW w:w="360" w:type="dxa"/>
            <w:vAlign w:val="bottom"/>
            <w:shd w:val="clear" w:color="auto" w:fill="CCEEFF"/>
          </w:tcPr>
          <w:p>
            <w:pPr>
              <w:spacing w:after="0"/>
              <w:rPr>
                <w:sz w:val="24"/>
                <w:szCs w:val="24"/>
                <w:color w:val="auto"/>
              </w:rPr>
            </w:pPr>
          </w:p>
        </w:tc>
        <w:tc>
          <w:tcPr>
            <w:tcW w:w="840" w:type="dxa"/>
            <w:vAlign w:val="bottom"/>
            <w:shd w:val="clear" w:color="auto" w:fill="CCEEFF"/>
          </w:tcPr>
          <w:p>
            <w:pPr>
              <w:spacing w:after="0"/>
              <w:rPr>
                <w:sz w:val="24"/>
                <w:szCs w:val="24"/>
                <w:color w:val="auto"/>
              </w:rPr>
            </w:pPr>
          </w:p>
        </w:tc>
        <w:tc>
          <w:tcPr>
            <w:tcW w:w="340" w:type="dxa"/>
            <w:vAlign w:val="bottom"/>
            <w:shd w:val="clear" w:color="auto" w:fill="CCEEFF"/>
          </w:tcPr>
          <w:p>
            <w:pPr>
              <w:spacing w:after="0"/>
              <w:rPr>
                <w:sz w:val="24"/>
                <w:szCs w:val="24"/>
                <w:color w:val="auto"/>
              </w:rPr>
            </w:pPr>
          </w:p>
        </w:tc>
        <w:tc>
          <w:tcPr>
            <w:tcW w:w="360" w:type="dxa"/>
            <w:vAlign w:val="bottom"/>
            <w:shd w:val="clear" w:color="auto" w:fill="CCEEFF"/>
          </w:tcPr>
          <w:p>
            <w:pPr>
              <w:spacing w:after="0"/>
              <w:rPr>
                <w:sz w:val="24"/>
                <w:szCs w:val="24"/>
                <w:color w:val="auto"/>
              </w:rPr>
            </w:pPr>
          </w:p>
        </w:tc>
        <w:tc>
          <w:tcPr>
            <w:tcW w:w="4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0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3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21,979</w:t>
            </w:r>
          </w:p>
        </w:tc>
        <w:tc>
          <w:tcPr>
            <w:tcW w:w="0" w:type="dxa"/>
            <w:vAlign w:val="bottom"/>
          </w:tcPr>
          <w:p>
            <w:pPr>
              <w:spacing w:after="0"/>
              <w:rPr>
                <w:sz w:val="1"/>
                <w:szCs w:val="1"/>
                <w:color w:val="auto"/>
              </w:rPr>
            </w:pPr>
          </w:p>
        </w:tc>
      </w:tr>
      <w:tr>
        <w:trPr>
          <w:trHeight w:val="270"/>
        </w:trPr>
        <w:tc>
          <w:tcPr>
            <w:tcW w:w="3400" w:type="dxa"/>
            <w:vAlign w:val="bottom"/>
            <w:gridSpan w:val="4"/>
          </w:tcPr>
          <w:p>
            <w:pPr>
              <w:ind w:left="40"/>
              <w:spacing w:after="0"/>
              <w:rPr>
                <w:sz w:val="20"/>
                <w:szCs w:val="20"/>
                <w:color w:val="auto"/>
              </w:rPr>
            </w:pPr>
            <w:r>
              <w:rPr>
                <w:rFonts w:ascii="Arial" w:cs="Arial" w:eastAsia="Arial" w:hAnsi="Arial"/>
                <w:sz w:val="18"/>
                <w:szCs w:val="18"/>
                <w:color w:val="auto"/>
              </w:rPr>
              <w:t>Total stockholders' equity (deficit)</w:t>
            </w:r>
          </w:p>
        </w:tc>
        <w:tc>
          <w:tcPr>
            <w:tcW w:w="360" w:type="dxa"/>
            <w:vAlign w:val="bottom"/>
          </w:tcPr>
          <w:p>
            <w:pPr>
              <w:spacing w:after="0"/>
              <w:rPr>
                <w:sz w:val="23"/>
                <w:szCs w:val="23"/>
                <w:color w:val="auto"/>
              </w:rPr>
            </w:pPr>
          </w:p>
        </w:tc>
        <w:tc>
          <w:tcPr>
            <w:tcW w:w="84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4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20" w:type="dxa"/>
            <w:vAlign w:val="bottom"/>
            <w:gridSpan w:val="2"/>
          </w:tcPr>
          <w:p>
            <w:pPr>
              <w:jc w:val="right"/>
              <w:spacing w:after="0"/>
              <w:rPr>
                <w:sz w:val="20"/>
                <w:szCs w:val="20"/>
                <w:color w:val="auto"/>
              </w:rPr>
            </w:pPr>
            <w:r>
              <w:rPr>
                <w:rFonts w:ascii="Arial" w:cs="Arial" w:eastAsia="Arial" w:hAnsi="Arial"/>
                <w:sz w:val="18"/>
                <w:szCs w:val="18"/>
                <w:color w:val="auto"/>
              </w:rPr>
              <w:t>169,074</w:t>
            </w:r>
          </w:p>
        </w:tc>
        <w:tc>
          <w:tcPr>
            <w:tcW w:w="80" w:type="dxa"/>
            <w:vAlign w:val="bottom"/>
          </w:tcPr>
          <w:p>
            <w:pPr>
              <w:spacing w:after="0"/>
              <w:rPr>
                <w:sz w:val="23"/>
                <w:szCs w:val="23"/>
                <w:color w:val="auto"/>
              </w:rPr>
            </w:pPr>
          </w:p>
        </w:tc>
        <w:tc>
          <w:tcPr>
            <w:tcW w:w="36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1020" w:type="dxa"/>
            <w:vAlign w:val="bottom"/>
            <w:gridSpan w:val="2"/>
          </w:tcPr>
          <w:p>
            <w:pPr>
              <w:jc w:val="right"/>
              <w:ind w:right="60"/>
              <w:spacing w:after="0"/>
              <w:rPr>
                <w:sz w:val="20"/>
                <w:szCs w:val="20"/>
                <w:color w:val="auto"/>
              </w:rPr>
            </w:pPr>
            <w:r>
              <w:rPr>
                <w:rFonts w:ascii="Arial" w:cs="Arial" w:eastAsia="Arial" w:hAnsi="Arial"/>
                <w:sz w:val="18"/>
                <w:szCs w:val="18"/>
                <w:color w:val="auto"/>
              </w:rPr>
              <w:t>(20,830)</w:t>
            </w:r>
          </w:p>
        </w:tc>
        <w:tc>
          <w:tcPr>
            <w:tcW w:w="0" w:type="dxa"/>
            <w:vAlign w:val="bottom"/>
          </w:tcPr>
          <w:p>
            <w:pPr>
              <w:spacing w:after="0"/>
              <w:rPr>
                <w:sz w:val="1"/>
                <w:szCs w:val="1"/>
                <w:color w:val="auto"/>
              </w:rPr>
            </w:pPr>
          </w:p>
        </w:tc>
      </w:tr>
      <w:tr>
        <w:trPr>
          <w:trHeight w:val="480"/>
        </w:trPr>
        <w:tc>
          <w:tcPr>
            <w:tcW w:w="1860" w:type="dxa"/>
            <w:vAlign w:val="bottom"/>
            <w:tcBorders>
              <w:bottom w:val="single" w:sz="8" w:color="auto"/>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840" w:type="dxa"/>
            <w:vAlign w:val="bottom"/>
            <w:tcBorders>
              <w:bottom w:val="single" w:sz="8" w:color="auto"/>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460" w:type="dxa"/>
            <w:vAlign w:val="bottom"/>
            <w:tcBorders>
              <w:bottom w:val="single" w:sz="8" w:color="auto"/>
            </w:tcBorders>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76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1" w:lineRule="exact"/>
        <w:rPr>
          <w:sz w:val="20"/>
          <w:szCs w:val="20"/>
          <w:color w:val="auto"/>
        </w:rPr>
      </w:pPr>
    </w:p>
    <w:sectPr>
      <w:pgSz w:w="11900" w:h="16838" w:orient="portrait"/>
      <w:cols w:equalWidth="0" w:num="1">
        <w:col w:w="9019"/>
      </w:cols>
      <w:pgMar w:left="1440" w:top="111"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43C9869"/>
    <w:multiLevelType w:val="hybridMultilevel"/>
    <w:lvl w:ilvl="0">
      <w:lvlJc w:val="left"/>
      <w:lvlText w:val="☐"/>
      <w:numFmt w:val="bullet"/>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jpe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2019-12-09T02:29:43Z</dcterms:created>
  <dcterms:modified xsi:type="dcterms:W3CDTF">2019-12-09T02:29:43Z</dcterms:modified>
</cp:coreProperties>
</file>