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79">
        <w:r>
          <w:rPr>
            <w:rFonts w:ascii="Arial" w:cs="Arial" w:eastAsia="Arial" w:hAnsi="Arial"/>
            <w:sz w:val="21"/>
            <w:szCs w:val="21"/>
            <w:u w:val="single" w:color="auto"/>
            <w:color w:val="0000EE"/>
          </w:rPr>
          <w:t>TABLE CONTENTS 2</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333-207367</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150495</wp:posOffset>
            </wp:positionV>
            <wp:extent cx="190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2567305</wp:posOffset>
            </wp:positionH>
            <wp:positionV relativeFrom="paragraph">
              <wp:posOffset>149860</wp:posOffset>
            </wp:positionV>
            <wp:extent cx="2131060" cy="732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1060" cy="732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27" w:lineRule="exact"/>
        <w:rPr>
          <w:sz w:val="24"/>
          <w:szCs w:val="24"/>
          <w:color w:val="auto"/>
        </w:rPr>
      </w:pPr>
    </w:p>
    <w:p>
      <w:pPr>
        <w:ind w:right="180" w:firstLine="338"/>
        <w:spacing w:after="0" w:line="352" w:lineRule="auto"/>
        <w:rPr>
          <w:sz w:val="20"/>
          <w:szCs w:val="20"/>
          <w:color w:val="auto"/>
        </w:rPr>
      </w:pPr>
      <w:r>
        <w:rPr>
          <w:rFonts w:ascii="Arial" w:cs="Arial" w:eastAsia="Arial" w:hAnsi="Arial"/>
          <w:sz w:val="15"/>
          <w:szCs w:val="15"/>
          <w:color w:val="auto"/>
        </w:rPr>
        <w:t>This is an initial public offering of shares of our common stock. We are offering 5,000,000 shares of our common stock. Prior to this offering, there has been no public market for our common stock. Our common stock has been approved for listing on The NASDAQ Global Select Market under the symbol "VYGR."</w:t>
      </w:r>
    </w:p>
    <w:p>
      <w:pPr>
        <w:spacing w:after="0" w:line="123" w:lineRule="exact"/>
        <w:rPr>
          <w:sz w:val="24"/>
          <w:szCs w:val="24"/>
          <w:color w:val="auto"/>
        </w:rPr>
      </w:pPr>
    </w:p>
    <w:p>
      <w:pPr>
        <w:ind w:right="320" w:firstLine="338"/>
        <w:spacing w:after="0" w:line="352" w:lineRule="auto"/>
        <w:rPr>
          <w:sz w:val="20"/>
          <w:szCs w:val="20"/>
          <w:color w:val="auto"/>
        </w:rPr>
      </w:pPr>
      <w:r>
        <w:rPr>
          <w:rFonts w:ascii="Arial" w:cs="Arial" w:eastAsia="Arial" w:hAnsi="Arial"/>
          <w:sz w:val="15"/>
          <w:szCs w:val="15"/>
          <w:color w:val="auto"/>
        </w:rPr>
        <w:t>We are an "emerging growth company" under applicable Securities and Exchange Commission rules and will be subject to reduced public company reporting requirements for this prospectus and future filings. See the section titled "Prospectus Summary—Implications of Being an Emerging Growth Company."</w:t>
      </w:r>
    </w:p>
    <w:p>
      <w:pPr>
        <w:spacing w:after="0" w:line="119" w:lineRule="exact"/>
        <w:rPr>
          <w:sz w:val="24"/>
          <w:szCs w:val="24"/>
          <w:color w:val="auto"/>
        </w:rPr>
      </w:pPr>
    </w:p>
    <w:p>
      <w:pPr>
        <w:ind w:right="160" w:firstLine="341"/>
        <w:spacing w:after="0" w:line="287" w:lineRule="auto"/>
        <w:rPr>
          <w:sz w:val="20"/>
          <w:szCs w:val="20"/>
          <w:color w:val="auto"/>
        </w:rPr>
      </w:pPr>
      <w:r>
        <w:rPr>
          <w:rFonts w:ascii="Arial" w:cs="Arial" w:eastAsia="Arial" w:hAnsi="Arial"/>
          <w:sz w:val="17"/>
          <w:szCs w:val="17"/>
          <w:b w:val="1"/>
          <w:bCs w:val="1"/>
          <w:color w:val="auto"/>
        </w:rPr>
        <w:t>Our business and investment in our common stock involve significant risks. These risks are described in the section titled "Risk Factors" beginning on page 12 of this prospectus.</w:t>
      </w:r>
    </w:p>
    <w:p>
      <w:pPr>
        <w:spacing w:after="0" w:line="166" w:lineRule="exact"/>
        <w:rPr>
          <w:sz w:val="24"/>
          <w:szCs w:val="24"/>
          <w:color w:val="auto"/>
        </w:rPr>
      </w:pPr>
    </w:p>
    <w:p>
      <w:pPr>
        <w:ind w:right="120" w:firstLine="341"/>
        <w:spacing w:after="0" w:line="282"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113030</wp:posOffset>
            </wp:positionV>
            <wp:extent cx="190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6860" w:type="dxa"/>
            <w:vAlign w:val="bottom"/>
            <w:gridSpan w:val="2"/>
            <w:vMerge w:val="restart"/>
          </w:tcPr>
          <w:p>
            <w:pPr>
              <w:ind w:left="1900"/>
              <w:spacing w:after="0"/>
              <w:rPr>
                <w:sz w:val="20"/>
                <w:szCs w:val="20"/>
                <w:color w:val="auto"/>
              </w:rPr>
            </w:pPr>
            <w:r>
              <w:rPr>
                <w:rFonts w:ascii="Arial" w:cs="Arial" w:eastAsia="Arial" w:hAnsi="Arial"/>
                <w:sz w:val="17"/>
                <w:szCs w:val="17"/>
                <w:b w:val="1"/>
                <w:bCs w:val="1"/>
                <w:color w:val="auto"/>
              </w:rPr>
              <w:t>Initial public offering price</w:t>
            </w:r>
          </w:p>
        </w:tc>
        <w:tc>
          <w:tcPr>
            <w:tcW w:w="12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6860" w:type="dxa"/>
            <w:vAlign w:val="bottom"/>
            <w:gridSpan w:val="2"/>
            <w:vMerge w:val="continue"/>
          </w:tcPr>
          <w:p>
            <w:pPr>
              <w:spacing w:after="0"/>
              <w:rPr>
                <w:sz w:val="16"/>
                <w:szCs w:val="16"/>
                <w:color w:val="auto"/>
              </w:rPr>
            </w:pPr>
          </w:p>
        </w:tc>
        <w:tc>
          <w:tcPr>
            <w:tcW w:w="48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315"/>
              <w:spacing w:after="0" w:line="192" w:lineRule="exact"/>
              <w:rPr>
                <w:sz w:val="20"/>
                <w:szCs w:val="20"/>
                <w:color w:val="auto"/>
              </w:rPr>
            </w:pPr>
            <w:r>
              <w:rPr>
                <w:rFonts w:ascii="Arial" w:cs="Arial" w:eastAsia="Arial" w:hAnsi="Arial"/>
                <w:sz w:val="17"/>
                <w:szCs w:val="17"/>
                <w:b w:val="1"/>
                <w:bCs w:val="1"/>
                <w:color w:val="auto"/>
                <w:w w:val="84"/>
              </w:rPr>
              <w:t>14.00</w:t>
            </w:r>
          </w:p>
        </w:tc>
        <w:tc>
          <w:tcPr>
            <w:tcW w:w="160" w:type="dxa"/>
            <w:vAlign w:val="bottom"/>
          </w:tcPr>
          <w:p>
            <w:pPr>
              <w:spacing w:after="0"/>
              <w:rPr>
                <w:sz w:val="16"/>
                <w:szCs w:val="16"/>
                <w:color w:val="auto"/>
              </w:rPr>
            </w:pPr>
          </w:p>
        </w:tc>
        <w:tc>
          <w:tcPr>
            <w:tcW w:w="28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20"/>
              <w:spacing w:after="0" w:line="192" w:lineRule="exact"/>
              <w:rPr>
                <w:sz w:val="20"/>
                <w:szCs w:val="20"/>
                <w:color w:val="auto"/>
              </w:rPr>
            </w:pPr>
            <w:r>
              <w:rPr>
                <w:rFonts w:ascii="Arial" w:cs="Arial" w:eastAsia="Arial" w:hAnsi="Arial"/>
                <w:sz w:val="17"/>
                <w:szCs w:val="17"/>
                <w:b w:val="1"/>
                <w:bCs w:val="1"/>
                <w:color w:val="auto"/>
                <w:w w:val="89"/>
              </w:rPr>
              <w:t>70,000,000</w:t>
            </w:r>
          </w:p>
        </w:tc>
        <w:tc>
          <w:tcPr>
            <w:tcW w:w="0" w:type="dxa"/>
            <w:vAlign w:val="bottom"/>
          </w:tcPr>
          <w:p>
            <w:pPr>
              <w:spacing w:after="0"/>
              <w:rPr>
                <w:sz w:val="1"/>
                <w:szCs w:val="1"/>
                <w:color w:val="auto"/>
              </w:rPr>
            </w:pPr>
          </w:p>
        </w:tc>
      </w:tr>
      <w:tr>
        <w:trPr>
          <w:trHeight w:val="248"/>
        </w:trPr>
        <w:tc>
          <w:tcPr>
            <w:tcW w:w="6860" w:type="dxa"/>
            <w:vAlign w:val="bottom"/>
            <w:gridSpan w:val="2"/>
          </w:tcPr>
          <w:p>
            <w:pPr>
              <w:ind w:left="1900"/>
              <w:spacing w:after="0" w:line="247" w:lineRule="exact"/>
              <w:rPr>
                <w:sz w:val="20"/>
                <w:szCs w:val="20"/>
                <w:color w:val="auto"/>
              </w:rPr>
            </w:pPr>
            <w:r>
              <w:rPr>
                <w:rFonts w:ascii="Arial" w:cs="Arial" w:eastAsia="Arial" w:hAnsi="Arial"/>
                <w:sz w:val="17"/>
                <w:szCs w:val="17"/>
                <w:b w:val="1"/>
                <w:bCs w:val="1"/>
                <w:color w:val="auto"/>
              </w:rPr>
              <w:t>Underwriting discounts and commissions</w:t>
            </w:r>
            <w:r>
              <w:rPr>
                <w:rFonts w:ascii="Arial" w:cs="Arial" w:eastAsia="Arial" w:hAnsi="Arial"/>
                <w:sz w:val="28"/>
                <w:szCs w:val="28"/>
                <w:b w:val="1"/>
                <w:bCs w:val="1"/>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315"/>
              <w:spacing w:after="0"/>
              <w:rPr>
                <w:sz w:val="20"/>
                <w:szCs w:val="20"/>
                <w:color w:val="auto"/>
              </w:rPr>
            </w:pPr>
            <w:r>
              <w:rPr>
                <w:rFonts w:ascii="Arial" w:cs="Arial" w:eastAsia="Arial" w:hAnsi="Arial"/>
                <w:sz w:val="17"/>
                <w:szCs w:val="17"/>
                <w:b w:val="1"/>
                <w:bCs w:val="1"/>
                <w:color w:val="auto"/>
              </w:rPr>
              <w:t>0.98</w:t>
            </w: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20"/>
              <w:spacing w:after="0"/>
              <w:rPr>
                <w:sz w:val="20"/>
                <w:szCs w:val="20"/>
                <w:color w:val="auto"/>
              </w:rPr>
            </w:pPr>
            <w:r>
              <w:rPr>
                <w:rFonts w:ascii="Arial" w:cs="Arial" w:eastAsia="Arial" w:hAnsi="Arial"/>
                <w:sz w:val="17"/>
                <w:szCs w:val="17"/>
                <w:b w:val="1"/>
                <w:bCs w:val="1"/>
                <w:color w:val="auto"/>
              </w:rPr>
              <w:t>4,900,000</w:t>
            </w:r>
          </w:p>
        </w:tc>
        <w:tc>
          <w:tcPr>
            <w:tcW w:w="0" w:type="dxa"/>
            <w:vAlign w:val="bottom"/>
          </w:tcPr>
          <w:p>
            <w:pPr>
              <w:spacing w:after="0"/>
              <w:rPr>
                <w:sz w:val="1"/>
                <w:szCs w:val="1"/>
                <w:color w:val="auto"/>
              </w:rPr>
            </w:pPr>
          </w:p>
        </w:tc>
      </w:tr>
      <w:tr>
        <w:trPr>
          <w:trHeight w:val="220"/>
        </w:trPr>
        <w:tc>
          <w:tcPr>
            <w:tcW w:w="6860" w:type="dxa"/>
            <w:vAlign w:val="bottom"/>
            <w:gridSpan w:val="2"/>
          </w:tcPr>
          <w:p>
            <w:pPr>
              <w:ind w:left="1900"/>
              <w:spacing w:after="0"/>
              <w:rPr>
                <w:sz w:val="20"/>
                <w:szCs w:val="20"/>
                <w:color w:val="auto"/>
              </w:rPr>
            </w:pPr>
            <w:r>
              <w:rPr>
                <w:rFonts w:ascii="Arial" w:cs="Arial" w:eastAsia="Arial" w:hAnsi="Arial"/>
                <w:sz w:val="17"/>
                <w:szCs w:val="17"/>
                <w:b w:val="1"/>
                <w:bCs w:val="1"/>
                <w:color w:val="auto"/>
              </w:rPr>
              <w:t>Proceeds, before expenses, to Voyager</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315"/>
              <w:spacing w:after="0"/>
              <w:rPr>
                <w:sz w:val="20"/>
                <w:szCs w:val="20"/>
                <w:color w:val="auto"/>
              </w:rPr>
            </w:pPr>
            <w:r>
              <w:rPr>
                <w:rFonts w:ascii="Arial" w:cs="Arial" w:eastAsia="Arial" w:hAnsi="Arial"/>
                <w:sz w:val="17"/>
                <w:szCs w:val="17"/>
                <w:b w:val="1"/>
                <w:bCs w:val="1"/>
                <w:color w:val="auto"/>
                <w:w w:val="84"/>
              </w:rPr>
              <w:t>13.02</w:t>
            </w: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20"/>
              <w:spacing w:after="0"/>
              <w:rPr>
                <w:sz w:val="20"/>
                <w:szCs w:val="20"/>
                <w:color w:val="auto"/>
              </w:rPr>
            </w:pPr>
            <w:r>
              <w:rPr>
                <w:rFonts w:ascii="Arial" w:cs="Arial" w:eastAsia="Arial" w:hAnsi="Arial"/>
                <w:sz w:val="17"/>
                <w:szCs w:val="17"/>
                <w:b w:val="1"/>
                <w:bCs w:val="1"/>
                <w:color w:val="auto"/>
                <w:w w:val="89"/>
              </w:rPr>
              <w:t>65,100,000</w:t>
            </w:r>
          </w:p>
        </w:tc>
        <w:tc>
          <w:tcPr>
            <w:tcW w:w="0" w:type="dxa"/>
            <w:vAlign w:val="bottom"/>
          </w:tcPr>
          <w:p>
            <w:pPr>
              <w:spacing w:after="0"/>
              <w:rPr>
                <w:sz w:val="1"/>
                <w:szCs w:val="1"/>
                <w:color w:val="auto"/>
              </w:rPr>
            </w:pPr>
          </w:p>
        </w:tc>
      </w:tr>
      <w:tr>
        <w:trPr>
          <w:trHeight w:val="107"/>
        </w:trPr>
        <w:tc>
          <w:tcPr>
            <w:tcW w:w="300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refer you to the section titled "Underwriting" beginning on page 169 for additional information regarding total underwriting compensation.</w:t>
      </w:r>
    </w:p>
    <w:p>
      <w:pPr>
        <w:spacing w:after="0" w:line="205" w:lineRule="exact"/>
        <w:rPr>
          <w:sz w:val="24"/>
          <w:szCs w:val="24"/>
          <w:color w:val="auto"/>
        </w:rPr>
      </w:pPr>
    </w:p>
    <w:p>
      <w:pPr>
        <w:ind w:right="880" w:firstLine="338"/>
        <w:spacing w:after="0" w:line="282" w:lineRule="auto"/>
        <w:rPr>
          <w:sz w:val="20"/>
          <w:szCs w:val="20"/>
          <w:color w:val="auto"/>
        </w:rPr>
      </w:pPr>
      <w:r>
        <w:rPr>
          <w:rFonts w:ascii="Arial" w:cs="Arial" w:eastAsia="Arial" w:hAnsi="Arial"/>
          <w:sz w:val="17"/>
          <w:szCs w:val="17"/>
          <w:color w:val="auto"/>
        </w:rPr>
        <w:t>The underwriters may also purchase up to an additional 750,000 shares from us at the initial public offering price, less the underwriting discounts and commissions, within 30 days from the date of this prospectus to cover overallotments.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underwriters expect to deliver the shares against payment in New York, New York on or about November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147955</wp:posOffset>
            </wp:positionV>
            <wp:extent cx="190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356"/>
        </w:trPr>
        <w:tc>
          <w:tcPr>
            <w:tcW w:w="3980" w:type="dxa"/>
            <w:vAlign w:val="bottom"/>
          </w:tcPr>
          <w:p>
            <w:pPr>
              <w:spacing w:after="0"/>
              <w:rPr>
                <w:sz w:val="20"/>
                <w:szCs w:val="20"/>
                <w:color w:val="auto"/>
              </w:rPr>
            </w:pPr>
            <w:r>
              <w:rPr>
                <w:rFonts w:ascii="Arial" w:cs="Arial" w:eastAsia="Arial" w:hAnsi="Arial"/>
                <w:sz w:val="31"/>
                <w:szCs w:val="31"/>
                <w:b w:val="1"/>
                <w:bCs w:val="1"/>
                <w:color w:val="auto"/>
              </w:rPr>
              <w:t>Cowen and Company</w:t>
            </w:r>
          </w:p>
        </w:tc>
        <w:tc>
          <w:tcPr>
            <w:tcW w:w="7440" w:type="dxa"/>
            <w:vAlign w:val="bottom"/>
          </w:tcPr>
          <w:p>
            <w:pPr>
              <w:jc w:val="right"/>
              <w:spacing w:after="0"/>
              <w:rPr>
                <w:sz w:val="20"/>
                <w:szCs w:val="20"/>
                <w:color w:val="auto"/>
              </w:rPr>
            </w:pPr>
            <w:r>
              <w:rPr>
                <w:rFonts w:ascii="Arial" w:cs="Arial" w:eastAsia="Arial" w:hAnsi="Arial"/>
                <w:sz w:val="31"/>
                <w:szCs w:val="31"/>
                <w:b w:val="1"/>
                <w:bCs w:val="1"/>
                <w:color w:val="auto"/>
              </w:rPr>
              <w:t>Piper Jaffray</w:t>
            </w:r>
          </w:p>
        </w:tc>
      </w:tr>
      <w:tr>
        <w:trPr>
          <w:trHeight w:val="410"/>
        </w:trPr>
        <w:tc>
          <w:tcPr>
            <w:tcW w:w="3980" w:type="dxa"/>
            <w:vAlign w:val="bottom"/>
          </w:tcPr>
          <w:p>
            <w:pPr>
              <w:spacing w:after="0"/>
              <w:rPr>
                <w:sz w:val="20"/>
                <w:szCs w:val="20"/>
                <w:color w:val="auto"/>
              </w:rPr>
            </w:pPr>
            <w:r>
              <w:rPr>
                <w:rFonts w:ascii="Arial" w:cs="Arial" w:eastAsia="Arial" w:hAnsi="Arial"/>
                <w:sz w:val="31"/>
                <w:szCs w:val="31"/>
                <w:b w:val="1"/>
                <w:bCs w:val="1"/>
                <w:color w:val="auto"/>
              </w:rPr>
              <w:t>Wedbush PacGrow</w:t>
            </w:r>
          </w:p>
        </w:tc>
        <w:tc>
          <w:tcPr>
            <w:tcW w:w="7440" w:type="dxa"/>
            <w:vAlign w:val="bottom"/>
          </w:tcPr>
          <w:p>
            <w:pPr>
              <w:jc w:val="right"/>
              <w:spacing w:after="0"/>
              <w:rPr>
                <w:sz w:val="20"/>
                <w:szCs w:val="20"/>
                <w:color w:val="auto"/>
              </w:rPr>
            </w:pPr>
            <w:r>
              <w:rPr>
                <w:rFonts w:ascii="Arial" w:cs="Arial" w:eastAsia="Arial" w:hAnsi="Arial"/>
                <w:sz w:val="31"/>
                <w:szCs w:val="31"/>
                <w:b w:val="1"/>
                <w:bCs w:val="1"/>
                <w:color w:val="auto"/>
              </w:rPr>
              <w:t>Nomura</w:t>
            </w:r>
          </w:p>
        </w:tc>
      </w:tr>
      <w:tr>
        <w:trPr>
          <w:trHeight w:val="402"/>
        </w:trPr>
        <w:tc>
          <w:tcPr>
            <w:tcW w:w="3980" w:type="dxa"/>
            <w:vAlign w:val="bottom"/>
          </w:tcPr>
          <w:p>
            <w:pPr>
              <w:spacing w:after="0"/>
              <w:rPr>
                <w:sz w:val="24"/>
                <w:szCs w:val="24"/>
                <w:color w:val="auto"/>
              </w:rPr>
            </w:pPr>
          </w:p>
        </w:tc>
        <w:tc>
          <w:tcPr>
            <w:tcW w:w="7440" w:type="dxa"/>
            <w:vAlign w:val="bottom"/>
          </w:tcPr>
          <w:p>
            <w:pPr>
              <w:jc w:val="right"/>
              <w:ind w:right="4887"/>
              <w:spacing w:after="0"/>
              <w:rPr>
                <w:sz w:val="20"/>
                <w:szCs w:val="20"/>
                <w:color w:val="auto"/>
              </w:rPr>
            </w:pPr>
            <w:r>
              <w:rPr>
                <w:rFonts w:ascii="Arial" w:cs="Arial" w:eastAsia="Arial" w:hAnsi="Arial"/>
                <w:sz w:val="17"/>
                <w:szCs w:val="17"/>
                <w:color w:val="auto"/>
              </w:rPr>
              <w:t>November 10, 2015</w:t>
            </w:r>
          </w:p>
        </w:tc>
      </w:tr>
      <w:tr>
        <w:trPr>
          <w:trHeight w:val="222"/>
        </w:trPr>
        <w:tc>
          <w:tcPr>
            <w:tcW w:w="39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440" w:type="dxa"/>
            <w:vAlign w:val="bottom"/>
            <w:gridSpan w:val="10"/>
            <w:vMerge w:val="restart"/>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Prospectus Summary</w:t>
              </w:r>
            </w:hyperlink>
          </w:p>
        </w:tc>
        <w:tc>
          <w:tcPr>
            <w:tcW w:w="7100" w:type="dxa"/>
            <w:vAlign w:val="bottom"/>
            <w:gridSpan w:val="15"/>
            <w:vMerge w:val="restart"/>
          </w:tcPr>
          <w:p>
            <w:pPr>
              <w:spacing w:after="0"/>
              <w:rPr>
                <w:sz w:val="13"/>
                <w:szCs w:val="13"/>
                <w:color w:val="auto"/>
              </w:rPr>
            </w:pPr>
          </w:p>
        </w:tc>
        <w:tc>
          <w:tcPr>
            <w:tcW w:w="440" w:type="dxa"/>
            <w:vAlign w:val="bottom"/>
            <w:gridSpan w:val="5"/>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440" w:type="dxa"/>
            <w:vAlign w:val="bottom"/>
            <w:gridSpan w:val="10"/>
            <w:vMerge w:val="continue"/>
          </w:tcPr>
          <w:p>
            <w:pPr>
              <w:spacing w:after="0"/>
              <w:rPr>
                <w:sz w:val="14"/>
                <w:szCs w:val="14"/>
                <w:color w:val="auto"/>
              </w:rPr>
            </w:pPr>
          </w:p>
        </w:tc>
        <w:tc>
          <w:tcPr>
            <w:tcW w:w="7100" w:type="dxa"/>
            <w:vAlign w:val="bottom"/>
            <w:gridSpan w:val="15"/>
            <w:vMerge w:val="continue"/>
          </w:tcPr>
          <w:p>
            <w:pPr>
              <w:spacing w:after="0"/>
              <w:rPr>
                <w:sz w:val="14"/>
                <w:szCs w:val="14"/>
                <w:color w:val="auto"/>
              </w:rPr>
            </w:pPr>
          </w:p>
        </w:tc>
        <w:tc>
          <w:tcPr>
            <w:tcW w:w="42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0"/>
          </w:tcPr>
          <w:p>
            <w:pPr>
              <w:spacing w:after="0" w:line="189" w:lineRule="exact"/>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7100" w:type="dxa"/>
            <w:vAlign w:val="bottom"/>
            <w:gridSpan w:val="15"/>
          </w:tcPr>
          <w:p>
            <w:pPr>
              <w:spacing w:after="0"/>
              <w:rPr>
                <w:sz w:val="16"/>
                <w:szCs w:val="16"/>
                <w:color w:val="auto"/>
              </w:rPr>
            </w:pPr>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4">
              <w:r>
                <w:rPr>
                  <w:rFonts w:ascii="Arial" w:cs="Arial" w:eastAsia="Arial" w:hAnsi="Arial"/>
                  <w:sz w:val="17"/>
                  <w:szCs w:val="17"/>
                  <w:color w:val="0000EE"/>
                </w:rPr>
                <w:t>12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62">
              <w:r>
                <w:rPr>
                  <w:rFonts w:ascii="Arial" w:cs="Arial" w:eastAsia="Arial" w:hAnsi="Arial"/>
                  <w:sz w:val="17"/>
                  <w:szCs w:val="17"/>
                  <w:color w:val="0000EE"/>
                </w:rPr>
                <w:t>Special Note Regarding Forward-Looking Statements</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62">
              <w:r>
                <w:rPr>
                  <w:rFonts w:ascii="Arial" w:cs="Arial" w:eastAsia="Arial" w:hAnsi="Arial"/>
                  <w:sz w:val="17"/>
                  <w:szCs w:val="17"/>
                  <w:color w:val="0000EE"/>
                </w:rPr>
                <w:t>60</w:t>
              </w:r>
            </w:hyperlink>
          </w:p>
        </w:tc>
        <w:tc>
          <w:tcPr>
            <w:tcW w:w="0" w:type="dxa"/>
            <w:vAlign w:val="bottom"/>
          </w:tcPr>
          <w:p>
            <w:pPr>
              <w:spacing w:after="0"/>
              <w:rPr>
                <w:sz w:val="1"/>
                <w:szCs w:val="1"/>
                <w:color w:val="auto"/>
              </w:rPr>
            </w:pPr>
          </w:p>
        </w:tc>
      </w:tr>
      <w:tr>
        <w:trPr>
          <w:trHeight w:val="190"/>
        </w:trPr>
        <w:tc>
          <w:tcPr>
            <w:tcW w:w="366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63">
              <w:r>
                <w:rPr>
                  <w:rFonts w:ascii="Arial" w:cs="Arial" w:eastAsia="Arial" w:hAnsi="Arial"/>
                  <w:sz w:val="17"/>
                  <w:szCs w:val="17"/>
                  <w:color w:val="0000EE"/>
                </w:rPr>
                <w:t>Industry and Market Data</w:t>
              </w:r>
            </w:hyperlink>
          </w:p>
        </w:tc>
        <w:tc>
          <w:tcPr>
            <w:tcW w:w="4880" w:type="dxa"/>
            <w:vAlign w:val="bottom"/>
            <w:gridSpan w:val="4"/>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61</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85"/>
              </w:rPr>
            </w:pPr>
            <w:hyperlink w:anchor="page64">
              <w:r>
                <w:rPr>
                  <w:rFonts w:ascii="Arial" w:cs="Arial" w:eastAsia="Arial" w:hAnsi="Arial"/>
                  <w:sz w:val="17"/>
                  <w:szCs w:val="17"/>
                  <w:color w:val="0000EE"/>
                  <w:w w:val="85"/>
                </w:rPr>
                <w:t>Use of Proceeds</w:t>
              </w:r>
            </w:hyperlink>
          </w:p>
        </w:tc>
        <w:tc>
          <w:tcPr>
            <w:tcW w:w="640" w:type="dxa"/>
            <w:vAlign w:val="bottom"/>
            <w:tcBorders>
              <w:top w:val="single" w:sz="8" w:color="0000EE"/>
            </w:tcBorders>
            <w:gridSpan w:val="6"/>
          </w:tcPr>
          <w:p>
            <w:pPr>
              <w:spacing w:after="0"/>
              <w:rPr>
                <w:sz w:val="16"/>
                <w:szCs w:val="16"/>
                <w:color w:val="auto"/>
              </w:rPr>
            </w:pPr>
          </w:p>
        </w:tc>
        <w:tc>
          <w:tcPr>
            <w:tcW w:w="6800" w:type="dxa"/>
            <w:vAlign w:val="bottom"/>
            <w:gridSpan w:val="10"/>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64">
              <w:r>
                <w:rPr>
                  <w:rFonts w:ascii="Arial" w:cs="Arial" w:eastAsia="Arial" w:hAnsi="Arial"/>
                  <w:sz w:val="17"/>
                  <w:szCs w:val="17"/>
                  <w:color w:val="0000EE"/>
                  <w:w w:val="84"/>
                </w:rPr>
                <w:t>62</w:t>
              </w:r>
            </w:hyperlink>
          </w:p>
        </w:tc>
        <w:tc>
          <w:tcPr>
            <w:tcW w:w="0" w:type="dxa"/>
            <w:vAlign w:val="bottom"/>
          </w:tcPr>
          <w:p>
            <w:pPr>
              <w:spacing w:after="0"/>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65">
              <w:r>
                <w:rPr>
                  <w:rFonts w:ascii="Arial" w:cs="Arial" w:eastAsia="Arial" w:hAnsi="Arial"/>
                  <w:sz w:val="17"/>
                  <w:szCs w:val="17"/>
                  <w:color w:val="0000EE"/>
                </w:rPr>
                <w:t>Dividend Policy</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65">
              <w:r>
                <w:rPr>
                  <w:rFonts w:ascii="Arial" w:cs="Arial" w:eastAsia="Arial" w:hAnsi="Arial"/>
                  <w:sz w:val="17"/>
                  <w:szCs w:val="17"/>
                  <w:color w:val="0000EE"/>
                </w:rPr>
                <w:t>63</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66">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440" w:type="dxa"/>
            <w:vAlign w:val="bottom"/>
            <w:gridSpan w:val="16"/>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66">
              <w:r>
                <w:rPr>
                  <w:rFonts w:ascii="Arial" w:cs="Arial" w:eastAsia="Arial" w:hAnsi="Arial"/>
                  <w:sz w:val="17"/>
                  <w:szCs w:val="17"/>
                  <w:color w:val="0000EE"/>
                  <w:w w:val="84"/>
                </w:rPr>
                <w:t>64</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68">
              <w:r>
                <w:rPr>
                  <w:rFonts w:ascii="Arial" w:cs="Arial" w:eastAsia="Arial" w:hAnsi="Arial"/>
                  <w:sz w:val="17"/>
                  <w:szCs w:val="17"/>
                  <w:color w:val="0000EE"/>
                  <w:w w:val="95"/>
                </w:rPr>
                <w:t>Dilution</w:t>
              </w:r>
            </w:hyperlink>
          </w:p>
        </w:tc>
        <w:tc>
          <w:tcPr>
            <w:tcW w:w="7980" w:type="dxa"/>
            <w:vAlign w:val="bottom"/>
            <w:gridSpan w:val="23"/>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68">
              <w:r>
                <w:rPr>
                  <w:rFonts w:ascii="Arial" w:cs="Arial" w:eastAsia="Arial" w:hAnsi="Arial"/>
                  <w:sz w:val="17"/>
                  <w:szCs w:val="17"/>
                  <w:color w:val="0000EE"/>
                  <w:w w:val="84"/>
                </w:rPr>
                <w:t>66</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3"/>
          </w:tcPr>
          <w:p>
            <w:pPr>
              <w:spacing w:after="0" w:line="189" w:lineRule="exact"/>
              <w:rPr>
                <w:rFonts w:ascii="Arial" w:cs="Arial" w:eastAsia="Arial" w:hAnsi="Arial"/>
                <w:sz w:val="17"/>
                <w:szCs w:val="17"/>
                <w:color w:val="0000EE"/>
                <w:w w:val="89"/>
              </w:rPr>
            </w:pPr>
            <w:hyperlink w:anchor="page70">
              <w:r>
                <w:rPr>
                  <w:rFonts w:ascii="Arial" w:cs="Arial" w:eastAsia="Arial" w:hAnsi="Arial"/>
                  <w:sz w:val="17"/>
                  <w:szCs w:val="17"/>
                  <w:color w:val="0000EE"/>
                  <w:w w:val="89"/>
                </w:rPr>
                <w:t>Selected Financial Data</w:t>
              </w:r>
            </w:hyperlink>
          </w:p>
        </w:tc>
        <w:tc>
          <w:tcPr>
            <w:tcW w:w="6920" w:type="dxa"/>
            <w:vAlign w:val="bottom"/>
            <w:gridSpan w:val="12"/>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70">
              <w:r>
                <w:rPr>
                  <w:rFonts w:ascii="Arial" w:cs="Arial" w:eastAsia="Arial" w:hAnsi="Arial"/>
                  <w:sz w:val="17"/>
                  <w:szCs w:val="17"/>
                  <w:color w:val="0000EE"/>
                  <w:w w:val="84"/>
                </w:rPr>
                <w:t>68</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4"/>
          </w:tcPr>
          <w:p>
            <w:pPr>
              <w:spacing w:after="0" w:line="189" w:lineRule="exact"/>
              <w:rPr>
                <w:rFonts w:ascii="Arial" w:cs="Arial" w:eastAsia="Arial" w:hAnsi="Arial"/>
                <w:sz w:val="17"/>
                <w:szCs w:val="17"/>
                <w:color w:val="0000EE"/>
                <w:w w:val="90"/>
              </w:rPr>
            </w:pPr>
            <w:hyperlink w:anchor="page72">
              <w:r>
                <w:rPr>
                  <w:rFonts w:ascii="Arial" w:cs="Arial" w:eastAsia="Arial" w:hAnsi="Arial"/>
                  <w:sz w:val="17"/>
                  <w:szCs w:val="17"/>
                  <w:color w:val="0000EE"/>
                  <w:w w:val="90"/>
                </w:rPr>
                <w:t>Management's Discussion and Analysis of Financial Condition and Results of Operations</w:t>
              </w:r>
            </w:hyperlink>
          </w:p>
        </w:tc>
        <w:tc>
          <w:tcPr>
            <w:tcW w:w="244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72">
              <w:r>
                <w:rPr>
                  <w:rFonts w:ascii="Arial" w:cs="Arial" w:eastAsia="Arial" w:hAnsi="Arial"/>
                  <w:sz w:val="17"/>
                  <w:szCs w:val="17"/>
                  <w:color w:val="0000EE"/>
                  <w:w w:val="84"/>
                </w:rPr>
                <w:t>70</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91">
              <w:r>
                <w:rPr>
                  <w:rFonts w:ascii="Arial" w:cs="Arial" w:eastAsia="Arial" w:hAnsi="Arial"/>
                  <w:sz w:val="17"/>
                  <w:szCs w:val="17"/>
                  <w:color w:val="0000EE"/>
                  <w:w w:val="84"/>
                </w:rPr>
                <w:t>Business</w:t>
              </w:r>
            </w:hyperlink>
          </w:p>
        </w:tc>
        <w:tc>
          <w:tcPr>
            <w:tcW w:w="7940" w:type="dxa"/>
            <w:vAlign w:val="bottom"/>
            <w:gridSpan w:val="22"/>
          </w:tcPr>
          <w:p>
            <w:pPr>
              <w:spacing w:after="0"/>
              <w:rPr>
                <w:sz w:val="16"/>
                <w:szCs w:val="16"/>
                <w:color w:val="auto"/>
              </w:rPr>
            </w:pPr>
          </w:p>
        </w:tc>
        <w:tc>
          <w:tcPr>
            <w:tcW w:w="24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91">
              <w:r>
                <w:rPr>
                  <w:rFonts w:ascii="Arial" w:cs="Arial" w:eastAsia="Arial" w:hAnsi="Arial"/>
                  <w:sz w:val="17"/>
                  <w:szCs w:val="17"/>
                  <w:color w:val="0000EE"/>
                  <w:w w:val="84"/>
                </w:rPr>
                <w:t>89</w:t>
              </w:r>
            </w:hyperlink>
          </w:p>
        </w:tc>
        <w:tc>
          <w:tcPr>
            <w:tcW w:w="0" w:type="dxa"/>
            <w:vAlign w:val="bottom"/>
          </w:tcPr>
          <w:p>
            <w:pPr>
              <w:spacing w:after="0"/>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Management</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134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Executive Compensation</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144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Certain Relationships and Related Party Transactions</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152</w:t>
              </w:r>
            </w:hyperlink>
          </w:p>
        </w:tc>
        <w:tc>
          <w:tcPr>
            <w:tcW w:w="0" w:type="dxa"/>
            <w:vAlign w:val="bottom"/>
          </w:tcPr>
          <w:p>
            <w:pPr>
              <w:spacing w:after="0"/>
              <w:rPr>
                <w:sz w:val="1"/>
                <w:szCs w:val="1"/>
                <w:color w:val="auto"/>
              </w:rPr>
            </w:pPr>
          </w:p>
        </w:tc>
      </w:tr>
      <w:tr>
        <w:trPr>
          <w:trHeight w:val="190"/>
        </w:trPr>
        <w:tc>
          <w:tcPr>
            <w:tcW w:w="154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57">
              <w:r>
                <w:rPr>
                  <w:rFonts w:ascii="Arial" w:cs="Arial" w:eastAsia="Arial" w:hAnsi="Arial"/>
                  <w:sz w:val="17"/>
                  <w:szCs w:val="17"/>
                  <w:color w:val="0000EE"/>
                  <w:w w:val="90"/>
                </w:rPr>
                <w:t>Principal Stockholders</w:t>
              </w:r>
            </w:hyperlink>
          </w:p>
        </w:tc>
        <w:tc>
          <w:tcPr>
            <w:tcW w:w="2080" w:type="dxa"/>
            <w:vAlign w:val="bottom"/>
            <w:tcBorders>
              <w:top w:val="single" w:sz="8" w:color="0000EE"/>
            </w:tcBorders>
            <w:gridSpan w:val="9"/>
          </w:tcPr>
          <w:p>
            <w:pPr>
              <w:spacing w:after="0"/>
              <w:rPr>
                <w:sz w:val="16"/>
                <w:szCs w:val="16"/>
                <w:color w:val="auto"/>
              </w:rPr>
            </w:pPr>
          </w:p>
        </w:tc>
        <w:tc>
          <w:tcPr>
            <w:tcW w:w="4920" w:type="dxa"/>
            <w:vAlign w:val="bottom"/>
            <w:gridSpan w:val="5"/>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57">
              <w:r>
                <w:rPr>
                  <w:rFonts w:ascii="Arial" w:cs="Arial" w:eastAsia="Arial" w:hAnsi="Arial"/>
                  <w:sz w:val="17"/>
                  <w:szCs w:val="17"/>
                  <w:color w:val="0000EE"/>
                  <w:w w:val="77"/>
                </w:rPr>
                <w:t>155</w:t>
              </w:r>
            </w:hyperlink>
          </w:p>
        </w:tc>
        <w:tc>
          <w:tcPr>
            <w:tcW w:w="0" w:type="dxa"/>
            <w:vAlign w:val="bottom"/>
          </w:tcPr>
          <w:p>
            <w:pPr>
              <w:spacing w:after="0"/>
              <w:rPr>
                <w:sz w:val="1"/>
                <w:szCs w:val="1"/>
                <w:color w:val="auto"/>
              </w:rPr>
            </w:pPr>
          </w:p>
        </w:tc>
      </w:tr>
      <w:tr>
        <w:trPr>
          <w:trHeight w:val="190"/>
        </w:trPr>
        <w:tc>
          <w:tcPr>
            <w:tcW w:w="1940" w:type="dxa"/>
            <w:vAlign w:val="bottom"/>
            <w:tcBorders>
              <w:bottom w:val="single" w:sz="8" w:color="0000EE"/>
            </w:tcBorders>
            <w:gridSpan w:val="16"/>
          </w:tcPr>
          <w:p>
            <w:pPr>
              <w:spacing w:after="0" w:line="189" w:lineRule="exact"/>
              <w:rPr>
                <w:rFonts w:ascii="Arial" w:cs="Arial" w:eastAsia="Arial" w:hAnsi="Arial"/>
                <w:sz w:val="17"/>
                <w:szCs w:val="17"/>
                <w:color w:val="0000EE"/>
                <w:w w:val="91"/>
              </w:rPr>
            </w:pPr>
            <w:hyperlink w:anchor="page159">
              <w:r>
                <w:rPr>
                  <w:rFonts w:ascii="Arial" w:cs="Arial" w:eastAsia="Arial" w:hAnsi="Arial"/>
                  <w:sz w:val="17"/>
                  <w:szCs w:val="17"/>
                  <w:color w:val="0000EE"/>
                  <w:w w:val="91"/>
                </w:rPr>
                <w:t>Description of Capital Stock</w:t>
              </w:r>
            </w:hyperlink>
          </w:p>
        </w:tc>
        <w:tc>
          <w:tcPr>
            <w:tcW w:w="6600" w:type="dxa"/>
            <w:vAlign w:val="bottom"/>
            <w:gridSpan w:val="9"/>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59">
              <w:r>
                <w:rPr>
                  <w:rFonts w:ascii="Arial" w:cs="Arial" w:eastAsia="Arial" w:hAnsi="Arial"/>
                  <w:sz w:val="17"/>
                  <w:szCs w:val="17"/>
                  <w:color w:val="0000EE"/>
                  <w:w w:val="77"/>
                </w:rPr>
                <w:t>157</w:t>
              </w:r>
            </w:hyperlink>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gridSpan w:val="18"/>
          </w:tcPr>
          <w:p>
            <w:pPr>
              <w:spacing w:after="0" w:line="189" w:lineRule="exact"/>
              <w:rPr>
                <w:rFonts w:ascii="Arial" w:cs="Arial" w:eastAsia="Arial" w:hAnsi="Arial"/>
                <w:sz w:val="17"/>
                <w:szCs w:val="17"/>
                <w:color w:val="0000EE"/>
                <w:w w:val="90"/>
              </w:rPr>
            </w:pPr>
            <w:hyperlink w:anchor="page164">
              <w:r>
                <w:rPr>
                  <w:rFonts w:ascii="Arial" w:cs="Arial" w:eastAsia="Arial" w:hAnsi="Arial"/>
                  <w:sz w:val="17"/>
                  <w:szCs w:val="17"/>
                  <w:color w:val="0000EE"/>
                  <w:w w:val="90"/>
                </w:rPr>
                <w:t>Shares Eligible for Future Sale</w:t>
              </w:r>
            </w:hyperlink>
          </w:p>
        </w:tc>
        <w:tc>
          <w:tcPr>
            <w:tcW w:w="6440" w:type="dxa"/>
            <w:vAlign w:val="bottom"/>
            <w:gridSpan w:val="7"/>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64">
              <w:r>
                <w:rPr>
                  <w:rFonts w:ascii="Arial" w:cs="Arial" w:eastAsia="Arial" w:hAnsi="Arial"/>
                  <w:sz w:val="17"/>
                  <w:szCs w:val="17"/>
                  <w:color w:val="0000EE"/>
                  <w:w w:val="77"/>
                </w:rPr>
                <w:t>162</w:t>
              </w:r>
            </w:hyperlink>
          </w:p>
        </w:tc>
        <w:tc>
          <w:tcPr>
            <w:tcW w:w="0" w:type="dxa"/>
            <w:vAlign w:val="bottom"/>
          </w:tcPr>
          <w:p>
            <w:pPr>
              <w:spacing w:after="0"/>
              <w:rPr>
                <w:sz w:val="1"/>
                <w:szCs w:val="1"/>
                <w:color w:val="auto"/>
              </w:rPr>
            </w:pPr>
          </w:p>
        </w:tc>
      </w:tr>
      <w:tr>
        <w:trPr>
          <w:trHeight w:val="190"/>
        </w:trPr>
        <w:tc>
          <w:tcPr>
            <w:tcW w:w="3880" w:type="dxa"/>
            <w:vAlign w:val="bottom"/>
            <w:tcBorders>
              <w:bottom w:val="single" w:sz="8" w:color="0000EE"/>
            </w:tcBorders>
            <w:gridSpan w:val="22"/>
          </w:tcPr>
          <w:p>
            <w:pPr>
              <w:spacing w:after="0" w:line="189" w:lineRule="exact"/>
              <w:rPr>
                <w:rFonts w:ascii="Arial" w:cs="Arial" w:eastAsia="Arial" w:hAnsi="Arial"/>
                <w:sz w:val="17"/>
                <w:szCs w:val="17"/>
                <w:color w:val="0000EE"/>
                <w:w w:val="89"/>
              </w:rPr>
            </w:pPr>
            <w:hyperlink w:anchor="page167">
              <w:r>
                <w:rPr>
                  <w:rFonts w:ascii="Arial" w:cs="Arial" w:eastAsia="Arial" w:hAnsi="Arial"/>
                  <w:sz w:val="17"/>
                  <w:szCs w:val="17"/>
                  <w:color w:val="0000EE"/>
                  <w:w w:val="89"/>
                </w:rPr>
                <w:t>Certain Material U.S. Federal Income Tax Consequences</w:t>
              </w:r>
            </w:hyperlink>
          </w:p>
        </w:tc>
        <w:tc>
          <w:tcPr>
            <w:tcW w:w="466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67">
              <w:r>
                <w:rPr>
                  <w:rFonts w:ascii="Arial" w:cs="Arial" w:eastAsia="Arial" w:hAnsi="Arial"/>
                  <w:sz w:val="17"/>
                  <w:szCs w:val="17"/>
                  <w:color w:val="0000EE"/>
                  <w:w w:val="77"/>
                </w:rPr>
                <w:t>165</w:t>
              </w:r>
            </w:hyperlink>
          </w:p>
        </w:tc>
        <w:tc>
          <w:tcPr>
            <w:tcW w:w="0" w:type="dxa"/>
            <w:vAlign w:val="bottom"/>
          </w:tcPr>
          <w:p>
            <w:pPr>
              <w:spacing w:after="0"/>
              <w:rPr>
                <w:sz w:val="1"/>
                <w:szCs w:val="1"/>
                <w:color w:val="auto"/>
              </w:rPr>
            </w:pPr>
          </w:p>
        </w:tc>
      </w:tr>
      <w:tr>
        <w:trPr>
          <w:trHeight w:val="190"/>
        </w:trPr>
        <w:tc>
          <w:tcPr>
            <w:tcW w:w="920" w:type="dxa"/>
            <w:vAlign w:val="bottom"/>
            <w:tcBorders>
              <w:bottom w:val="single" w:sz="8" w:color="0000EE"/>
            </w:tcBorders>
            <w:gridSpan w:val="6"/>
          </w:tcPr>
          <w:p>
            <w:pPr>
              <w:spacing w:after="0" w:line="189" w:lineRule="exact"/>
              <w:rPr>
                <w:rFonts w:ascii="Arial" w:cs="Arial" w:eastAsia="Arial" w:hAnsi="Arial"/>
                <w:sz w:val="17"/>
                <w:szCs w:val="17"/>
                <w:color w:val="0000EE"/>
                <w:w w:val="94"/>
              </w:rPr>
            </w:pPr>
            <w:hyperlink w:anchor="page171">
              <w:r>
                <w:rPr>
                  <w:rFonts w:ascii="Arial" w:cs="Arial" w:eastAsia="Arial" w:hAnsi="Arial"/>
                  <w:sz w:val="17"/>
                  <w:szCs w:val="17"/>
                  <w:color w:val="0000EE"/>
                  <w:w w:val="94"/>
                </w:rPr>
                <w:t>Underwriting</w:t>
              </w:r>
            </w:hyperlink>
          </w:p>
        </w:tc>
        <w:tc>
          <w:tcPr>
            <w:tcW w:w="7620" w:type="dxa"/>
            <w:vAlign w:val="bottom"/>
            <w:gridSpan w:val="19"/>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71">
              <w:r>
                <w:rPr>
                  <w:rFonts w:ascii="Arial" w:cs="Arial" w:eastAsia="Arial" w:hAnsi="Arial"/>
                  <w:sz w:val="17"/>
                  <w:szCs w:val="17"/>
                  <w:color w:val="0000EE"/>
                  <w:w w:val="77"/>
                </w:rPr>
                <w:t>169</w:t>
              </w:r>
            </w:hyperlink>
          </w:p>
        </w:tc>
        <w:tc>
          <w:tcPr>
            <w:tcW w:w="0" w:type="dxa"/>
            <w:vAlign w:val="bottom"/>
          </w:tcPr>
          <w:p>
            <w:pPr>
              <w:spacing w:after="0"/>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Legal Matters</w:t>
              </w:r>
            </w:hyperlink>
          </w:p>
        </w:tc>
        <w:tc>
          <w:tcPr>
            <w:tcW w:w="440" w:type="dxa"/>
            <w:vAlign w:val="bottom"/>
            <w:gridSpan w:val="5"/>
          </w:tcPr>
          <w:p>
            <w:pPr>
              <w:jc w:val="right"/>
              <w:ind w:right="20"/>
              <w:spacing w:after="0" w:line="189" w:lineRule="exact"/>
              <w:rPr>
                <w:rFonts w:ascii="Arial" w:cs="Arial" w:eastAsia="Arial" w:hAnsi="Arial"/>
                <w:sz w:val="17"/>
                <w:szCs w:val="17"/>
                <w:color w:val="0000EE"/>
              </w:rPr>
            </w:pPr>
            <w:hyperlink w:anchor="page178">
              <w:r>
                <w:rPr>
                  <w:rFonts w:ascii="Arial" w:cs="Arial" w:eastAsia="Arial" w:hAnsi="Arial"/>
                  <w:sz w:val="17"/>
                  <w:szCs w:val="17"/>
                  <w:color w:val="0000EE"/>
                </w:rPr>
                <w:t>176</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600" w:type="dxa"/>
            <w:vAlign w:val="bottom"/>
            <w:gridSpan w:val="18"/>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78">
              <w:r>
                <w:rPr>
                  <w:rFonts w:ascii="Arial" w:cs="Arial" w:eastAsia="Arial" w:hAnsi="Arial"/>
                  <w:sz w:val="17"/>
                  <w:szCs w:val="17"/>
                  <w:color w:val="0000EE"/>
                  <w:w w:val="77"/>
                </w:rPr>
                <w:t>176</w:t>
              </w:r>
            </w:hyperlink>
          </w:p>
        </w:tc>
        <w:tc>
          <w:tcPr>
            <w:tcW w:w="0" w:type="dxa"/>
            <w:vAlign w:val="bottom"/>
          </w:tcPr>
          <w:p>
            <w:pPr>
              <w:spacing w:after="0"/>
              <w:rPr>
                <w:sz w:val="1"/>
                <w:szCs w:val="1"/>
                <w:color w:val="auto"/>
              </w:rPr>
            </w:pPr>
          </w:p>
        </w:tc>
      </w:tr>
      <w:tr>
        <w:trPr>
          <w:trHeight w:val="190"/>
        </w:trPr>
        <w:tc>
          <w:tcPr>
            <w:tcW w:w="1580" w:type="dxa"/>
            <w:vAlign w:val="bottom"/>
            <w:tcBorders>
              <w:bottom w:val="single" w:sz="8" w:color="0000EE"/>
            </w:tcBorders>
            <w:gridSpan w:val="12"/>
          </w:tcPr>
          <w:p>
            <w:pPr>
              <w:spacing w:after="0" w:line="189" w:lineRule="exact"/>
              <w:rPr>
                <w:rFonts w:ascii="Arial" w:cs="Arial" w:eastAsia="Arial" w:hAnsi="Arial"/>
                <w:sz w:val="17"/>
                <w:szCs w:val="17"/>
                <w:color w:val="0000EE"/>
                <w:w w:val="94"/>
              </w:rPr>
            </w:pPr>
            <w:hyperlink w:anchor="page178">
              <w:r>
                <w:rPr>
                  <w:rFonts w:ascii="Arial" w:cs="Arial" w:eastAsia="Arial" w:hAnsi="Arial"/>
                  <w:sz w:val="17"/>
                  <w:szCs w:val="17"/>
                  <w:color w:val="0000EE"/>
                  <w:w w:val="94"/>
                </w:rPr>
                <w:t>Additional Information</w:t>
              </w:r>
            </w:hyperlink>
          </w:p>
        </w:tc>
        <w:tc>
          <w:tcPr>
            <w:tcW w:w="6960" w:type="dxa"/>
            <w:vAlign w:val="bottom"/>
            <w:gridSpan w:val="13"/>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78">
              <w:r>
                <w:rPr>
                  <w:rFonts w:ascii="Arial" w:cs="Arial" w:eastAsia="Arial" w:hAnsi="Arial"/>
                  <w:sz w:val="17"/>
                  <w:szCs w:val="17"/>
                  <w:color w:val="0000EE"/>
                  <w:w w:val="77"/>
                </w:rPr>
                <w:t>176</w:t>
              </w:r>
            </w:hyperlink>
          </w:p>
        </w:tc>
        <w:tc>
          <w:tcPr>
            <w:tcW w:w="0" w:type="dxa"/>
            <w:vAlign w:val="bottom"/>
          </w:tcPr>
          <w:p>
            <w:pPr>
              <w:spacing w:after="0"/>
              <w:rPr>
                <w:sz w:val="1"/>
                <w:szCs w:val="1"/>
                <w:color w:val="auto"/>
              </w:rPr>
            </w:pPr>
          </w:p>
        </w:tc>
      </w:tr>
      <w:tr>
        <w:trPr>
          <w:trHeight w:val="190"/>
        </w:trPr>
        <w:tc>
          <w:tcPr>
            <w:tcW w:w="8540" w:type="dxa"/>
            <w:vAlign w:val="bottom"/>
            <w:gridSpan w:val="25"/>
          </w:tcPr>
          <w:p>
            <w:pPr>
              <w:spacing w:after="0" w:line="189" w:lineRule="exact"/>
              <w:rPr>
                <w:rFonts w:ascii="Arial" w:cs="Arial" w:eastAsia="Arial" w:hAnsi="Arial"/>
                <w:sz w:val="17"/>
                <w:szCs w:val="17"/>
                <w:color w:val="0000EE"/>
              </w:rPr>
            </w:pPr>
            <w:hyperlink w:anchor="page179">
              <w:r>
                <w:rPr>
                  <w:rFonts w:ascii="Arial" w:cs="Arial" w:eastAsia="Arial" w:hAnsi="Arial"/>
                  <w:sz w:val="17"/>
                  <w:szCs w:val="17"/>
                  <w:color w:val="0000EE"/>
                </w:rPr>
                <w:t>Index to Financial Statements</w:t>
              </w:r>
            </w:hyperlink>
          </w:p>
        </w:tc>
        <w:tc>
          <w:tcPr>
            <w:tcW w:w="180" w:type="dxa"/>
            <w:vAlign w:val="bottom"/>
          </w:tcPr>
          <w:p>
            <w:pPr>
              <w:spacing w:after="0"/>
              <w:rPr>
                <w:sz w:val="16"/>
                <w:szCs w:val="16"/>
                <w:color w:val="auto"/>
              </w:rPr>
            </w:pPr>
          </w:p>
        </w:tc>
        <w:tc>
          <w:tcPr>
            <w:tcW w:w="260" w:type="dxa"/>
            <w:vAlign w:val="bottom"/>
            <w:gridSpan w:val="4"/>
          </w:tcPr>
          <w:p>
            <w:pPr>
              <w:spacing w:after="0" w:line="189" w:lineRule="exact"/>
              <w:rPr>
                <w:rFonts w:ascii="Arial" w:cs="Arial" w:eastAsia="Arial" w:hAnsi="Arial"/>
                <w:sz w:val="17"/>
                <w:szCs w:val="17"/>
                <w:color w:val="0000EE"/>
                <w:w w:val="93"/>
              </w:rPr>
            </w:pPr>
            <w:hyperlink w:anchor="page179">
              <w:r>
                <w:rPr>
                  <w:rFonts w:ascii="Arial" w:cs="Arial" w:eastAsia="Arial" w:hAnsi="Arial"/>
                  <w:sz w:val="17"/>
                  <w:szCs w:val="17"/>
                  <w:color w:val="0000EE"/>
                  <w:w w:val="93"/>
                </w:rPr>
                <w:t>F-1</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firstLine="335"/>
        <w:spacing w:after="0" w:line="279" w:lineRule="auto"/>
        <w:rPr>
          <w:sz w:val="20"/>
          <w:szCs w:val="20"/>
          <w:color w:val="auto"/>
        </w:rPr>
      </w:pPr>
      <w:r>
        <w:rPr>
          <w:rFonts w:ascii="Arial" w:cs="Arial" w:eastAsia="Arial" w:hAnsi="Arial"/>
          <w:sz w:val="16"/>
          <w:szCs w:val="16"/>
          <w:color w:val="auto"/>
        </w:rPr>
        <w:t>You should rely only on the information contained in this prospectus or in any free writing prospectus prepared by us or on our behalf.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jurisdictions where the offer and sale is not permitted. You should assume that the information appearing in this prospectus is accurate only as of the date on the front cover of this prospectus. Our business, financial condition, results of operations and prospects may have changed since such date. Information contained on our website is not a part of this prospectus.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5506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4565" cy="550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consider, among other things, our financial statements and the related notes and the sections titled "Risk Factors" and "Management's Discussion and Analysis of Financial Condition and Results of Operations" included elsewhere in this prospectus. Unless otherwise stated, all references to "us," "our," "Voyager," "Voyager Therapeutics," "we," the "Company" and similar designations refer to Voyager Therapeutics, Inc.</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left="240" w:right="40" w:firstLine="338"/>
        <w:spacing w:after="0" w:line="299" w:lineRule="auto"/>
        <w:rPr>
          <w:sz w:val="20"/>
          <w:szCs w:val="20"/>
          <w:color w:val="auto"/>
        </w:rPr>
      </w:pPr>
      <w:r>
        <w:rPr>
          <w:rFonts w:ascii="Arial" w:cs="Arial" w:eastAsia="Arial" w:hAnsi="Arial"/>
          <w:sz w:val="15"/>
          <w:szCs w:val="15"/>
          <w:color w:val="auto"/>
        </w:rPr>
        <w:t>We are a clinical-stage gene therapy company focused on developing life-changing treatments for patients suffering from severe diseases of the central nervous system, or CNS. We focus on CNS diseases where we believe that an adeno-associated virus, or AAV, gene therapy approach that either increases or decreases the production of a specific protein can slow or reduce the symptoms experienced by patients, and therefore have a clinically meaningful impact. We have created a product engine that enables us to engineer, optimize, manufacture and deliver our AAV-based gene therapies that have the potential to provide durable efficacy following a single administration directly to the CNS. Our product engine has rapidly generated programs for five CNS indications, including advanced Parkinson's disease; a monogenic form of amyotrophic lateral sclerosis, or a form of the disease caused by a single gene mutation; Friedreich's ataxia; Huntington's disease; and spinal muscular atrophy. Our most advanced clinical candidate, VY-AADC01, is being evaluated for the treatment of advanced Parkinson's disease in an open-label, Phase 1b clinical trial with the goal of generating human proof-of-concept data in the second half of 2016. Our founders and members of our management team have extensive experience in drug discovery and development and have pioneered significant advances within the fields of AAV gene therapy and neuroscience.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AAV Gene Therapy for Severe CNS Diseases</w:t>
      </w:r>
    </w:p>
    <w:p>
      <w:pPr>
        <w:spacing w:after="0" w:line="228" w:lineRule="exact"/>
        <w:rPr>
          <w:sz w:val="20"/>
          <w:szCs w:val="20"/>
          <w:color w:val="auto"/>
        </w:rPr>
      </w:pPr>
    </w:p>
    <w:p>
      <w:pPr>
        <w:ind w:left="240" w:right="100" w:firstLine="341"/>
        <w:spacing w:after="0" w:line="262" w:lineRule="auto"/>
        <w:rPr>
          <w:sz w:val="20"/>
          <w:szCs w:val="20"/>
          <w:color w:val="auto"/>
        </w:rPr>
      </w:pPr>
      <w:r>
        <w:rPr>
          <w:rFonts w:ascii="Arial" w:cs="Arial" w:eastAsia="Arial" w:hAnsi="Arial"/>
          <w:sz w:val="17"/>
          <w:szCs w:val="17"/>
          <w:color w:val="auto"/>
        </w:rPr>
        <w:t>Gene therapy is an approach whereby gene expression is directly altered in patients to address the underlying cause or predominant manifestations of disease. CNS diseases are a leading driver of global disease burden and represent the single largest biopharmaceutical market with estimated worldwide annual sales of over $125 billion in 2013, with the five severe CNS indications that we are currently targeting representing only a portion of this market. Due to the limited treatment options available for many CNS diseases, there remains significant unmet medical need and an opportunity for AAV gene therapy to transform the lives of many patients with CNS diseases. We believe that the targeted nature of gene therapy will enable powerful treatment options and provide patients with meaningful and durable benefits.</w:t>
      </w:r>
    </w:p>
    <w:p>
      <w:pPr>
        <w:spacing w:after="0" w:line="188" w:lineRule="exact"/>
        <w:rPr>
          <w:sz w:val="20"/>
          <w:szCs w:val="20"/>
          <w:color w:val="auto"/>
        </w:rPr>
      </w:pPr>
    </w:p>
    <w:p>
      <w:pPr>
        <w:ind w:left="240" w:firstLine="341"/>
        <w:spacing w:after="0" w:line="301" w:lineRule="auto"/>
        <w:rPr>
          <w:sz w:val="20"/>
          <w:szCs w:val="20"/>
          <w:color w:val="auto"/>
        </w:rPr>
      </w:pPr>
      <w:r>
        <w:rPr>
          <w:rFonts w:ascii="Arial" w:cs="Arial" w:eastAsia="Arial" w:hAnsi="Arial"/>
          <w:sz w:val="15"/>
          <w:szCs w:val="15"/>
          <w:color w:val="auto"/>
        </w:rPr>
        <w:t>Our gene therapy approach uses AAV vectors, which are modified, non-replicating versions of AAV, and which we believe are ideal vectors for CNS gene therapy. AAV is able to transfer a therapeutic gene, or transgene, into target cells in the CNS and is believed to be safe, as no AAV vector-related serious adverse events, or SAEs, have been reported in the more than 1,300 patients that we estimate have been treated with AAV gene therapy to date, including 200 patients treated for CNS indications. AAV vectors do not readily integrate into the genome of the target cell, thereby reducing the potential for oncogenesis, or the induction of cance While AAV gene therapy can potentially be harnessed for multiple treatment methods, we are currently focused on gene replacement and gene knockdown approache Gene replacement is intended to restore the expression of a protein that is either not expressed, expressed at abnormally low levels or functionally mutated with loss o function. Gene knockdown is intended to reduce the expression of a pathologically mutated protein that has detrimental effects.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06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550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firstLine="338"/>
        <w:spacing w:after="0" w:line="287" w:lineRule="auto"/>
        <w:rPr>
          <w:sz w:val="20"/>
          <w:szCs w:val="20"/>
          <w:color w:val="auto"/>
        </w:rPr>
      </w:pPr>
      <w:r>
        <w:rPr>
          <w:rFonts w:ascii="Arial" w:cs="Arial" w:eastAsia="Arial" w:hAnsi="Arial"/>
          <w:sz w:val="16"/>
          <w:szCs w:val="16"/>
          <w:color w:val="auto"/>
        </w:rPr>
        <w:t>There are several reasons why we believe that CNS diseases are well-suited for AAV gene therapy. Many CNS diseases are caused by well-defined mutations in genes and these genes represent genetically validated drug targets for AAV gene therapy. Advances in delivery techniques allow for local delivery of AAV vectors to discrete regions of the brain or broader delivery to cells within and surrounding the spinal cord via the cerebrospinal fluid, or CSF. Long-term gene expression may b achievable as cells in the CNS no longer divide, eliminating the potential for cell division to dilute expression of the therapeutic gene.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Voyager Product Engine</w:t>
      </w:r>
    </w:p>
    <w:p>
      <w:pPr>
        <w:spacing w:after="0" w:line="228" w:lineRule="exact"/>
        <w:rPr>
          <w:sz w:val="20"/>
          <w:szCs w:val="20"/>
          <w:color w:val="auto"/>
        </w:rPr>
      </w:pPr>
    </w:p>
    <w:p>
      <w:pPr>
        <w:ind w:left="240" w:firstLine="338"/>
        <w:spacing w:after="0" w:line="263" w:lineRule="auto"/>
        <w:rPr>
          <w:sz w:val="20"/>
          <w:szCs w:val="20"/>
          <w:color w:val="auto"/>
        </w:rPr>
      </w:pPr>
      <w:r>
        <w:rPr>
          <w:rFonts w:ascii="Arial" w:cs="Arial" w:eastAsia="Arial" w:hAnsi="Arial"/>
          <w:sz w:val="17"/>
          <w:szCs w:val="17"/>
          <w:color w:val="auto"/>
        </w:rPr>
        <w:t>We have built a product engine that we believe positions us to be the leading company at the intersection of AAV gene therapy and severe CNS diseases. Our team of experts in the fields of AAV gene therapy and neuroscience first identifies and selects severe CNS diseases that are well-suited for treatment using AAV gene therapy. We then assess potential programs based upon unmet medical need, evidence that a specific gene is critical to the disease state, the ability to achieve sufficie target gene expression through delivery using an AAV vector, the availability of clinical endpoints with clear and timely readouts and the ability to manufacture the AAV vector at scale.</w:t>
      </w:r>
    </w:p>
    <w:p>
      <w:pPr>
        <w:spacing w:after="0" w:line="187" w:lineRule="exact"/>
        <w:rPr>
          <w:sz w:val="20"/>
          <w:szCs w:val="20"/>
          <w:color w:val="auto"/>
        </w:rPr>
      </w:pPr>
    </w:p>
    <w:p>
      <w:pPr>
        <w:ind w:left="240" w:right="20" w:firstLine="338"/>
        <w:spacing w:after="0" w:line="283" w:lineRule="auto"/>
        <w:rPr>
          <w:sz w:val="20"/>
          <w:szCs w:val="20"/>
          <w:color w:val="auto"/>
        </w:rPr>
      </w:pPr>
      <w:r>
        <w:rPr>
          <w:rFonts w:ascii="Arial" w:cs="Arial" w:eastAsia="Arial" w:hAnsi="Arial"/>
          <w:sz w:val="16"/>
          <w:szCs w:val="16"/>
          <w:color w:val="auto"/>
        </w:rPr>
        <w:t>We apply our expertise in AAV vector engineering and optimization to develop AAV vectors that are best suited for a particular disease. Members of our team have co-discovered many of the known naturally occurring AAV capsids, which are the outer viral protein shells that enclose the target DNA, and have also created promising genetically engineered AAV capsids. Genetically engineered capsids have yielded vectors with desirable properties such as higher potency and enhanced tissue specificity. We continue to optimize and generate AAV capsids using multiple scientific approaches. We believe that the information generated by this work wi enhance our ability to rationally design AAV capsids with specific properties for particular therapeutic applications.</w:t>
      </w:r>
    </w:p>
    <w:p>
      <w:pPr>
        <w:spacing w:after="0" w:line="174" w:lineRule="exact"/>
        <w:rPr>
          <w:sz w:val="20"/>
          <w:szCs w:val="20"/>
          <w:color w:val="auto"/>
        </w:rPr>
      </w:pPr>
    </w:p>
    <w:p>
      <w:pPr>
        <w:ind w:left="240" w:firstLine="338"/>
        <w:spacing w:after="0" w:line="262" w:lineRule="auto"/>
        <w:rPr>
          <w:sz w:val="20"/>
          <w:szCs w:val="20"/>
          <w:color w:val="auto"/>
        </w:rPr>
      </w:pPr>
      <w:r>
        <w:rPr>
          <w:rFonts w:ascii="Arial" w:cs="Arial" w:eastAsia="Arial" w:hAnsi="Arial"/>
          <w:sz w:val="17"/>
          <w:szCs w:val="17"/>
          <w:color w:val="auto"/>
        </w:rPr>
        <w:t>The ability to produce high quality AAV vectors at scale is a critical success factor in AAV gene therapy. While previously at the National Institutes of Health, o NIH, several members of our current production team invented and developed a baculovirus AAV production system, a technology for producing AAV vectors at scal in insect-derived cells, which we use and have continued to improve upon. This system has a number of attributes that enable high quality commercial-scale manufacturing, such as high yields, high purity and scalability. We are building a state-of-the-art process research and development production facility for manufacturing research-grade AAV vectors onsite at our headquarters in Cambridge, Massachusetts and a current good manufacturing practice, or cGMP, commercia scale AAV manufacturing capability through our collaboration with MassBiologics.</w:t>
      </w:r>
    </w:p>
    <w:p>
      <w:pPr>
        <w:spacing w:after="0" w:line="188" w:lineRule="exact"/>
        <w:rPr>
          <w:sz w:val="20"/>
          <w:szCs w:val="20"/>
          <w:color w:val="auto"/>
        </w:rPr>
      </w:pPr>
    </w:p>
    <w:p>
      <w:pPr>
        <w:ind w:left="240" w:firstLine="341"/>
        <w:spacing w:after="0" w:line="306" w:lineRule="auto"/>
        <w:rPr>
          <w:sz w:val="20"/>
          <w:szCs w:val="20"/>
          <w:color w:val="auto"/>
        </w:rPr>
      </w:pPr>
      <w:r>
        <w:rPr>
          <w:rFonts w:ascii="Arial" w:cs="Arial" w:eastAsia="Arial" w:hAnsi="Arial"/>
          <w:sz w:val="15"/>
          <w:szCs w:val="15"/>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 clinically feasible protocols that yield reproducible results across patients. Recent advances in delivery techniques, coupled with real-time, intra-operative magnetic resonance imaging, or MRI, allow for targeted delivery of AAV vectors to discrete regions of the CNS. For our current pipeline programs, we are pursuing a surgical approach for direct injection into a targeted region of the brain or injection into the CSF for broader delivery to the cells within and surrounding the spinal cord.</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Pipeline of AAV Gene Therapies</w:t>
      </w:r>
    </w:p>
    <w:p>
      <w:pPr>
        <w:spacing w:after="0" w:line="228" w:lineRule="exact"/>
        <w:rPr>
          <w:sz w:val="20"/>
          <w:szCs w:val="20"/>
          <w:color w:val="auto"/>
        </w:rPr>
      </w:pPr>
    </w:p>
    <w:p>
      <w:pPr>
        <w:ind w:left="240" w:right="20" w:firstLine="338"/>
        <w:spacing w:after="0" w:line="270" w:lineRule="auto"/>
        <w:rPr>
          <w:sz w:val="20"/>
          <w:szCs w:val="20"/>
          <w:color w:val="auto"/>
        </w:rPr>
      </w:pPr>
      <w:r>
        <w:rPr>
          <w:rFonts w:ascii="Arial" w:cs="Arial" w:eastAsia="Arial" w:hAnsi="Arial"/>
          <w:sz w:val="17"/>
          <w:szCs w:val="17"/>
          <w:color w:val="auto"/>
        </w:rPr>
        <w:t>We have leveraged our product engine to assemble a pipeline of novel AAV gene therapies for the treatment of severe CNS diseases with high unmet medical need. Several of our product candidates may be eligible for orphan drug designation or breakthrough therapy designation. In February 2015, we entered into a strateg collaboration with Genzyme Corporation, a Sanofi company, or Genzyme,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46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694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leverage our combined expertise and assets to develop AAV gene therapeutics for severe CNS diseases. Under the agreement, we received $65.0 million in upfront</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a $30.0 million upfront equity investment and an in-kind commitment of $5.0 million, totalling $100 million. Additionally, we are eligible to receive up to</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$745 million in option and milestone payments while retaining U.S. commercial rights to most programs. Our pipeline of AAV gene therapy programs is summarized</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Advanced Parkinson's Disease Program: VY-AADC01</w:t>
      </w:r>
    </w:p>
    <w:p>
      <w:pPr>
        <w:spacing w:after="0" w:line="224" w:lineRule="exact"/>
        <w:rPr>
          <w:sz w:val="20"/>
          <w:szCs w:val="20"/>
          <w:color w:val="auto"/>
        </w:rPr>
      </w:pPr>
    </w:p>
    <w:p>
      <w:pPr>
        <w:ind w:left="240" w:right="120" w:firstLine="341"/>
        <w:spacing w:after="0" w:line="294" w:lineRule="auto"/>
        <w:rPr>
          <w:sz w:val="20"/>
          <w:szCs w:val="20"/>
          <w:color w:val="auto"/>
        </w:rPr>
      </w:pPr>
      <w:r>
        <w:rPr>
          <w:rFonts w:ascii="Arial" w:cs="Arial" w:eastAsia="Arial" w:hAnsi="Arial"/>
          <w:sz w:val="16"/>
          <w:szCs w:val="16"/>
          <w:color w:val="auto"/>
        </w:rPr>
        <w:t>Our most advanced clinical candidate, VY-AADC01, is being evaluated for the treatment of advanced Parkinson's disease. It is estimated that up to 15% of the prevalent population with Parkinson's disease, or approximately 100,000 patients in the United States, have motor fluctuations that are refractory, or not well-controlled, with levodopa, or L-Dopa, the current mainstay of therapy, and thus may be candidates for our AAV gene therapy program.</w:t>
      </w:r>
    </w:p>
    <w:p>
      <w:pPr>
        <w:spacing w:after="0" w:line="163"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color w:val="auto"/>
        </w:rPr>
        <w:t>In the first several years after patients' diagnoses, sometimes referred to as the honeymoon period, patients' motor symptoms are generally well-controlled with L Dopa treatment. However, as the disease progresses, patients become less responsive to L-Dopa and experience longer periods of reduced mobility, increased disabili and a dramatically reduced quality of life. Our goal is to restore patients' responsiveness to L-Dopa following treatment with VY-AADC01 to "turn back the clock" o their disease such that the patients' motor symptoms are returned to a well-controlled state, consistent with the level of symptomatic benefit achieved from L-Dopa during the honeymoon period.</w:t>
      </w:r>
    </w:p>
    <w:p>
      <w:pPr>
        <w:spacing w:after="0" w:line="187" w:lineRule="exact"/>
        <w:rPr>
          <w:sz w:val="20"/>
          <w:szCs w:val="20"/>
          <w:color w:val="auto"/>
        </w:rPr>
      </w:pPr>
    </w:p>
    <w:p>
      <w:pPr>
        <w:ind w:left="240" w:right="100" w:firstLine="331"/>
        <w:spacing w:after="0" w:line="315" w:lineRule="auto"/>
        <w:rPr>
          <w:sz w:val="20"/>
          <w:szCs w:val="20"/>
          <w:color w:val="auto"/>
        </w:rPr>
      </w:pPr>
      <w:r>
        <w:rPr>
          <w:rFonts w:ascii="Arial" w:cs="Arial" w:eastAsia="Arial" w:hAnsi="Arial"/>
          <w:sz w:val="16"/>
          <w:szCs w:val="16"/>
          <w:color w:val="auto"/>
        </w:rPr>
        <w:t>An enzyme called aromatic L-amino acid decarboxylase, or AADC, is responsible for the conversion of L-Dopa into the neurotransmitter dopamine. While the underlying cause of Parkinson's disease is unknown, the depletion of AADC and subsequently dopamine leads to the debilitating motor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948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594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0"/>
        <w:spacing w:after="0" w:line="282" w:lineRule="auto"/>
        <w:rPr>
          <w:sz w:val="20"/>
          <w:szCs w:val="20"/>
          <w:color w:val="auto"/>
        </w:rPr>
      </w:pPr>
      <w:r>
        <w:rPr>
          <w:rFonts w:ascii="Arial" w:cs="Arial" w:eastAsia="Arial" w:hAnsi="Arial"/>
          <w:sz w:val="17"/>
          <w:szCs w:val="17"/>
          <w:color w:val="auto"/>
        </w:rPr>
        <w:t>symptoms associated with the disease. VY-AADC01 is designed to deliver AADC directly to a targeted region of the brain in order to enable the enhanced conversio of L-Dopa into dopamine.</w:t>
      </w:r>
    </w:p>
    <w:p>
      <w:pPr>
        <w:spacing w:after="0" w:line="170"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color w:val="auto"/>
        </w:rPr>
        <w:t>In a completed open-label Phase 1 clinical trial conducted at the University of California, San Francisco, or UCSF, VY-AADC01 was well-tolerated, no treatment-related SAEs were reported and pharmacologic activity was observed. VY-AADC01 is currently being evaluated in an open-label, Phase 1b clinical trial conducted by our collaborators at UCSF. The main goals of this dose-escalation trial are to optimize vector delivery and dose, as well as to obtain further information on the safety profile of the treatment. Enrollment in the Phase 1b clinical trial is ongoing and eight patients have been treated to date, including five patients in the fir cohort and three patients in the second cohort.</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Preclinical Programs</w:t>
      </w:r>
    </w:p>
    <w:p>
      <w:pPr>
        <w:spacing w:after="0" w:line="224" w:lineRule="exact"/>
        <w:rPr>
          <w:sz w:val="20"/>
          <w:szCs w:val="20"/>
          <w:color w:val="auto"/>
        </w:rPr>
      </w:pPr>
    </w:p>
    <w:p>
      <w:pPr>
        <w:ind w:left="240" w:right="180" w:firstLine="338"/>
        <w:spacing w:after="0" w:line="265" w:lineRule="auto"/>
        <w:rPr>
          <w:sz w:val="20"/>
          <w:szCs w:val="20"/>
          <w:color w:val="auto"/>
        </w:rPr>
      </w:pPr>
      <w:r>
        <w:rPr>
          <w:rFonts w:ascii="Arial" w:cs="Arial" w:eastAsia="Arial" w:hAnsi="Arial"/>
          <w:sz w:val="17"/>
          <w:szCs w:val="17"/>
          <w:color w:val="auto"/>
        </w:rPr>
        <w:t>We are also developing four preclinical AAV gene therapy programs targeting CNS indications where loss or abnormal expression of a specific gene has been identified as the cause of the disease. Based on preclinical data for each of these programs, we believe that we can successfully deliver the target gene to the appropriate tissue and cells in the CNS in order to increase or decrease expression of the target protein, depending upon the disease state. Our goal is to submit an Investigational New Drug Application, or IND, for one of these programs in 2017.</w:t>
      </w:r>
    </w:p>
    <w:p>
      <w:pPr>
        <w:spacing w:after="0" w:line="208" w:lineRule="exact"/>
        <w:rPr>
          <w:sz w:val="20"/>
          <w:szCs w:val="20"/>
          <w:color w:val="auto"/>
        </w:rPr>
      </w:pPr>
    </w:p>
    <w:p>
      <w:pPr>
        <w:ind w:left="1280" w:hanging="524"/>
        <w:spacing w:after="0" w:line="263"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Monogenic ALS Program: VY-SOD101. </w:t>
      </w:r>
      <w:r>
        <w:rPr>
          <w:rFonts w:ascii="Arial" w:cs="Arial" w:eastAsia="Arial" w:hAnsi="Arial"/>
          <w:sz w:val="17"/>
          <w:szCs w:val="17"/>
          <w:color w:val="auto"/>
        </w:rPr>
        <w:t>Amyotrophic lateral sclerosis, or ALS, is a fatal neurodegenerative disease that leads to muscle weakness</w:t>
      </w:r>
      <w:r>
        <w:rPr>
          <w:rFonts w:ascii="Arial" w:cs="Arial" w:eastAsia="Arial" w:hAnsi="Arial"/>
          <w:sz w:val="17"/>
          <w:szCs w:val="17"/>
          <w:b w:val="1"/>
          <w:bCs w:val="1"/>
          <w:color w:val="auto"/>
        </w:rPr>
        <w:t xml:space="preserve"> </w:t>
      </w:r>
      <w:r>
        <w:rPr>
          <w:rFonts w:ascii="Arial" w:cs="Arial" w:eastAsia="Arial" w:hAnsi="Arial"/>
          <w:sz w:val="17"/>
          <w:szCs w:val="17"/>
          <w:color w:val="auto"/>
        </w:rPr>
        <w:t>and loss of mobility, as well as impaired speech, swallowing and breathing. There are approximately 30,000 patients in the United States with ALS, of which an estimated 600 patients have familial, or inherited, ALS caused by mutations in the superoxide dismutase 1, or SOD1, gene. Since SOD1 mutations that cause ALS result in the overexpression of toxic versions of the protein, we are employing an AAV gene therapy approach that targets th knockdown of SOD1. We expect that the first clinical trial of VY-SOD101 will enroll ALS patients with relevant mutations in the SOD1 gene, bypassing the more traditional approach of enrolling healthy volunteers.</w:t>
      </w:r>
    </w:p>
    <w:p>
      <w:pPr>
        <w:spacing w:after="0" w:line="196"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Friedreich's Ataxia Program: VY-FXN01. </w:t>
      </w:r>
      <w:r>
        <w:rPr>
          <w:rFonts w:ascii="Arial" w:cs="Arial" w:eastAsia="Arial" w:hAnsi="Arial"/>
          <w:sz w:val="17"/>
          <w:szCs w:val="17"/>
          <w:color w:val="auto"/>
        </w:rPr>
        <w:t>Friedreich's ataxia is a debilitating neurodegenerative disease resulting in poor coordination of legs and</w:t>
      </w:r>
      <w:r>
        <w:rPr>
          <w:rFonts w:ascii="Arial" w:cs="Arial" w:eastAsia="Arial" w:hAnsi="Arial"/>
          <w:sz w:val="17"/>
          <w:szCs w:val="17"/>
          <w:b w:val="1"/>
          <w:bCs w:val="1"/>
          <w:color w:val="auto"/>
        </w:rPr>
        <w:t xml:space="preserve"> </w:t>
      </w:r>
      <w:r>
        <w:rPr>
          <w:rFonts w:ascii="Arial" w:cs="Arial" w:eastAsia="Arial" w:hAnsi="Arial"/>
          <w:sz w:val="17"/>
          <w:szCs w:val="17"/>
          <w:color w:val="auto"/>
        </w:rPr>
        <w:t>arms, progressive loss of the ability to walk, and a variety of other debilitating symptoms. There are approximately 6,400 patients living with the disease in the United States and there are currently no FDA-approved treatments for the disease. Friedreich's ataxia patients have mutations in the FX gene, which reduces the production of the frataxin protein. We believe that an AAV gene therapy approach that delivers a functional version of the FX gene could result in meaningfully improved clinical outcomes. We expect that the first clinical trial of VY-FXN01 will enroll Friedreich's ataxia patients.</w:t>
      </w:r>
    </w:p>
    <w:p>
      <w:pPr>
        <w:spacing w:after="0" w:line="196" w:lineRule="exact"/>
        <w:rPr>
          <w:rFonts w:ascii="Arial" w:cs="Arial" w:eastAsia="Arial" w:hAnsi="Arial"/>
          <w:sz w:val="17"/>
          <w:szCs w:val="17"/>
          <w:color w:val="auto"/>
        </w:rPr>
      </w:pPr>
    </w:p>
    <w:p>
      <w:pPr>
        <w:ind w:left="1280" w:hanging="524"/>
        <w:spacing w:after="0" w:line="265"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Huntington's Disease Program: VY-HTT01. </w:t>
      </w:r>
      <w:r>
        <w:rPr>
          <w:rFonts w:ascii="Arial" w:cs="Arial" w:eastAsia="Arial" w:hAnsi="Arial"/>
          <w:sz w:val="17"/>
          <w:szCs w:val="17"/>
          <w:color w:val="auto"/>
        </w:rPr>
        <w:t>Huntington's disease is a fatal, inherited neurodegenerative disorder that results in the progressive</w:t>
      </w:r>
      <w:r>
        <w:rPr>
          <w:rFonts w:ascii="Arial" w:cs="Arial" w:eastAsia="Arial" w:hAnsi="Arial"/>
          <w:sz w:val="17"/>
          <w:szCs w:val="17"/>
          <w:b w:val="1"/>
          <w:bCs w:val="1"/>
          <w:color w:val="auto"/>
        </w:rPr>
        <w:t xml:space="preserve"> </w:t>
      </w:r>
      <w:r>
        <w:rPr>
          <w:rFonts w:ascii="Arial" w:cs="Arial" w:eastAsia="Arial" w:hAnsi="Arial"/>
          <w:sz w:val="17"/>
          <w:szCs w:val="17"/>
          <w:color w:val="auto"/>
        </w:rPr>
        <w:t>decline of motor and cognitive functions. It is estimated that Huntington's disease affects approximately 30,000 patients in the United States. Huntington's disease is caused by mutations in the huntingtin, or HTT, gene. The goal of VY-HTT01 is to knock down expression of HTT to reduce th level of mutated HTT protein in targeted regions of the brain to slow the progression of the cognitive and motor symptoms associated with the disease We expect that the first clinical trial of VY-HTT01 will enroll Huntington's disease patients.</w:t>
      </w:r>
    </w:p>
    <w:p>
      <w:pPr>
        <w:spacing w:after="0" w:line="205" w:lineRule="exact"/>
        <w:rPr>
          <w:rFonts w:ascii="Arial" w:cs="Arial" w:eastAsia="Arial" w:hAnsi="Arial"/>
          <w:sz w:val="17"/>
          <w:szCs w:val="17"/>
          <w:color w:val="auto"/>
        </w:rPr>
      </w:pPr>
    </w:p>
    <w:p>
      <w:pPr>
        <w:jc w:val="both"/>
        <w:ind w:left="1280" w:right="80" w:hanging="524"/>
        <w:spacing w:after="0" w:line="313"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SMA Program: VY-SMN101. </w:t>
      </w:r>
      <w:r>
        <w:rPr>
          <w:rFonts w:ascii="Arial" w:cs="Arial" w:eastAsia="Arial" w:hAnsi="Arial"/>
          <w:sz w:val="15"/>
          <w:szCs w:val="15"/>
          <w:color w:val="auto"/>
        </w:rPr>
        <w:t>Spinal muscular atrophy, or SMA, is an inherited neuromuscular disease that results in progressive muscle weakness</w:t>
      </w:r>
      <w:r>
        <w:rPr>
          <w:rFonts w:ascii="Arial" w:cs="Arial" w:eastAsia="Arial" w:hAnsi="Arial"/>
          <w:sz w:val="15"/>
          <w:szCs w:val="15"/>
          <w:b w:val="1"/>
          <w:bCs w:val="1"/>
          <w:color w:val="auto"/>
        </w:rPr>
        <w:t xml:space="preserve"> </w:t>
      </w:r>
      <w:r>
        <w:rPr>
          <w:rFonts w:ascii="Arial" w:cs="Arial" w:eastAsia="Arial" w:hAnsi="Arial"/>
          <w:sz w:val="15"/>
          <w:szCs w:val="15"/>
          <w:color w:val="auto"/>
        </w:rPr>
        <w:t>and paralysis. It is estimated that SMA affects approximately 10,000 patients in the United States with no currently approved treatments. The severe forms of SMA occur in infants and are fatal. SMA is caused primarily by mutations in the survival motor neuron 1, or SMN1, gene. The goal of VY-SMN101 is to deliver a functional version of the SMN1 gene to restore normal levels of protein expression and provide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114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611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meaningfully improved clinical outcomes. We expect that the first clinical trial of VY-SMN101 will enroll SMA patients.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Manufacturing at Commercial Quality and Scale</w:t>
      </w:r>
    </w:p>
    <w:p>
      <w:pPr>
        <w:spacing w:after="0" w:line="228" w:lineRule="exact"/>
        <w:rPr>
          <w:sz w:val="20"/>
          <w:szCs w:val="20"/>
          <w:color w:val="auto"/>
        </w:rPr>
      </w:pPr>
    </w:p>
    <w:p>
      <w:pPr>
        <w:ind w:left="240" w:firstLine="338"/>
        <w:spacing w:after="0" w:line="294" w:lineRule="auto"/>
        <w:rPr>
          <w:sz w:val="20"/>
          <w:szCs w:val="20"/>
          <w:color w:val="auto"/>
        </w:rPr>
      </w:pPr>
      <w:r>
        <w:rPr>
          <w:rFonts w:ascii="Arial" w:cs="Arial" w:eastAsia="Arial" w:hAnsi="Arial"/>
          <w:sz w:val="16"/>
          <w:szCs w:val="16"/>
          <w:color w:val="auto"/>
        </w:rPr>
        <w:t>We are building a state-of-the-art process research and development laboratory and production facility for manufacturing research-grade AAV vector onsite at ou Cambridge, Massachusetts headquarters and a cGMP commercial-scale AAV manufacturing capability through our collaboration with MassBiologics, in Fall River, Massachusetts. For both, we are focused on our baculovirus AAV production system, which has the following attributes:</w:t>
      </w:r>
    </w:p>
    <w:p>
      <w:pPr>
        <w:spacing w:after="0" w:line="185"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High Yield. </w:t>
      </w:r>
      <w:r>
        <w:rPr>
          <w:rFonts w:ascii="Arial" w:cs="Arial" w:eastAsia="Arial" w:hAnsi="Arial"/>
          <w:sz w:val="17"/>
          <w:szCs w:val="17"/>
          <w:color w:val="auto"/>
        </w:rPr>
        <w:t>A single manufacturing run at 500-liter scale can yield many thousands of doses of an AAV gene therapy.</w:t>
      </w:r>
    </w:p>
    <w:p>
      <w:pPr>
        <w:spacing w:after="0" w:line="237" w:lineRule="exact"/>
        <w:rPr>
          <w:rFonts w:ascii="Arial" w:cs="Arial" w:eastAsia="Arial" w:hAnsi="Arial"/>
          <w:sz w:val="17"/>
          <w:szCs w:val="17"/>
          <w:color w:val="auto"/>
        </w:rPr>
      </w:pPr>
    </w:p>
    <w:p>
      <w:pPr>
        <w:ind w:left="1280" w:right="40" w:hanging="524"/>
        <w:spacing w:after="0" w:line="320"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High Purity. </w:t>
      </w:r>
      <w:r>
        <w:rPr>
          <w:rFonts w:ascii="Arial" w:cs="Arial" w:eastAsia="Arial" w:hAnsi="Arial"/>
          <w:sz w:val="16"/>
          <w:szCs w:val="16"/>
          <w:color w:val="auto"/>
        </w:rPr>
        <w:t>A relatively high percentage of AAV vectors contain the therapeutic DNA, reducing the number of empty vectors compared to alternati</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approaches. In addition, the baculovirus system eliminates the risk of introducing mammalian cell derived impurities.</w:t>
      </w:r>
    </w:p>
    <w:p>
      <w:pPr>
        <w:spacing w:after="0" w:line="151" w:lineRule="exact"/>
        <w:rPr>
          <w:rFonts w:ascii="Arial" w:cs="Arial" w:eastAsia="Arial" w:hAnsi="Arial"/>
          <w:sz w:val="16"/>
          <w:szCs w:val="16"/>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This process is reproducible at volumes ranging from 0.02 liters to 500 liters.</w:t>
      </w:r>
    </w:p>
    <w:p>
      <w:pPr>
        <w:spacing w:after="0" w:line="250" w:lineRule="exact"/>
        <w:rPr>
          <w:rFonts w:ascii="Arial" w:cs="Arial" w:eastAsia="Arial" w:hAnsi="Arial"/>
          <w:sz w:val="17"/>
          <w:szCs w:val="17"/>
          <w:color w:val="auto"/>
        </w:rPr>
      </w:pPr>
    </w:p>
    <w:p>
      <w:pPr>
        <w:ind w:left="1280" w:right="80" w:hanging="524"/>
        <w:spacing w:after="0" w:line="357"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Promising Regulatory Framework. </w:t>
      </w:r>
      <w:r>
        <w:rPr>
          <w:rFonts w:ascii="Arial" w:cs="Arial" w:eastAsia="Arial" w:hAnsi="Arial"/>
          <w:sz w:val="15"/>
          <w:szCs w:val="15"/>
          <w:color w:val="auto"/>
        </w:rPr>
        <w:t>Although to date no gene therapy product has been approved in the United States, products manufactured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baculovirus system include the AAV gene therapy, Glybera, which is approved in Europe, and the marketed vaccines, Flublok and Cervarix.</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Voyager Team</w:t>
      </w:r>
    </w:p>
    <w:p>
      <w:pPr>
        <w:spacing w:after="0" w:line="228" w:lineRule="exact"/>
        <w:rPr>
          <w:sz w:val="20"/>
          <w:szCs w:val="20"/>
          <w:color w:val="auto"/>
        </w:rPr>
      </w:pPr>
    </w:p>
    <w:p>
      <w:pPr>
        <w:jc w:val="both"/>
        <w:ind w:left="240" w:firstLine="341"/>
        <w:spacing w:after="0" w:line="265" w:lineRule="auto"/>
        <w:rPr>
          <w:sz w:val="20"/>
          <w:szCs w:val="20"/>
          <w:color w:val="auto"/>
        </w:rPr>
      </w:pPr>
      <w:r>
        <w:rPr>
          <w:rFonts w:ascii="Arial" w:cs="Arial" w:eastAsia="Arial" w:hAnsi="Arial"/>
          <w:sz w:val="17"/>
          <w:szCs w:val="17"/>
          <w:color w:val="auto"/>
        </w:rPr>
        <w:t>Our founders and members of our management team have extensive experience in drug discovery and development, and have pioneered significant advances in the fields of AAV gene therapy and neuroscience. Members of our team have co-discovered many of the known naturally occurring AAV capsids and have also create promising genetically engineered AAV capsids. Additionally, the baculovirus AAV production system was invented and developed by several members of our curren production team while at the NIH.</w:t>
      </w:r>
    </w:p>
    <w:p>
      <w:pPr>
        <w:spacing w:after="0" w:line="185" w:lineRule="exact"/>
        <w:rPr>
          <w:sz w:val="20"/>
          <w:szCs w:val="20"/>
          <w:color w:val="auto"/>
        </w:rPr>
      </w:pPr>
    </w:p>
    <w:p>
      <w:pPr>
        <w:ind w:left="240" w:right="360" w:firstLine="341"/>
        <w:spacing w:after="0" w:line="322" w:lineRule="auto"/>
        <w:rPr>
          <w:sz w:val="20"/>
          <w:szCs w:val="20"/>
          <w:color w:val="auto"/>
        </w:rPr>
      </w:pPr>
      <w:r>
        <w:rPr>
          <w:rFonts w:ascii="Arial" w:cs="Arial" w:eastAsia="Arial" w:hAnsi="Arial"/>
          <w:sz w:val="15"/>
          <w:szCs w:val="15"/>
          <w:color w:val="auto"/>
        </w:rPr>
        <w:t>In order to maximize the value of our product engine and our pipeline, we have raised substantial capital from leading life sciences investors. Our founding investor is Third Rock Ventures, LLC. Additional investors include Genzyme, and six blue chip investment funds including Brookside Capital, Partner Fund Management and Casdin Capital, LLC. As of June 30, 2015, we had approximately $168.6 million of cash, cash equivalents and marketable securities.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Mission and Strategy</w:t>
      </w:r>
    </w:p>
    <w:p>
      <w:pPr>
        <w:spacing w:after="0" w:line="228" w:lineRule="exact"/>
        <w:rPr>
          <w:sz w:val="20"/>
          <w:szCs w:val="20"/>
          <w:color w:val="auto"/>
        </w:rPr>
      </w:pPr>
    </w:p>
    <w:p>
      <w:pPr>
        <w:ind w:left="240" w:right="20" w:firstLine="341"/>
        <w:spacing w:after="0" w:line="282" w:lineRule="auto"/>
        <w:rPr>
          <w:sz w:val="20"/>
          <w:szCs w:val="20"/>
          <w:color w:val="auto"/>
        </w:rPr>
      </w:pPr>
      <w:r>
        <w:rPr>
          <w:rFonts w:ascii="Arial" w:cs="Arial" w:eastAsia="Arial" w:hAnsi="Arial"/>
          <w:sz w:val="17"/>
          <w:szCs w:val="17"/>
          <w:color w:val="auto"/>
        </w:rPr>
        <w:t>Our mission is to become the world leader in AAV gene therapy for treating severe CNS diseases by developing transformative therapies. Our strategy to achiev this mission is to:</w:t>
      </w:r>
    </w:p>
    <w:p>
      <w:pPr>
        <w:spacing w:after="0" w:line="183" w:lineRule="exact"/>
        <w:rPr>
          <w:sz w:val="20"/>
          <w:szCs w:val="20"/>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Continually invest in our AAV product engine by focusing on (i) vector engineering and optimization; (ii) manufacturing; and (iii) dosing and delivery techniques.</w:t>
      </w:r>
    </w:p>
    <w:p>
      <w:pPr>
        <w:spacing w:after="0" w:line="182"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Establish a leadership position in commercial-scale, high quality AAV manufacturing, which we believe is critical to any successful AAV gene therap program.</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Optimize and advance our lead program, VY-AADC01, for the treatment of advanced Parkinson's disease.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430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643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12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build a pipeline of gene therapy programs focused on severe CNS diseases, with the goal of adding at least one new pipeline program in early 2016 and submitting an IND for one of our existing preclinical programs in 2017.</w:t>
      </w:r>
    </w:p>
    <w:p>
      <w:pPr>
        <w:spacing w:after="0" w:line="182" w:lineRule="exact"/>
        <w:rPr>
          <w:rFonts w:ascii="Arial" w:cs="Arial" w:eastAsia="Arial" w:hAnsi="Arial"/>
          <w:sz w:val="17"/>
          <w:szCs w:val="17"/>
          <w:color w:val="auto"/>
        </w:rPr>
      </w:pPr>
    </w:p>
    <w:p>
      <w:pPr>
        <w:ind w:left="1280" w:right="50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 and maximize the value of our product commercialization rights, including by building our own sales and marketing infrastructure or partnering with third parties.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develop and expand our intellectual property portfolio in order to maintain our leadership position in AAV gene therapy.</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business is subject to a number of risks you should be aware of before making an investment decision. These risks are discussed more fully in the "Risk</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the following:</w:t>
      </w:r>
    </w:p>
    <w:p>
      <w:pPr>
        <w:spacing w:after="0" w:line="244" w:lineRule="exact"/>
        <w:rPr>
          <w:sz w:val="20"/>
          <w:szCs w:val="20"/>
          <w:color w:val="auto"/>
        </w:rPr>
      </w:pPr>
    </w:p>
    <w:p>
      <w:pPr>
        <w:ind w:left="1280" w:right="22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incurred net losses since inception and anticipate that we will continue to incur losses for the foreseeable future and may never achieve or maintain profitability.</w:t>
      </w:r>
    </w:p>
    <w:p>
      <w:pPr>
        <w:spacing w:after="0" w:line="182" w:lineRule="exact"/>
        <w:rPr>
          <w:rFonts w:ascii="Arial" w:cs="Arial" w:eastAsia="Arial" w:hAnsi="Arial"/>
          <w:sz w:val="17"/>
          <w:szCs w:val="17"/>
          <w:color w:val="auto"/>
        </w:rPr>
      </w:pPr>
    </w:p>
    <w:p>
      <w:pPr>
        <w:ind w:left="128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AAV gene therapy product candidates are based on a relatively novel technology, which makes it difficult to predict the time and cost of development and of subsequently obtaining regulatory approval, if at all. No gene therapy product has been approved in the United States and only on such product has been approved in the European Union.</w:t>
      </w:r>
    </w:p>
    <w:p>
      <w:pPr>
        <w:spacing w:after="0" w:line="192" w:lineRule="exact"/>
        <w:rPr>
          <w:rFonts w:ascii="Arial" w:cs="Arial" w:eastAsia="Arial" w:hAnsi="Arial"/>
          <w:sz w:val="17"/>
          <w:szCs w:val="17"/>
          <w:color w:val="auto"/>
        </w:rPr>
      </w:pPr>
    </w:p>
    <w:p>
      <w:pPr>
        <w:ind w:left="1280" w:hanging="524"/>
        <w:spacing w:after="0" w:line="315" w:lineRule="auto"/>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dosing and delivery techniques being employed in the ongoing VY-AADC01 Phase 1b clinical trial are different than those used in prior trials, an dosing and delivery must be further optimized in this trial or we may not generate the human proof-of-concept data we seek.</w:t>
      </w:r>
    </w:p>
    <w:p>
      <w:pPr>
        <w:spacing w:after="0" w:line="172" w:lineRule="exact"/>
        <w:rPr>
          <w:rFonts w:ascii="Arial" w:cs="Arial" w:eastAsia="Arial" w:hAnsi="Arial"/>
          <w:sz w:val="16"/>
          <w:szCs w:val="16"/>
          <w:color w:val="auto"/>
        </w:rPr>
      </w:pPr>
    </w:p>
    <w:p>
      <w:pPr>
        <w:ind w:left="128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encounter substantial delays in commencement, enrollment or completion of our clinical trials or we may fail to demonstrate safety and efficacy to the satisfaction of applicable regulatory authorities, which could prevent us from commercializing our current and future product candidate on a timely basis, if at all.</w:t>
      </w:r>
    </w:p>
    <w:p>
      <w:pPr>
        <w:spacing w:after="0" w:line="192" w:lineRule="exact"/>
        <w:rPr>
          <w:rFonts w:ascii="Arial" w:cs="Arial" w:eastAsia="Arial" w:hAnsi="Arial"/>
          <w:sz w:val="17"/>
          <w:szCs w:val="17"/>
          <w:color w:val="auto"/>
        </w:rPr>
      </w:pPr>
    </w:p>
    <w:p>
      <w:pPr>
        <w:ind w:left="1280" w:hanging="524"/>
        <w:spacing w:after="0" w:line="281" w:lineRule="auto"/>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 In past clinical trials that were conducted by others with non-AAV vectors, several significant side effects were caused by gene therapy treatments, including reported cases of leukemia and death. Furthermore, in a previous Phase 1 clinical trial completed by UCSF, several patients experienced hemorrhages caused by the surgical procedure for administering VY-AADC01, and to date one patient in the ongoing Phase 1b clinical trial experienced two SAEs that were deemed related to the surgical procedure for administering VY-AADC01.</w:t>
      </w:r>
    </w:p>
    <w:p>
      <w:pPr>
        <w:spacing w:after="0" w:line="188" w:lineRule="exact"/>
        <w:rPr>
          <w:rFonts w:ascii="Arial" w:cs="Arial" w:eastAsia="Arial" w:hAnsi="Arial"/>
          <w:sz w:val="16"/>
          <w:szCs w:val="16"/>
          <w:color w:val="auto"/>
        </w:rPr>
      </w:pPr>
    </w:p>
    <w:p>
      <w:pPr>
        <w:ind w:left="1280" w:right="10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205" w:lineRule="exact"/>
        <w:rPr>
          <w:rFonts w:ascii="Arial" w:cs="Arial" w:eastAsia="Arial" w:hAnsi="Arial"/>
          <w:sz w:val="17"/>
          <w:szCs w:val="17"/>
          <w:color w:val="auto"/>
        </w:rPr>
      </w:pPr>
    </w:p>
    <w:p>
      <w:pPr>
        <w:ind w:left="1280" w:right="34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date, all of our revenue has been derived from our collaboration with Genzyme, and if this collaboration agreement were to be terminated, our business financial condition, results of operations and prospects would be harmed.</w:t>
      </w:r>
    </w:p>
    <w:p>
      <w:pPr>
        <w:spacing w:after="0" w:line="182"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 therapies are novel, complex and difficult to manufacture. We could experience manufacturing problems that result in delays in our developmen or commercialization of our product candidates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732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473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80" w:hanging="524"/>
        <w:spacing w:after="0" w:line="294" w:lineRule="auto"/>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75" w:lineRule="exact"/>
        <w:rPr>
          <w:rFonts w:ascii="Arial" w:cs="Arial" w:eastAsia="Arial" w:hAnsi="Arial"/>
          <w:sz w:val="16"/>
          <w:szCs w:val="16"/>
          <w:color w:val="auto"/>
        </w:rPr>
      </w:pPr>
    </w:p>
    <w:p>
      <w:pPr>
        <w:ind w:left="1280" w:right="420" w:hanging="524"/>
        <w:spacing w:after="0" w:line="270"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History and Information</w:t>
      </w:r>
    </w:p>
    <w:p>
      <w:pPr>
        <w:spacing w:after="0" w:line="228" w:lineRule="exact"/>
        <w:rPr>
          <w:sz w:val="20"/>
          <w:szCs w:val="20"/>
          <w:color w:val="auto"/>
        </w:rPr>
      </w:pPr>
    </w:p>
    <w:p>
      <w:pPr>
        <w:ind w:left="240" w:firstLine="338"/>
        <w:spacing w:after="0" w:line="265" w:lineRule="auto"/>
        <w:rPr>
          <w:sz w:val="20"/>
          <w:szCs w:val="20"/>
          <w:color w:val="auto"/>
        </w:rPr>
      </w:pPr>
      <w:r>
        <w:rPr>
          <w:rFonts w:ascii="Arial" w:cs="Arial" w:eastAsia="Arial" w:hAnsi="Arial"/>
          <w:sz w:val="17"/>
          <w:szCs w:val="17"/>
          <w:color w:val="auto"/>
        </w:rPr>
        <w:t>Voyager Therapeutics was incorporated in June 2013 based on the work of over 20 years by our founding scientists. Our executive offices are located at 75 Sidney Street, Cambridge, Massachusetts 02139, and our telephone number is (857) 259-5340. Our website address is www.voyagertherapeutics.com. The informatio contained on, or accessible through, our website does not constitute part of this prospectus. We have included our website address in this prospectus solely as an inactive textual reference.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28" w:lineRule="exact"/>
        <w:rPr>
          <w:sz w:val="20"/>
          <w:szCs w:val="20"/>
          <w:color w:val="auto"/>
        </w:rPr>
      </w:pPr>
    </w:p>
    <w:p>
      <w:pPr>
        <w:ind w:left="240" w:firstLine="331"/>
        <w:spacing w:after="0" w:line="297"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of 2012, or the JOBS Act, and we may remain an emerging growth company for up to five years. For so long as we remain an emerging growth company, we are permitted and intend to rely on exemptions from certain disclosure and other requirements that are applicable to other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We may take advantage of the exemptions provided by the JOBS Act for up to five years or such earlier time that we are no longer an emerging growth company. The JOBS Act also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 We would cease to be an emerging growth company if we have more than $1.0 billion in annual revenue, we have more than $700 million in market value of our stock held by non-affiliates or we issue more than $1.0 billion of non-convertible debt over a three year period.</w:t>
      </w:r>
    </w:p>
    <w:p>
      <w:pPr>
        <w:spacing w:after="0" w:line="169" w:lineRule="exact"/>
        <w:rPr>
          <w:sz w:val="20"/>
          <w:szCs w:val="20"/>
          <w:color w:val="auto"/>
        </w:rPr>
      </w:pPr>
    </w:p>
    <w:p>
      <w:pPr>
        <w:ind w:left="240" w:right="20" w:firstLine="338"/>
        <w:spacing w:after="0" w:line="282" w:lineRule="auto"/>
        <w:rPr>
          <w:sz w:val="20"/>
          <w:szCs w:val="20"/>
          <w:color w:val="auto"/>
        </w:rPr>
      </w:pPr>
      <w:r>
        <w:rPr>
          <w:rFonts w:ascii="Arial" w:cs="Arial" w:eastAsia="Arial" w:hAnsi="Arial"/>
          <w:sz w:val="17"/>
          <w:szCs w:val="17"/>
          <w:color w:val="auto"/>
        </w:rPr>
        <w:t>The Voyager name and logo are our trademarks. This prospectus also includes trademarks, trade names and service marks of other persons. All other trademarks trade names and service marks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5681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68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520"/>
          </w:cols>
          <w:pgMar w:left="240" w:top="131" w:right="139" w:bottom="1440" w:gutter="0" w:footer="0" w:header="0"/>
        </w:sect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5,000,000 shares</w:t>
      </w:r>
    </w:p>
    <w:p>
      <w:pPr>
        <w:spacing w:after="0" w:line="200" w:lineRule="exact"/>
        <w:rPr>
          <w:sz w:val="20"/>
          <w:szCs w:val="20"/>
          <w:color w:val="auto"/>
        </w:rPr>
      </w:pPr>
    </w:p>
    <w:p>
      <w:pPr>
        <w:sectPr>
          <w:pgSz w:w="11900" w:h="16838" w:orient="portrait"/>
          <w:cols w:equalWidth="0" w:num="2">
            <w:col w:w="3620" w:space="720"/>
            <w:col w:w="7180"/>
          </w:cols>
          <w:pgMar w:left="240" w:top="131" w:right="139" w:bottom="1440" w:gutter="0" w:footer="0" w:header="0"/>
          <w:type w:val="continuous"/>
        </w:sectPr>
      </w:pPr>
    </w:p>
    <w:p>
      <w:pPr>
        <w:spacing w:after="0" w:line="47" w:lineRule="exact"/>
        <w:rPr>
          <w:sz w:val="20"/>
          <w:szCs w:val="20"/>
          <w:color w:val="auto"/>
        </w:rPr>
      </w:pPr>
    </w:p>
    <w:p>
      <w:pPr>
        <w:ind w:left="400" w:hanging="174"/>
        <w:spacing w:after="0" w:line="282" w:lineRule="auto"/>
        <w:rPr>
          <w:sz w:val="20"/>
          <w:szCs w:val="20"/>
          <w:color w:val="auto"/>
        </w:rPr>
      </w:pPr>
      <w:r>
        <w:rPr>
          <w:rFonts w:ascii="Arial" w:cs="Arial" w:eastAsia="Arial" w:hAnsi="Arial"/>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26,034,710 shares, or 26,784,710 shares if the underwriters exercise their option to purchase additional shares in full.</w:t>
      </w:r>
    </w:p>
    <w:p>
      <w:pPr>
        <w:spacing w:after="0" w:line="170" w:lineRule="exact"/>
        <w:rPr>
          <w:sz w:val="20"/>
          <w:szCs w:val="20"/>
          <w:color w:val="auto"/>
        </w:rPr>
      </w:pPr>
    </w:p>
    <w:p>
      <w:pPr>
        <w:sectPr>
          <w:pgSz w:w="11900" w:h="16838" w:orient="portrait"/>
          <w:cols w:equalWidth="0" w:num="2">
            <w:col w:w="3740" w:space="600"/>
            <w:col w:w="718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750,000 shares</w:t>
      </w:r>
    </w:p>
    <w:p>
      <w:pPr>
        <w:spacing w:after="0" w:line="200" w:lineRule="exact"/>
        <w:rPr>
          <w:sz w:val="20"/>
          <w:szCs w:val="20"/>
          <w:color w:val="auto"/>
        </w:rPr>
      </w:pPr>
    </w:p>
    <w:p>
      <w:pPr>
        <w:sectPr>
          <w:pgSz w:w="11900" w:h="16838" w:orient="portrait"/>
          <w:cols w:equalWidth="0" w:num="2">
            <w:col w:w="3660" w:space="680"/>
            <w:col w:w="718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net proceeds from the sale of shares of common stock will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$62.9 million, or $72.7 million if the underwriters exercise their option to purchase additional shares, afte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deducting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3620" w:space="720"/>
            <w:col w:w="7180"/>
          </w:cols>
          <w:pgMar w:left="240" w:top="131" w:right="139" w:bottom="1440" w:gutter="0" w:footer="0" w:header="0"/>
          <w:type w:val="continuous"/>
        </w:sectPr>
      </w:pPr>
    </w:p>
    <w:p>
      <w:pPr>
        <w:spacing w:after="0" w:line="29" w:lineRule="exact"/>
        <w:rPr>
          <w:sz w:val="20"/>
          <w:szCs w:val="20"/>
          <w:color w:val="auto"/>
        </w:rPr>
      </w:pPr>
    </w:p>
    <w:p>
      <w:pPr>
        <w:ind w:left="4340" w:right="60"/>
        <w:spacing w:after="0" w:line="263" w:lineRule="auto"/>
        <w:rPr>
          <w:sz w:val="20"/>
          <w:szCs w:val="20"/>
          <w:color w:val="auto"/>
        </w:rPr>
      </w:pPr>
      <w:r>
        <w:rPr>
          <w:rFonts w:ascii="Arial" w:cs="Arial" w:eastAsia="Arial" w:hAnsi="Arial"/>
          <w:sz w:val="17"/>
          <w:szCs w:val="17"/>
          <w:color w:val="auto"/>
        </w:rPr>
        <w:t>We currently intend to use the net proceeds from this offering to fund our VY-AADC01 program for advanced Parkinson's disease, to fund our preclinical programs, including VY-SOD101 for a monogenic form of ALS, VY-FXN01 for Friedreich's ataxia, VY-HTT01 for Huntington's disease and VY-SMN101 for SMA, and for working capital and other general corporate purposes. See the section titled "Use of Proceeds" for additional information.</w:t>
      </w:r>
    </w:p>
    <w:p>
      <w:pPr>
        <w:sectPr>
          <w:pgSz w:w="11900" w:h="16838" w:orient="portrait"/>
          <w:cols w:equalWidth="0" w:num="1">
            <w:col w:w="11520"/>
          </w:cols>
          <w:pgMar w:left="240" w:top="131" w:right="139" w:bottom="1440" w:gutter="0" w:footer="0" w:header="0"/>
          <w:type w:val="continuous"/>
        </w:sectPr>
      </w:pPr>
    </w:p>
    <w:p>
      <w:pPr>
        <w:spacing w:after="0" w:line="18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See the section titled "Risk Factors" for a discussion of factors that you should consider before deciding t invest in our common stock.</w:t>
      </w:r>
    </w:p>
    <w:p>
      <w:pPr>
        <w:spacing w:after="0" w:line="170" w:lineRule="exact"/>
        <w:rPr>
          <w:sz w:val="20"/>
          <w:szCs w:val="20"/>
          <w:color w:val="auto"/>
        </w:rPr>
      </w:pPr>
    </w:p>
    <w:p>
      <w:pPr>
        <w:sectPr>
          <w:pgSz w:w="11900" w:h="16838" w:orient="portrait"/>
          <w:cols w:equalWidth="0" w:num="2">
            <w:col w:w="3620" w:space="720"/>
            <w:col w:w="718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"VYGR"</w:t>
      </w:r>
    </w:p>
    <w:p>
      <w:pPr>
        <w:spacing w:after="0" w:line="200" w:lineRule="exact"/>
        <w:rPr>
          <w:sz w:val="20"/>
          <w:szCs w:val="20"/>
          <w:color w:val="auto"/>
        </w:rPr>
      </w:pPr>
    </w:p>
    <w:p>
      <w:pPr>
        <w:sectPr>
          <w:pgSz w:w="11900" w:h="16838" w:orient="portrait"/>
          <w:cols w:equalWidth="0" w:num="2">
            <w:col w:w="3620" w:space="720"/>
            <w:col w:w="7180"/>
          </w:cols>
          <w:pgMar w:left="240" w:top="131" w:right="139" w:bottom="1440" w:gutter="0" w:footer="0" w:header="0"/>
          <w:type w:val="continuous"/>
        </w:sectPr>
      </w:pPr>
    </w:p>
    <w:p>
      <w:pPr>
        <w:spacing w:after="0" w:line="24" w:lineRule="exact"/>
        <w:rPr>
          <w:sz w:val="20"/>
          <w:szCs w:val="20"/>
          <w:color w:val="auto"/>
        </w:rPr>
      </w:pPr>
    </w:p>
    <w:p>
      <w:pPr>
        <w:ind w:left="240" w:right="280" w:firstLine="338"/>
        <w:spacing w:after="0" w:line="282" w:lineRule="auto"/>
        <w:rPr>
          <w:sz w:val="20"/>
          <w:szCs w:val="20"/>
          <w:color w:val="auto"/>
        </w:rPr>
      </w:pPr>
      <w:r>
        <w:rPr>
          <w:rFonts w:ascii="Arial" w:cs="Arial" w:eastAsia="Arial" w:hAnsi="Arial"/>
          <w:sz w:val="17"/>
          <w:szCs w:val="17"/>
          <w:color w:val="auto"/>
        </w:rPr>
        <w:t>The number of shares of common stock to be outstanding after this offering is based on 21,034,710 shares of common stock outstanding as of June 30, 2015 (including 2,160,342 shares of unvested restricted stock subject to repurchase by us), and excludes the following:</w:t>
      </w:r>
    </w:p>
    <w:p>
      <w:pPr>
        <w:spacing w:after="0" w:line="196" w:lineRule="exact"/>
        <w:rPr>
          <w:sz w:val="20"/>
          <w:szCs w:val="20"/>
          <w:color w:val="auto"/>
        </w:rPr>
      </w:pPr>
    </w:p>
    <w:p>
      <w:pPr>
        <w:ind w:left="1280" w:right="20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339,035 shares of common stock issuable upon the exercise of outstanding options as of June 30, 2015 having a weighted average exercise price of $7.27;</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5,070 shares of common stock reserved for future issuance under our 2014 Stock Option and Grant Plan, as amended, as of June 30, 2015;</w:t>
      </w:r>
    </w:p>
    <w:p>
      <w:pPr>
        <w:spacing w:after="0" w:line="248"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1,311,812 shares of common stock reserved for future issuance under our 2015 Stock Option and Incentive Plan, or 2015 Stock Option Plan, which wi become effective immediately prior to the completion of this offering; and</w:t>
      </w:r>
    </w:p>
    <w:p>
      <w:pPr>
        <w:spacing w:after="0" w:line="196" w:lineRule="exact"/>
        <w:rPr>
          <w:rFonts w:ascii="Arial" w:cs="Arial" w:eastAsia="Arial" w:hAnsi="Arial"/>
          <w:sz w:val="17"/>
          <w:szCs w:val="17"/>
          <w:color w:val="auto"/>
        </w:rPr>
      </w:pPr>
    </w:p>
    <w:p>
      <w:pPr>
        <w:ind w:left="1280" w:right="40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262,362 shares of common stock reserved for future issuance under our 2015 Employee Stock Purchase Plan, or 2015 ESPP, which will become effective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767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276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Unless otherwise indicated, the number of shares of common stock described in this prospectus gives effect to:</w:t>
      </w:r>
    </w:p>
    <w:p>
      <w:pPr>
        <w:spacing w:after="0" w:line="250" w:lineRule="exact"/>
        <w:rPr>
          <w:sz w:val="20"/>
          <w:szCs w:val="20"/>
          <w:color w:val="auto"/>
        </w:rPr>
      </w:pPr>
    </w:p>
    <w:p>
      <w:pPr>
        <w:ind w:left="1280" w:right="6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which will occur immediately prior to the completion of this offering;</w:t>
      </w:r>
    </w:p>
    <w:p>
      <w:pPr>
        <w:spacing w:after="0" w:line="182" w:lineRule="exact"/>
        <w:rPr>
          <w:rFonts w:ascii="Arial" w:cs="Arial" w:eastAsia="Arial" w:hAnsi="Arial"/>
          <w:sz w:val="17"/>
          <w:szCs w:val="17"/>
          <w:color w:val="auto"/>
        </w:rPr>
      </w:pPr>
    </w:p>
    <w:p>
      <w:pPr>
        <w:ind w:left="1280" w:right="32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of all outstanding convertible preferred stock into 17,647,054 shares of common stock immediately prior to the completion of this offering;</w:t>
      </w:r>
    </w:p>
    <w:p>
      <w:pPr>
        <w:spacing w:after="0" w:line="182"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issuance or exercise of stock options after June 30, 2015, including the grants of stock options to purchase 670,231 shares of common stock in August 2015, September 2015 and October 2015;</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an additional 750,000 shares of common stock in this offering to cover overallotment if any; and</w:t>
      </w:r>
    </w:p>
    <w:p>
      <w:pPr>
        <w:spacing w:after="0" w:line="182" w:lineRule="exact"/>
        <w:rPr>
          <w:rFonts w:ascii="Arial" w:cs="Arial" w:eastAsia="Arial" w:hAnsi="Arial"/>
          <w:sz w:val="17"/>
          <w:szCs w:val="17"/>
          <w:color w:val="auto"/>
        </w:rPr>
      </w:pPr>
    </w:p>
    <w:p>
      <w:pPr>
        <w:ind w:left="1280" w:right="16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1-for-4.25 reverse stock split of our common stock and a proportional adjustment to the existing conversion ratio of each series of our convertible preferred stock, which became effective on October 29, 2015.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314565" cy="5781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78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341"/>
        <w:spacing w:after="0" w:line="283" w:lineRule="auto"/>
        <w:rPr>
          <w:sz w:val="20"/>
          <w:szCs w:val="20"/>
          <w:color w:val="auto"/>
        </w:rPr>
      </w:pPr>
      <w:r>
        <w:rPr>
          <w:rFonts w:ascii="Arial" w:cs="Arial" w:eastAsia="Arial" w:hAnsi="Arial"/>
          <w:sz w:val="16"/>
          <w:szCs w:val="16"/>
          <w:i w:val="1"/>
          <w:iCs w:val="1"/>
          <w:color w:val="auto"/>
        </w:rPr>
        <w:t>We have derived the summary statements of operations data for the period and year ended December 31, 2013 and 2014, respectively, from our audited financia statements included elsewhere in this prospectus. We have derived the statement of operations data for the six months ended June 30, 2014 and 2015 and the balance sheet data as of June 30, 2015 from our unaudited financial statements included elsewhere in this prospectus. The unaudited financial data have been prepared on th same basis as the audited financial statements and, in management's opinion, include all adjustments, consisting only of normal recurring adjustments, necessary for fair presentation of the financial information as of and for the periods presented.</w:t>
      </w:r>
    </w:p>
    <w:p>
      <w:pPr>
        <w:spacing w:after="0" w:line="174"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i w:val="1"/>
          <w:iCs w:val="1"/>
          <w:color w:val="auto"/>
        </w:rPr>
        <w:t>You should read the following summary financial data together with our financial statements and the related notes appearing elsewhere in this prospectus and th information set forth in the sections titled "Selected Financial Data" and "Management's Discussion and Analysis of Financial Condition and Results of Operations." Our historical results are not necessarily indicative of results that should be expected in the future, and results for the six months ended June 30, 2015 are not necessarily indicative of the results to be expected for the full year ending December 31, 2015.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Period from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(inception)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Year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gridSpan w:val="8"/>
            <w:vMerge w:val="restart"/>
          </w:tcPr>
          <w:p>
            <w:pPr>
              <w:jc w:val="center"/>
              <w:ind w:right="1340"/>
              <w:spacing w:after="0"/>
              <w:rPr>
                <w:sz w:val="20"/>
                <w:szCs w:val="20"/>
                <w:color w:val="auto"/>
              </w:rPr>
            </w:pPr>
            <w:r>
              <w:rPr>
                <w:rFonts w:ascii="Arial" w:cs="Arial" w:eastAsia="Arial" w:hAnsi="Arial"/>
                <w:sz w:val="13"/>
                <w:szCs w:val="13"/>
                <w:b w:val="1"/>
                <w:bCs w:val="1"/>
                <w:color w:val="auto"/>
                <w:w w:val="91"/>
              </w:rPr>
              <w:t>Six Months Ended June 30,</w:t>
            </w:r>
          </w:p>
        </w:tc>
        <w:tc>
          <w:tcPr>
            <w:tcW w:w="0" w:type="dxa"/>
            <w:vAlign w:val="bottom"/>
          </w:tcPr>
          <w:p>
            <w:pPr>
              <w:spacing w:after="0"/>
              <w:rPr>
                <w:sz w:val="1"/>
                <w:szCs w:val="1"/>
                <w:color w:val="auto"/>
              </w:rPr>
            </w:pPr>
          </w:p>
        </w:tc>
      </w:tr>
      <w:tr>
        <w:trPr>
          <w:trHeight w:val="65"/>
        </w:trPr>
        <w:tc>
          <w:tcPr>
            <w:tcW w:w="1380" w:type="dxa"/>
            <w:vAlign w:val="bottom"/>
          </w:tcPr>
          <w:p>
            <w:pPr>
              <w:spacing w:after="0"/>
              <w:rPr>
                <w:sz w:val="5"/>
                <w:szCs w:val="5"/>
                <w:color w:val="auto"/>
              </w:rPr>
            </w:pPr>
          </w:p>
        </w:tc>
        <w:tc>
          <w:tcPr>
            <w:tcW w:w="4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380" w:type="dxa"/>
            <w:vAlign w:val="bottom"/>
          </w:tcPr>
          <w:p>
            <w:pPr>
              <w:spacing w:after="0"/>
              <w:rPr>
                <w:sz w:val="5"/>
                <w:szCs w:val="5"/>
                <w:color w:val="auto"/>
              </w:rPr>
            </w:pPr>
          </w:p>
        </w:tc>
        <w:tc>
          <w:tcPr>
            <w:tcW w:w="4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3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40" w:type="dxa"/>
            <w:vAlign w:val="bottom"/>
            <w:gridSpan w:val="8"/>
          </w:tcPr>
          <w:p>
            <w:pPr>
              <w:jc w:val="center"/>
              <w:ind w:right="1340"/>
              <w:spacing w:after="0" w:line="124"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80" w:type="dxa"/>
            <w:vAlign w:val="bottom"/>
            <w:gridSpan w:val="12"/>
          </w:tcPr>
          <w:p>
            <w:pPr>
              <w:jc w:val="right"/>
              <w:ind w:righ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5980" w:type="dxa"/>
            <w:vAlign w:val="bottom"/>
            <w:gridSpan w:val="2"/>
          </w:tcPr>
          <w:p>
            <w:pPr>
              <w:ind w:left="1380"/>
              <w:spacing w:after="0"/>
              <w:rPr>
                <w:sz w:val="20"/>
                <w:szCs w:val="20"/>
                <w:color w:val="auto"/>
              </w:rPr>
            </w:pPr>
            <w:r>
              <w:rPr>
                <w:rFonts w:ascii="Arial" w:cs="Arial" w:eastAsia="Arial" w:hAnsi="Arial"/>
                <w:sz w:val="17"/>
                <w:szCs w:val="17"/>
                <w:color w:val="auto"/>
              </w:rPr>
              <w:t>Collaboration revenue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7,460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11,978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1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16,255</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(14,367)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(6,215)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(8,795)</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(1,950)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(1,407)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(9,677)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(3,833)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(16,317)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(7,622)</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(18,472)</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1380"/>
              <w:spacing w:after="0"/>
              <w:rPr>
                <w:sz w:val="20"/>
                <w:szCs w:val="20"/>
                <w:color w:val="auto"/>
              </w:rPr>
            </w:pPr>
            <w:r>
              <w:rPr>
                <w:rFonts w:ascii="Arial" w:cs="Arial" w:eastAsia="Arial" w:hAnsi="Arial"/>
                <w:sz w:val="17"/>
                <w:szCs w:val="17"/>
                <w:color w:val="auto"/>
                <w:w w:val="91"/>
              </w:rPr>
              <w:t>Net loss per share attributable to common stockholders, basic and</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4600" w:type="dxa"/>
            <w:vAlign w:val="bottom"/>
          </w:tcPr>
          <w:p>
            <w:pPr>
              <w:ind w:left="180"/>
              <w:spacing w:after="0" w:line="257" w:lineRule="exact"/>
              <w:rPr>
                <w:sz w:val="20"/>
                <w:szCs w:val="20"/>
                <w:color w:val="auto"/>
              </w:rPr>
            </w:pPr>
            <w:r>
              <w:rPr>
                <w:rFonts w:ascii="Arial" w:cs="Arial" w:eastAsia="Arial" w:hAnsi="Arial"/>
                <w:sz w:val="17"/>
                <w:szCs w:val="17"/>
                <w:color w:val="auto"/>
              </w:rPr>
              <w:t>diluted</w:t>
            </w:r>
            <w:r>
              <w:rPr>
                <w:rFonts w:ascii="Arial" w:cs="Arial" w:eastAsia="Arial" w:hAnsi="Arial"/>
                <w:sz w:val="28"/>
                <w:szCs w:val="28"/>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(1,629.68)</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(27.83)</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(15.18)</w:t>
            </w: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(20.83)</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80" w:type="dxa"/>
            <w:vAlign w:val="bottom"/>
          </w:tcPr>
          <w:p>
            <w:pPr>
              <w:spacing w:after="0"/>
              <w:rPr>
                <w:sz w:val="15"/>
                <w:szCs w:val="15"/>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Weighted-average common shares outstanding, basic and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4600" w:type="dxa"/>
            <w:vAlign w:val="bottom"/>
            <w:shd w:val="clear" w:color="auto" w:fill="CCEEFF"/>
          </w:tcPr>
          <w:p>
            <w:pPr>
              <w:ind w:left="180"/>
              <w:spacing w:after="0" w:line="257" w:lineRule="exact"/>
              <w:rPr>
                <w:sz w:val="20"/>
                <w:szCs w:val="20"/>
                <w:color w:val="auto"/>
              </w:rPr>
            </w:pPr>
            <w:r>
              <w:rPr>
                <w:rFonts w:ascii="Arial" w:cs="Arial" w:eastAsia="Arial" w:hAnsi="Arial"/>
                <w:sz w:val="17"/>
                <w:szCs w:val="17"/>
                <w:color w:val="auto"/>
              </w:rPr>
              <w:t>diluted</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635,448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532,007</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1,083,112</w:t>
            </w:r>
          </w:p>
        </w:tc>
        <w:tc>
          <w:tcPr>
            <w:tcW w:w="160" w:type="dxa"/>
            <w:vAlign w:val="bottom"/>
            <w:shd w:val="clear" w:color="auto" w:fill="CCEEFF"/>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1380"/>
              <w:spacing w:after="0"/>
              <w:rPr>
                <w:sz w:val="20"/>
                <w:szCs w:val="20"/>
                <w:color w:val="auto"/>
              </w:rPr>
            </w:pPr>
            <w:r>
              <w:rPr>
                <w:rFonts w:ascii="Arial" w:cs="Arial" w:eastAsia="Arial" w:hAnsi="Arial"/>
                <w:sz w:val="17"/>
                <w:szCs w:val="17"/>
                <w:color w:val="auto"/>
                <w:w w:val="92"/>
              </w:rPr>
              <w:t>Pro forma net loss per share attributable to common stockholders,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4600" w:type="dxa"/>
            <w:vAlign w:val="bottom"/>
          </w:tcPr>
          <w:p>
            <w:pPr>
              <w:ind w:left="180"/>
              <w:spacing w:after="0" w:line="257" w:lineRule="exact"/>
              <w:rPr>
                <w:sz w:val="20"/>
                <w:szCs w:val="20"/>
                <w:color w:val="auto"/>
              </w:rPr>
            </w:pPr>
            <w:r>
              <w:rPr>
                <w:rFonts w:ascii="Arial" w:cs="Arial" w:eastAsia="Arial" w:hAnsi="Arial"/>
                <w:sz w:val="17"/>
                <w:szCs w:val="17"/>
                <w:color w:val="auto"/>
              </w:rPr>
              <w:t>basic and diluted (unaudited)</w:t>
            </w:r>
            <w:r>
              <w:rPr>
                <w:rFonts w:ascii="Arial" w:cs="Arial" w:eastAsia="Arial" w:hAnsi="Arial"/>
                <w:sz w:val="28"/>
                <w:szCs w:val="28"/>
                <w:color w:val="auto"/>
                <w:vertAlign w:val="superscript"/>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(3.75)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(0.59)</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80" w:type="dxa"/>
            <w:vAlign w:val="bottom"/>
          </w:tcPr>
          <w:p>
            <w:pPr>
              <w:spacing w:after="0"/>
              <w:rPr>
                <w:sz w:val="15"/>
                <w:szCs w:val="15"/>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5"/>
              </w:rPr>
              <w:t>Pro forma weighted-average common shares outstanding, basic</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4600" w:type="dxa"/>
            <w:vAlign w:val="bottom"/>
            <w:shd w:val="clear" w:color="auto" w:fill="CCEEFF"/>
          </w:tcPr>
          <w:p>
            <w:pPr>
              <w:ind w:left="180"/>
              <w:spacing w:after="0" w:line="257" w:lineRule="exact"/>
              <w:rPr>
                <w:sz w:val="20"/>
                <w:szCs w:val="20"/>
                <w:color w:val="auto"/>
              </w:rPr>
            </w:pPr>
            <w:r>
              <w:rPr>
                <w:rFonts w:ascii="Arial" w:cs="Arial" w:eastAsia="Arial" w:hAnsi="Arial"/>
                <w:sz w:val="17"/>
                <w:szCs w:val="17"/>
                <w:color w:val="auto"/>
              </w:rPr>
              <w:t>and diluted (unaudited)</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3,834,803</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14,713,271</w:t>
            </w:r>
          </w:p>
        </w:tc>
        <w:tc>
          <w:tcPr>
            <w:tcW w:w="160" w:type="dxa"/>
            <w:vAlign w:val="bottom"/>
            <w:shd w:val="clear" w:color="auto" w:fill="CCEEFF"/>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gridSpan w:val="2"/>
          </w:tcPr>
          <w:p>
            <w:pPr>
              <w:jc w:val="right"/>
              <w:ind w:right="9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175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417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23"/>
              <w:spacing w:after="0"/>
              <w:rPr>
                <w:sz w:val="20"/>
                <w:szCs w:val="20"/>
                <w:color w:val="auto"/>
              </w:rPr>
            </w:pPr>
            <w:r>
              <w:rPr>
                <w:rFonts w:ascii="Arial" w:cs="Arial" w:eastAsia="Arial" w:hAnsi="Arial"/>
                <w:sz w:val="13"/>
                <w:szCs w:val="13"/>
                <w:b w:val="1"/>
                <w:bCs w:val="1"/>
                <w:color w:val="auto"/>
                <w:w w:val="89"/>
              </w:rPr>
              <w:t>As of June 30, 2015</w:t>
            </w:r>
          </w:p>
        </w:tc>
        <w:tc>
          <w:tcPr>
            <w:tcW w:w="1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280"/>
              <w:spacing w:after="0" w:line="120"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r>
      <w:tr>
        <w:trPr>
          <w:trHeight w:val="188"/>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Actual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spacing w:after="0" w:line="188"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1"/>
                <w:szCs w:val="21"/>
                <w:b w:val="1"/>
                <w:bCs w:val="1"/>
                <w:color w:val="auto"/>
                <w:vertAlign w:val="superscript"/>
              </w:rPr>
              <w:t>(3)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360"/>
              <w:spacing w:after="0" w:line="188" w:lineRule="exact"/>
              <w:rPr>
                <w:sz w:val="20"/>
                <w:szCs w:val="20"/>
                <w:color w:val="auto"/>
              </w:rPr>
            </w:pPr>
            <w:r>
              <w:rPr>
                <w:rFonts w:ascii="Arial" w:cs="Arial" w:eastAsia="Arial" w:hAnsi="Arial"/>
                <w:sz w:val="13"/>
                <w:szCs w:val="13"/>
                <w:b w:val="1"/>
                <w:bCs w:val="1"/>
                <w:color w:val="auto"/>
                <w:w w:val="83"/>
              </w:rPr>
              <w:t>as adjusted</w:t>
            </w:r>
            <w:r>
              <w:rPr>
                <w:rFonts w:ascii="Arial" w:cs="Arial" w:eastAsia="Arial" w:hAnsi="Arial"/>
                <w:sz w:val="21"/>
                <w:szCs w:val="21"/>
                <w:b w:val="1"/>
                <w:bCs w:val="1"/>
                <w:color w:val="auto"/>
                <w:w w:val="83"/>
                <w:vertAlign w:val="superscript"/>
              </w:rPr>
              <w:t>(4)(5)</w:t>
            </w:r>
          </w:p>
        </w:tc>
      </w:tr>
      <w:tr>
        <w:trPr>
          <w:trHeight w:val="124"/>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left="23"/>
              <w:spacing w:after="0"/>
              <w:rPr>
                <w:sz w:val="20"/>
                <w:szCs w:val="20"/>
                <w:color w:val="auto"/>
              </w:rPr>
            </w:pPr>
            <w:r>
              <w:rPr>
                <w:rFonts w:ascii="Arial" w:cs="Arial" w:eastAsia="Arial" w:hAnsi="Arial"/>
                <w:sz w:val="13"/>
                <w:szCs w:val="13"/>
                <w:b w:val="1"/>
                <w:bCs w:val="1"/>
                <w:color w:val="auto"/>
                <w:w w:val="89"/>
              </w:rPr>
              <w:t>(in thousands)</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Cash, cash equivalents and marketable securities</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  168,647</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168,647</w:t>
            </w:r>
          </w:p>
        </w:tc>
        <w:tc>
          <w:tcPr>
            <w:tcW w:w="14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231,547</w:t>
            </w:r>
          </w:p>
        </w:tc>
        <w:tc>
          <w:tcPr>
            <w:tcW w:w="16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5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86,401</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149,301</w:t>
            </w:r>
          </w:p>
        </w:tc>
        <w:tc>
          <w:tcPr>
            <w:tcW w:w="160" w:type="dxa"/>
            <w:vAlign w:val="bottom"/>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173,764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173,764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236,664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deferred revenue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Redeemable convertible preferred stock</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146,264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stockholders' (deficit) equity</w:t>
            </w:r>
          </w:p>
        </w:tc>
        <w:tc>
          <w:tcPr>
            <w:tcW w:w="2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(41,549)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167,615</w:t>
            </w:r>
          </w:p>
        </w:tc>
        <w:tc>
          <w:tcPr>
            <w:tcW w:w="160" w:type="dxa"/>
            <w:vAlign w:val="bottom"/>
            <w:shd w:val="clear" w:color="auto" w:fill="CCEEFF"/>
          </w:tcPr>
          <w:p>
            <w:pPr>
              <w:spacing w:after="0"/>
              <w:rPr>
                <w:sz w:val="18"/>
                <w:szCs w:val="18"/>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7" w:lineRule="exact"/>
        <w:rPr>
          <w:sz w:val="20"/>
          <w:szCs w:val="20"/>
          <w:color w:val="auto"/>
        </w:rPr>
      </w:pPr>
    </w:p>
    <w:p>
      <w:pPr>
        <w:ind w:left="1900" w:hanging="526"/>
        <w:spacing w:after="0" w:line="352" w:lineRule="auto"/>
        <w:tabs>
          <w:tab w:leader="none" w:pos="1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See Statements of Operations Data and Note 2 to our financial statements for further details on the calculation of net loss per share, basic and diluted, attributable to common stockholders and the weighted-average number of shares used in the computation of the per share amounts.</w:t>
      </w:r>
    </w:p>
    <w:p>
      <w:pPr>
        <w:spacing w:after="0" w:line="136" w:lineRule="exact"/>
        <w:rPr>
          <w:rFonts w:ascii="Arial" w:cs="Arial" w:eastAsia="Arial" w:hAnsi="Arial"/>
          <w:sz w:val="15"/>
          <w:szCs w:val="15"/>
          <w:color w:val="auto"/>
        </w:rPr>
      </w:pPr>
    </w:p>
    <w:p>
      <w:pPr>
        <w:ind w:left="1900" w:hanging="526"/>
        <w:spacing w:after="0" w:line="282" w:lineRule="auto"/>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 See our financial statements for further details regarding our current assets and current liabilities.</w:t>
      </w:r>
    </w:p>
    <w:p>
      <w:pPr>
        <w:spacing w:after="0" w:line="182" w:lineRule="exact"/>
        <w:rPr>
          <w:rFonts w:ascii="Arial" w:cs="Arial" w:eastAsia="Arial" w:hAnsi="Arial"/>
          <w:sz w:val="17"/>
          <w:szCs w:val="17"/>
          <w:color w:val="auto"/>
        </w:rPr>
      </w:pPr>
    </w:p>
    <w:p>
      <w:pPr>
        <w:ind w:left="1900" w:hanging="526"/>
        <w:spacing w:after="0" w:line="282" w:lineRule="auto"/>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balance sheet data give effect to the automatic conversion of all outstanding shares of convertible preferred stock into an aggregate of 17,647,054 shares of our common stock upon the completion of this offering.</w:t>
      </w:r>
    </w:p>
    <w:p>
      <w:pPr>
        <w:spacing w:after="0" w:line="196" w:lineRule="exact"/>
        <w:rPr>
          <w:rFonts w:ascii="Arial" w:cs="Arial" w:eastAsia="Arial" w:hAnsi="Arial"/>
          <w:sz w:val="17"/>
          <w:szCs w:val="17"/>
          <w:color w:val="auto"/>
        </w:rPr>
      </w:pPr>
    </w:p>
    <w:p>
      <w:pPr>
        <w:ind w:left="1900" w:right="40" w:hanging="526"/>
        <w:spacing w:after="0" w:line="270" w:lineRule="auto"/>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as adjusted balance sheet data gives effect to the pro forma adjustments described in (3) above and the sale of shares of our comm stock offered in this offering, at the initial public offering price of $14.00 per share, after deducting the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180" w:firstLine="341"/>
        <w:spacing w:after="0" w:line="311"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in this prospectus, including our financial statements and the related notes appearing at the end of this prospectus, before making a decision to invest in our common stock. The occurrence of any of the events or developments described in this section could harm our business, financial condition, results of operations and prospects. In that event, the trading price of our common stock could decline, and you may lose part or all of your investment.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Capital</w:t>
      </w:r>
    </w:p>
    <w:p>
      <w:pPr>
        <w:spacing w:after="0" w:line="228"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b w:val="1"/>
          <w:bCs w:val="1"/>
          <w:i w:val="1"/>
          <w:iCs w:val="1"/>
          <w:color w:val="auto"/>
        </w:rPr>
        <w:t>We have incurred net losses since inception and anticipate that we will continue to incur losses for the foreseeable future and may never achieve or maintain profitability.</w:t>
      </w:r>
    </w:p>
    <w:p>
      <w:pPr>
        <w:spacing w:after="0" w:line="170"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are a clinical-stage biotechnology company with a limited operating history, and have not yet generated revenues from the sales of our product candidates. Investment in biotechnology companies is highly speculative because it entails substantial upfront capital expenditures and significant risk that the product candidate will fail to obtain regulatory approval or become commercially viable. We have not yet demonstrated the ability to complete any clinical trials of our product candidates, obtain marketing approvals, manufacture a commercial-scale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 was $18.5 million and $16.3 million for the six months ended June 30, 2015 and year ended December 31, 2014, respectively. As of June 30, 2015, we had an accumulated deficit of $41.5 million.</w:t>
      </w:r>
    </w:p>
    <w:p>
      <w:pPr>
        <w:spacing w:after="0" w:line="175"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We historically have financed our operations primarily through private placements of our convertible preferred stock and our recent collaboration agreement with Genzyme. To date, we have devoted substantially all of our financial resources to building our product engine, selecting product programs, conducting research and development, including preclinical development of our product candidates, building our intellectual property portfolio, building our team and establishing our collaboration with Genzyme.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201"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investing in our product engine to optimize vector engineering, manufacturing and dosing and delivery techniques;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development of our clinical candidate, VY-AADC01;</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additional preclinical studies and clinical trials for our other programs;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 our process research and development activities, as well as establish our research-grade and commercial manufacturing capabilities;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identify additional CNS diseases for treatment with our AAV gene therapies;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seek marketing approvals for VY-AADC01 or other product candidates that arise from our programs that successfully complete clinical trials;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 a sales, marketing and distribution infrastructure to commercialize any product candidates for which we may obtain marketing approval;</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identify, acquire or in-license other product candidates and technologies.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generate sufficient revenue from the commercialization of our product candidates and may never be profitable.</w:t>
      </w:r>
    </w:p>
    <w:p>
      <w:pPr>
        <w:spacing w:after="0" w:line="224"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Our ability to generate revenue and achieve profitability depends on our ability, alone or with our collaborative partners, to successfully complete the development of, and obtain the regulatory approvals necessary to commercialize, our current and future product candidates. Our lead product candidate VY-AADC01 is being evaluated in a Phase 1b clinical trial, and we do not anticipate generating revenues from product sales for the next several years, and we may never succeed in doing so. Our ability to generate future revenues from product sales depends heavily on our and our collaborators' success in:</w:t>
      </w:r>
    </w:p>
    <w:p>
      <w:pPr>
        <w:spacing w:after="0" w:line="182" w:lineRule="exact"/>
        <w:rPr>
          <w:sz w:val="20"/>
          <w:szCs w:val="20"/>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completing preclinical and clinical development of our product candidates and identifying new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seeking and obtaining regulatory and marketing approvals for product candidates for which we complete clinical trials;</w:t>
      </w:r>
    </w:p>
    <w:p>
      <w:pPr>
        <w:spacing w:after="0" w:line="237"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qualifying for adequate coverage and reimbursement by government and third-party payors for our product candidates if and when approved;</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and enhancing a sustainable, scalable, reproducible and transferable manufacturing process for our vectors and product candidates;</w:t>
      </w:r>
    </w:p>
    <w:p>
      <w:pPr>
        <w:spacing w:after="0" w:line="248" w:lineRule="exact"/>
        <w:rPr>
          <w:rFonts w:ascii="Arial" w:cs="Arial" w:eastAsia="Arial" w:hAnsi="Arial"/>
          <w:sz w:val="16"/>
          <w:szCs w:val="16"/>
          <w:color w:val="auto"/>
        </w:rPr>
      </w:pPr>
    </w:p>
    <w:p>
      <w:pPr>
        <w:ind w:left="1060" w:right="10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a viable treatment option;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w:t>
      </w:r>
    </w:p>
    <w:p>
      <w:pPr>
        <w:spacing w:after="0" w:line="237" w:lineRule="exact"/>
        <w:rPr>
          <w:rFonts w:ascii="Arial" w:cs="Arial" w:eastAsia="Arial" w:hAnsi="Arial"/>
          <w:sz w:val="17"/>
          <w:szCs w:val="17"/>
          <w:color w:val="auto"/>
        </w:rPr>
      </w:pPr>
    </w:p>
    <w:p>
      <w:pPr>
        <w:ind w:left="1060" w:right="42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avoiding and defending against third-party interference or infringement claims;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24"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candidate. Our expenses could increase beyond expectations if we are required by the U.S. Food and Drug Administration, or the FDA, European Medicines Agency, or EMA, or other regulatory authorities to perform preclinical studies and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45" w:lineRule="exact"/>
        <w:rPr>
          <w:sz w:val="20"/>
          <w:szCs w:val="20"/>
          <w:color w:val="auto"/>
        </w:rPr>
      </w:pPr>
    </w:p>
    <w:p>
      <w:pPr>
        <w:ind w:right="560"/>
        <w:spacing w:after="0" w:line="352" w:lineRule="auto"/>
        <w:rPr>
          <w:sz w:val="20"/>
          <w:szCs w:val="20"/>
          <w:color w:val="auto"/>
        </w:rPr>
      </w:pPr>
      <w:r>
        <w:rPr>
          <w:rFonts w:ascii="Arial" w:cs="Arial" w:eastAsia="Arial" w:hAnsi="Arial"/>
          <w:sz w:val="15"/>
          <w:szCs w:val="15"/>
          <w:b w:val="1"/>
          <w:bCs w:val="1"/>
          <w:i w:val="1"/>
          <w:iCs w:val="1"/>
          <w:color w:val="auto"/>
        </w:rPr>
        <w:t>Even if this offering is successful, 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23"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In addition, if we obtain marketing approval for any of our product candidates, we expect to incur significant expenses related to product sales, medical affairs, marketing, manufacturing and distribution. Furthermore, upon the completion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certain of our research and development programs.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operations have consumed significant amounts of cash since inception. As of June 30, 2015, our cash, cash equivalents and marketable securities were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$168.6 million. We estimate that the net proceeds from this offering will be approximately $62.9 million, based on the initial public offering price of $14.00 per share,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and after deducting underwriting discounts and commissions and estimated offering expenses payable by us. We expect that our existing cash, cash equivalents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marketable securities, will enable us to fund our operating expenses and capital expenditure requirements for at least the next 24 months. See the section titled "Use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Proceeds."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237"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scope, progress, results and costs of developing our product engine, and conducting preclinical studies and clinical trials for our product candidates;</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237" w:lineRule="exact"/>
        <w:rPr>
          <w:rFonts w:ascii="Arial" w:cs="Arial" w:eastAsia="Arial" w:hAnsi="Arial"/>
          <w:sz w:val="17"/>
          <w:szCs w:val="17"/>
          <w:color w:val="auto"/>
        </w:rPr>
      </w:pPr>
    </w:p>
    <w:p>
      <w:pPr>
        <w:ind w:left="1060" w:right="140" w:hanging="531"/>
        <w:spacing w:after="0" w:line="28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of our product candidates for which we receive marketing approval;</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250"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82" w:lineRule="exact"/>
        <w:rPr>
          <w:rFonts w:ascii="Arial" w:cs="Arial" w:eastAsia="Arial" w:hAnsi="Arial"/>
          <w:sz w:val="17"/>
          <w:szCs w:val="17"/>
          <w:color w:val="auto"/>
        </w:rPr>
      </w:pPr>
    </w:p>
    <w:p>
      <w:pPr>
        <w:ind w:left="1060" w:right="600" w:hanging="531"/>
        <w:spacing w:after="0" w:line="28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current collaboration agreement with Genzyme remaining in effect and our receipt of option fees and achievement of milestones under this agreement;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establish and maintain additional partnerships on favorable terms, if at all;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224"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or based on sales of products that may not be commercially available for many years, if at all. Accordingly, we will need to continue to rely on additional financing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achieve our business objectives. To the extent that additional capital is raised through the sale of equity or equity-linked securities, the issuance of those securities could result in substantial dilution for our current stockholders and the terms may include liquidation or other preferences that adversely affect the rights of our current stockholders. To the extent that additional capital is raised through the issuance of debt, the agreement governing such debt may contain restrictive covenants related to our capital raising and other financial and operational matters, which may make it more difficult for us to obtain additional capital and to pursue business operations, including potential acquisitions. Furthermore, the issuance of additional securities, whether equity or debt, by us, or the possibility of such issuance, may cause the market price of our common stock to decline and our existing stockholders may not agree with the terms of such financings. Adequate additional financing may not be available to us on acceptable terms, or at all.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and Regulatory Approval of Our Product Candidates</w:t>
      </w:r>
    </w:p>
    <w:p>
      <w:pPr>
        <w:spacing w:after="0" w:line="22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Our AAV gene therapy product candidates are based on a relatively novel technology, which makes it difficult to predict the time and cost of development and of subsequently obtaining regulatory approval, if at all. No gene therapy product has been approved in the United States and only one such product has been approved in the European Union.</w:t>
      </w:r>
    </w:p>
    <w:p>
      <w:pPr>
        <w:spacing w:after="0" w:line="179" w:lineRule="exact"/>
        <w:rPr>
          <w:sz w:val="20"/>
          <w:szCs w:val="20"/>
          <w:color w:val="auto"/>
        </w:rPr>
      </w:pPr>
    </w:p>
    <w:p>
      <w:pPr>
        <w:ind w:right="60" w:firstLine="338"/>
        <w:spacing w:after="0" w:line="306" w:lineRule="auto"/>
        <w:rPr>
          <w:sz w:val="20"/>
          <w:szCs w:val="20"/>
          <w:color w:val="auto"/>
        </w:rPr>
      </w:pPr>
      <w:r>
        <w:rPr>
          <w:rFonts w:ascii="Arial" w:cs="Arial" w:eastAsia="Arial" w:hAnsi="Arial"/>
          <w:sz w:val="15"/>
          <w:szCs w:val="15"/>
          <w:color w:val="auto"/>
        </w:rPr>
        <w:t>We have concentrated our research and development efforts to date on our product engine, identifying our initial targeted disease indications, and our initial product candidates, and our future success depends on our successful development of viable AAV gene therapy product candidates. Currently, only one of our product candidates, VY-AADC01, is in clinical development, and the remainder of our product candidates are in preclinical development. There can be no assurance that we will not experience problems or delays in developing our product candidates and that such problems or delays will not cause unanticipated costs, or that any such development problems can be solved. We also may experience unanticipated problems or delays in expanding our manufacturing capacity.</w:t>
      </w:r>
    </w:p>
    <w:p>
      <w:pPr>
        <w:spacing w:after="0" w:line="159"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Only one gene therapy product, uniQure N.V.'s, or uniQure, Glybera, has received marketing authorization from the European Commission and no gene therapy products have received marketing authorization in the United States. It is difficult to determine how long it will take or how much it will cost to obtain regulatory approvals for our product candidates in either the United States or the European Union or how long it will take to commercialize our product candidates. Approvals by the European Commission may not be indicative of what the FDA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requirements governing gene and cell therapy products have changed frequently and may continue to change in the future.</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FDA has established the Office of Cellular, Tissue and Gene Therapies within its Center for Biologics Evaluation and Research, or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NIH are also potentially subject to review by the NIH Office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Biotechnology Activities' Recombinant DNA Advisory Committee, or the RAC. The ongoing Phase 1b clinical trial of VY-AADC01 is being conducted at UCSF and therefore is subject to oversight by these authorities. Even though the FDA decides whether individual gene therapy protocols may proceed, the RAC public review process, if undertaken, can delay the initiation of a clinical trial, even if the FDA has reviewed the trial design and details and permitted its initiation. Conversely, the FDA may place an IND on a clinical hold even if the RAC has provided a favorable review or an exemption from in-depth, public review. In addition, NIH-funded institutions need to have their institutional biosafety committee as well as their institutional review board, or IRB, review proposed clinical trials to assess the safety of the trial. The ongoing Phase 1b clinical trial of VY-AADC01 has been reviewed by the UCSF IRB, and such trial will need to be re-reviewed by the UCSF IRB if the protocol for the trial is further amended. In addition, adverse developments in clinical trials of gene therapy products conducted by us or others may cause the FDA or other oversight bodies to change the requirements for approval of any of our product candidates. Similarly, EMA may issue new guidelines concerning the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w:t>
      </w:r>
    </w:p>
    <w:p>
      <w:pPr>
        <w:spacing w:after="0" w:line="166"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Positive results from preclinical studies and early-stage clinical trials may not be indicative of efficacy in late-stage clinical trials.</w:t>
      </w:r>
    </w:p>
    <w:p>
      <w:pPr>
        <w:spacing w:after="0" w:line="224" w:lineRule="exact"/>
        <w:rPr>
          <w:sz w:val="20"/>
          <w:szCs w:val="20"/>
          <w:color w:val="auto"/>
        </w:rPr>
      </w:pPr>
    </w:p>
    <w:p>
      <w:pPr>
        <w:jc w:val="both"/>
        <w:ind w:firstLine="332"/>
        <w:spacing w:after="0" w:line="322" w:lineRule="auto"/>
        <w:rPr>
          <w:sz w:val="20"/>
          <w:szCs w:val="20"/>
          <w:color w:val="auto"/>
        </w:rPr>
      </w:pPr>
      <w:r>
        <w:rPr>
          <w:rFonts w:ascii="Arial" w:cs="Arial" w:eastAsia="Arial" w:hAnsi="Arial"/>
          <w:sz w:val="15"/>
          <w:szCs w:val="15"/>
          <w:color w:val="auto"/>
        </w:rPr>
        <w:t>All of our product candidates are in early stages of development. Study designs and results from previous clinical trials are not necessarily predictive of our future clinical trial designs or results, and initial results may not be confirmed upon full analysis of the complete trial or study data. Our product candidates may fail to show the desired safety and efficacy in later stages of clinical development despite having successfully advanced through preclinical studies and initial clinical trials.</w:t>
      </w:r>
    </w:p>
    <w:p>
      <w:pPr>
        <w:spacing w:after="0" w:line="145"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 number of companies in the pharmaceutical and biotechnology industries have suffered significant setbacks in late-stage clinical trials even after achieving promising results in early-stage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late-stage clinical trials with larger patient populations could harm our business and we may never succeed in commercialization or generating product revenue.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00"/>
        <w:spacing w:after="0" w:line="315" w:lineRule="auto"/>
        <w:rPr>
          <w:sz w:val="20"/>
          <w:szCs w:val="20"/>
          <w:color w:val="auto"/>
        </w:rPr>
      </w:pPr>
      <w:r>
        <w:rPr>
          <w:rFonts w:ascii="Arial" w:cs="Arial" w:eastAsia="Arial" w:hAnsi="Arial"/>
          <w:sz w:val="16"/>
          <w:szCs w:val="16"/>
          <w:b w:val="1"/>
          <w:bCs w:val="1"/>
          <w:i w:val="1"/>
          <w:iCs w:val="1"/>
          <w:color w:val="auto"/>
        </w:rPr>
        <w:t>The dosing and delivery techniques being employed in the ongoing VY-AADC01 Phase 1b clinical trial are different from those used in prior trials, and dosing and delivery must be further optimized in this trial or we may not generate the human proof-of-concept data we seek.</w:t>
      </w:r>
    </w:p>
    <w:p>
      <w:pPr>
        <w:spacing w:after="0" w:line="146"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clinical trial results of some of our collaborators have been negatively affected by factors that had not been fully anticipated prior to examination of the trial results. For example, the magnitude of the clinical responses seen in the Phase 1 clinical trial of VY-AADC01 conducted by UCSF were similar to placebo effects observed in previous surgical therapies in Parkinson's disease. As a result, we are unable to rely on the results of this Phase 1 trial for an indication of the efficacy of treatment with VY-AADC01. We believe that there is a need to optimize the delivery, dose and volume of infusion of VY-AADC01 to substantially increase the coverage of the putamen, the region of the brain targeted by VY-AADC01, to achieve a clinical benefit. However, we can provide no assurances that we will be able to optimize these parameters and thereby achieve sufficient coverage of the putamen to achieve a clinical benefit.</w:t>
      </w:r>
    </w:p>
    <w:p>
      <w:pPr>
        <w:spacing w:after="0" w:line="176" w:lineRule="exact"/>
        <w:rPr>
          <w:sz w:val="20"/>
          <w:szCs w:val="20"/>
          <w:color w:val="auto"/>
        </w:rPr>
      </w:pPr>
    </w:p>
    <w:p>
      <w:pPr>
        <w:ind w:right="80" w:firstLine="338"/>
        <w:spacing w:after="0" w:line="301" w:lineRule="auto"/>
        <w:rPr>
          <w:sz w:val="20"/>
          <w:szCs w:val="20"/>
          <w:color w:val="auto"/>
        </w:rPr>
      </w:pPr>
      <w:r>
        <w:rPr>
          <w:rFonts w:ascii="Arial" w:cs="Arial" w:eastAsia="Arial" w:hAnsi="Arial"/>
          <w:sz w:val="15"/>
          <w:szCs w:val="15"/>
          <w:color w:val="auto"/>
        </w:rPr>
        <w:t>The ongoing Phase 1b clinical trial of VY-AADC01 incorporates several design features that are different from those used in UCSF's previously completed Phase 1 clinical trial, in an attempt to increase the area of the putamen, particularly the posterior putamen, which receives VY-AADC01 treatment. Larger infusion volumes of VY-AADC01 are being employed along with higher doses of VY-AADC01. In addition, the Clearpoint System, which is manufactured by MRI Interventions, Inc., is being used during the surgical procedure to provide accurate placement of the cannula, or small tube used in the procedure, in the putamen to allow for real-time, intra-operative MRI to assist the physician in visualizing the delivery of VY-AADC01 to the putamen and to avoid specific blood vessels during the surgical procedure, with the goal of reducing the risk of hemorrhages. In the prior Phase 1 clinical trial of VY-AADC01 conducted by UCSF, physicians surgically administered VY-AADC01 without the use of the Clearpoint System, and therefore did not have real-time visualization of treatment delivery.</w:t>
      </w:r>
    </w:p>
    <w:p>
      <w:pPr>
        <w:spacing w:after="0" w:line="164"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Due to the nature of the techniques being used in the Phase 1b clinical trial and the numerous variables that can be changed, it is possible that the data generated from this trial may not provide evidence of clinical benefit. For example, physicians may use needles of differing lengths in the infusion procedure, or may use differing infusion speeds or infusion angles. These differences could affect the dose of VY-AADC01 that ultimately reaches the putamen, leading to highly variable results.</w:t>
      </w:r>
    </w:p>
    <w:p>
      <w:pPr>
        <w:spacing w:after="0" w:line="18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Furthermore, we plan to use a slightly modified version of VY-AADC01 in future clinical trials compared to the version of VY-AADC01 used in the prior Phase 1 clinical trial and in the ongoing Phase 1b clinical trial. In order to use the modified version of VY-AADC01 in our future clinical trials, we will need to complete preclinical studies that demonstrate comparability between the current version and the modified version of VY-AADC01. Although we believe the current version of VY-AADC01 to be substantially similar to the modified version, we can provide no assurances that we will be able to successfully complete such preclinical studies and demonstrate comparability.</w:t>
      </w:r>
    </w:p>
    <w:p>
      <w:pPr>
        <w:spacing w:after="0" w:line="187"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b w:val="1"/>
          <w:bCs w:val="1"/>
          <w:i w:val="1"/>
          <w:iCs w:val="1"/>
          <w:color w:val="auto"/>
        </w:rPr>
        <w:t>We may encounter substantial delays in commencement, enrollment or completion of our clinical trials or we may fail to demonstrate safety and efficacy to the satisfaction of applicable regulatory authorities, which could prevent us from commercializing our current and future product candidates on a timely basis, if at all.</w:t>
      </w:r>
    </w:p>
    <w:p>
      <w:pPr>
        <w:spacing w:after="0" w:line="179" w:lineRule="exact"/>
        <w:rPr>
          <w:sz w:val="20"/>
          <w:szCs w:val="20"/>
          <w:color w:val="auto"/>
        </w:rPr>
      </w:pPr>
    </w:p>
    <w:p>
      <w:pPr>
        <w:ind w:right="360" w:firstLine="341"/>
        <w:spacing w:after="0" w:line="315" w:lineRule="auto"/>
        <w:rPr>
          <w:sz w:val="20"/>
          <w:szCs w:val="20"/>
          <w:color w:val="auto"/>
        </w:rPr>
      </w:pPr>
      <w:r>
        <w:rPr>
          <w:rFonts w:ascii="Arial" w:cs="Arial" w:eastAsia="Arial" w:hAnsi="Arial"/>
          <w:sz w:val="16"/>
          <w:szCs w:val="16"/>
          <w:color w:val="auto"/>
        </w:rPr>
        <w:t>Before obtaining marketing approval from regulatory authorities for the sale of our current and future product candidates, we must conduct extensive clinical trials to demonstrate the safety and efficacy of the product candidates. Clinical trials are expensive, time-consuming and outcomes are uncertain.</w:t>
      </w:r>
    </w:p>
    <w:p>
      <w:pPr>
        <w:spacing w:after="0" w:line="146"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We have very limited experience with clinical trials. To date, we have neither commenced nor completed any clinical trials. The ongoing Phase 1b clinical trial of VY-AADC01 is being conducted by UCSF. We cannot guarantee that any clinical trials will be conducted as planned or completed on schedule, if at all. A clinical trial failure can occur at any stage of testing.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40" w:firstLine="341"/>
        <w:spacing w:after="0" w:line="270"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192"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perceived risks and benefits of AAV gene therapy-based approaches for the treatment of CNS diseases;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size of the patient population and process for identifying patients;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 of the trial protocol;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eligibility and exclusion criteria;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patients with preexisting antibodies to the vector that preclude their participation in the trial;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study;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competing therapies and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severity of the disease under investigation;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of genetic testing for potential patients;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patients;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obtain and maintain patient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 that enrolled patients will drop out before completion of the trial;</w:t>
      </w:r>
    </w:p>
    <w:p>
      <w:pPr>
        <w:spacing w:after="0" w:line="237"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inability to locate appropriately trained physicians to conduct such clinical trials, which may be particularly difficult for the VY-AADC01 clinical trial, in which we are using the ClearPoint System, which is only available at a small number of academic medical centers in the United States;</w:t>
      </w:r>
    </w:p>
    <w:p>
      <w:pPr>
        <w:spacing w:after="0" w:line="149" w:lineRule="exact"/>
        <w:rPr>
          <w:rFonts w:ascii="Arial" w:cs="Arial" w:eastAsia="Arial" w:hAnsi="Arial"/>
          <w:sz w:val="15"/>
          <w:szCs w:val="15"/>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patient referral practices of physicians;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monitor patients adequately during and after treatment.</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205"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clinical research organizations, or CROs, and physicians;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different standards for the conduct of clinical trials;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absence in some countries of established groups with sufficient regulatory expertise for review of AAV gene therapy protocols;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locate qualified local partners or collaborators for such clinical trials; and</w:t>
      </w:r>
    </w:p>
    <w:p>
      <w:pPr>
        <w:spacing w:after="0" w:line="237" w:lineRule="exact"/>
        <w:rPr>
          <w:rFonts w:ascii="Arial" w:cs="Arial" w:eastAsia="Arial" w:hAnsi="Arial"/>
          <w:sz w:val="17"/>
          <w:szCs w:val="17"/>
          <w:color w:val="auto"/>
        </w:rPr>
      </w:pPr>
    </w:p>
    <w:p>
      <w:pPr>
        <w:ind w:left="1060" w:right="820" w:hanging="531"/>
        <w:spacing w:after="0" w:line="28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560" w:firstLine="341"/>
        <w:spacing w:after="0" w:line="282" w:lineRule="auto"/>
        <w:rPr>
          <w:sz w:val="20"/>
          <w:szCs w:val="20"/>
          <w:color w:val="auto"/>
        </w:rPr>
      </w:pPr>
      <w:r>
        <w:rPr>
          <w:rFonts w:ascii="Arial" w:cs="Arial" w:eastAsia="Arial" w:hAnsi="Arial"/>
          <w:sz w:val="17"/>
          <w:szCs w:val="17"/>
          <w:color w:val="auto"/>
        </w:rPr>
        <w:t>If we have difficulty enrolling a sufficient number of patients to conduct our clinical trials as planned, we may need to delay, limit or terminate ongoing or planned clinical trials, any of which would harm our business, financial condition, results of operations and prospects.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events that may prevent successful or timely completion of clinical development include:</w:t>
      </w:r>
    </w:p>
    <w:p>
      <w:pPr>
        <w:spacing w:after="0" w:line="237"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reaching a consensus with regulatory authorities on trial design;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CROs, and clinical trial sites;</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opening clinical trial sites or obtaining required IRB or independent ethics committee approval at each clinical trial site;</w:t>
      </w:r>
    </w:p>
    <w:p>
      <w:pPr>
        <w:spacing w:after="0" w:line="250"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imposition of a clinical hold by regulatory authorities as a result of a serious adverse event or after an inspection of our clinical trial operations or trial sites;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by us, any CROs we engage or any other third parties to adhere to clinical trial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perform in accordance with the FDA's good clinical practices, or GCP, or applicable regulatory guidelines in the European Union;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by physicians to adhere to delivery protocols leading to variable results;</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the testing, validation, manufacturing and delivery of our product candidates to the clinical sites, including delays by third parties with whom we have contracted to perform certain of those functions;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having patients complete participation in a trial or return for post-treatment follow-up;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trial sites or patients dropping out of a trial;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clinical observation or analysis of the resulting data;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occurrence of serious adverse events associated with the product candidate that are viewed to outweigh its potential benefits;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224" w:lineRule="exact"/>
        <w:rPr>
          <w:sz w:val="20"/>
          <w:szCs w:val="20"/>
          <w:color w:val="auto"/>
        </w:rPr>
      </w:pPr>
    </w:p>
    <w:p>
      <w:pPr>
        <w:ind w:firstLine="332"/>
        <w:spacing w:after="0" w:line="306" w:lineRule="auto"/>
        <w:rPr>
          <w:sz w:val="20"/>
          <w:szCs w:val="20"/>
          <w:color w:val="auto"/>
        </w:rPr>
      </w:pPr>
      <w:r>
        <w:rPr>
          <w:rFonts w:ascii="Arial" w:cs="Arial" w:eastAsia="Arial" w:hAnsi="Arial"/>
          <w:sz w:val="15"/>
          <w:szCs w:val="15"/>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59" w:lineRule="exact"/>
        <w:rPr>
          <w:sz w:val="20"/>
          <w:szCs w:val="20"/>
          <w:color w:val="auto"/>
        </w:rPr>
      </w:pPr>
    </w:p>
    <w:p>
      <w:pPr>
        <w:ind w:right="160" w:firstLine="332"/>
        <w:spacing w:after="0" w:line="282" w:lineRule="auto"/>
        <w:rPr>
          <w:sz w:val="20"/>
          <w:szCs w:val="20"/>
          <w:color w:val="auto"/>
        </w:rPr>
      </w:pPr>
      <w:r>
        <w:rPr>
          <w:rFonts w:ascii="Arial" w:cs="Arial" w:eastAsia="Arial" w:hAnsi="Arial"/>
          <w:sz w:val="17"/>
          <w:szCs w:val="17"/>
          <w:color w:val="auto"/>
        </w:rPr>
        <w:t>Additionally, if the results of our clinical trials are inconclusive or if there are safety concerns or serious adverse events associated with our product candidates, we may:</w:t>
      </w:r>
    </w:p>
    <w:p>
      <w:pPr>
        <w:spacing w:after="0" w:line="183"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 if at all;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changes in the way the product is administered;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237"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regulatory authorities withdraw, or suspend, their approval of the product or impose restrictions on its distribution in the form of a modified risk evaluation and mitigation strategy;</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the addition of labeling statements, such as warnings or contraindications;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sued;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experience damage to our reputation.</w:t>
      </w:r>
    </w:p>
    <w:p>
      <w:pPr>
        <w:spacing w:after="0" w:line="224" w:lineRule="exact"/>
        <w:rPr>
          <w:sz w:val="20"/>
          <w:szCs w:val="20"/>
          <w:color w:val="auto"/>
        </w:rPr>
      </w:pPr>
    </w:p>
    <w:p>
      <w:pPr>
        <w:ind w:right="260"/>
        <w:spacing w:after="0" w:line="394" w:lineRule="auto"/>
        <w:rPr>
          <w:sz w:val="20"/>
          <w:szCs w:val="20"/>
          <w:color w:val="auto"/>
        </w:rPr>
      </w:pPr>
      <w:r>
        <w:rPr>
          <w:rFonts w:ascii="Arial" w:cs="Arial" w:eastAsia="Arial" w:hAnsi="Arial"/>
          <w:sz w:val="14"/>
          <w:szCs w:val="14"/>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01"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In past clinical trials that were conducted by others with non-AAV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events, we may be required to halt or delay further clinical development of our product candidates.</w:t>
      </w:r>
    </w:p>
    <w:p>
      <w:pPr>
        <w:spacing w:after="0" w:line="187"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side effects. VY-AADC01 and VY-HTT01 will be administered directly to the targeted cells in the brain, requiring the patient to undergo brain surgery. In a previous Phase 1 clinical trial conducted by UCSF, three patients experienced hemorrhages caused by the surgical procedure for administering VY-AADC01. We are using the ClearPoint System, which has only been used in limited gene therapy neurosurgeries to date, in the ongoing Phase 1b clinical trial of VY-AADC01 to provide accurate placement of the cannula in the putamen, to allow for real-time, intra-operative MRI to assist the physician in visualizing the delivery of VY-AADC01 to the putamen and to avoid specific blood vessels during the duration of the surgical procedure, with the goal of reducing the risk of hemorrhages. One patient in the ongoing Phase 1b trial at UCSF experienced two SAEs, a pulmonary embolism, or blood clot in the lungs, and related heart arrhythmia, or irregular heartbeat, which were determined to be related to the surgical procedure and prolonged immobility, not VY-AADC01. If other side effects were to occur in connection with the surgical procedure, our clinical trials could be suspended or terminated.</w:t>
      </w:r>
    </w:p>
    <w:p>
      <w:pPr>
        <w:spacing w:after="0" w:line="192"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If in the future we are unable to demonstrate that such side effects were caused by the administration process or related procedures, the FDA, the European Commission, the EMA or other regulatory authorities could order us to cease further development of, or deny approval of, our product candidates for any or all targeted indications. Even if we are able to demonstrate that any future SAEs are not product-related,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75" w:lineRule="exact"/>
        <w:rPr>
          <w:sz w:val="20"/>
          <w:szCs w:val="20"/>
          <w:color w:val="auto"/>
        </w:rPr>
      </w:pPr>
    </w:p>
    <w:p>
      <w:pPr>
        <w:ind w:right="160" w:firstLine="332"/>
        <w:spacing w:after="0" w:line="265"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spacing w:after="0" w:line="199"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suspend or withdraw approvals of such product candidate;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w:t>
      </w:r>
    </w:p>
    <w:p>
      <w:pPr>
        <w:spacing w:after="0" w:line="250" w:lineRule="exact"/>
        <w:rPr>
          <w:rFonts w:ascii="Arial" w:cs="Arial" w:eastAsia="Arial" w:hAnsi="Arial"/>
          <w:sz w:val="17"/>
          <w:szCs w:val="17"/>
          <w:color w:val="auto"/>
        </w:rPr>
      </w:pPr>
    </w:p>
    <w:p>
      <w:pPr>
        <w:ind w:left="5620" w:right="2800" w:hanging="5091"/>
        <w:spacing w:after="0" w:line="540" w:lineRule="auto"/>
        <w:tabs>
          <w:tab w:leader="none" w:pos="10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administered or conduct additional clinical trials;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and could significantly harm our business, prospects, financial condition and results of operations.</w:t>
      </w:r>
    </w:p>
    <w:p>
      <w:pPr>
        <w:spacing w:after="0" w:line="17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7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biologics license application, or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6"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We believe that all of our current programs may qualify for orphan drug designation.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more effective or makes a major contribution to patient care.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European Union, marketing authorization may be granted to a similar medicinal product for the same orphan indication if:</w:t>
      </w:r>
    </w:p>
    <w:p>
      <w:pPr>
        <w:spacing w:after="0" w:line="237" w:lineRule="exact"/>
        <w:rPr>
          <w:sz w:val="20"/>
          <w:szCs w:val="20"/>
          <w:color w:val="auto"/>
        </w:rPr>
      </w:pPr>
    </w:p>
    <w:p>
      <w:pPr>
        <w:ind w:left="1060" w:right="12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236" w:lineRule="exact"/>
        <w:rPr>
          <w:sz w:val="20"/>
          <w:szCs w:val="20"/>
          <w:color w:val="auto"/>
        </w:rPr>
      </w:pPr>
    </w:p>
    <w:p>
      <w:pPr>
        <w:ind w:right="460"/>
        <w:spacing w:after="0" w:line="315" w:lineRule="auto"/>
        <w:rPr>
          <w:sz w:val="20"/>
          <w:szCs w:val="20"/>
          <w:color w:val="auto"/>
        </w:rPr>
      </w:pPr>
      <w:r>
        <w:rPr>
          <w:rFonts w:ascii="Arial" w:cs="Arial" w:eastAsia="Arial" w:hAnsi="Arial"/>
          <w:sz w:val="16"/>
          <w:szCs w:val="16"/>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46"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We may seek a breakthrough therapy designation for some of our product candidates.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2"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174" w:lineRule="exact"/>
        <w:rPr>
          <w:sz w:val="20"/>
          <w:szCs w:val="20"/>
          <w:color w:val="auto"/>
        </w:rPr>
      </w:pPr>
    </w:p>
    <w:p>
      <w:pPr>
        <w:ind w:right="560"/>
        <w:spacing w:after="0" w:line="282" w:lineRule="auto"/>
        <w:rPr>
          <w:sz w:val="20"/>
          <w:szCs w:val="20"/>
          <w:color w:val="auto"/>
        </w:rPr>
      </w:pPr>
      <w:r>
        <w:rPr>
          <w:rFonts w:ascii="Arial" w:cs="Arial" w:eastAsia="Arial" w:hAnsi="Arial"/>
          <w:sz w:val="17"/>
          <w:szCs w:val="17"/>
          <w:b w:val="1"/>
          <w:bCs w:val="1"/>
          <w:i w:val="1"/>
          <w:iCs w:val="1"/>
          <w:color w:val="auto"/>
        </w:rPr>
        <w:t>Even if we successfully complete the necessary clinical trials, we cannot predict when, or if, we will obtain regulatory approval to commercialize a product candidate and the approval may be for a more narrow indication than we seek.</w:t>
      </w:r>
    </w:p>
    <w:p>
      <w:pPr>
        <w:spacing w:after="0" w:line="170" w:lineRule="exact"/>
        <w:rPr>
          <w:sz w:val="20"/>
          <w:szCs w:val="20"/>
          <w:color w:val="auto"/>
        </w:rPr>
      </w:pPr>
    </w:p>
    <w:p>
      <w:pPr>
        <w:ind w:right="20" w:firstLine="338"/>
        <w:spacing w:after="0" w:line="306" w:lineRule="auto"/>
        <w:rPr>
          <w:sz w:val="20"/>
          <w:szCs w:val="20"/>
          <w:color w:val="auto"/>
        </w:rPr>
      </w:pPr>
      <w:r>
        <w:rPr>
          <w:rFonts w:ascii="Arial" w:cs="Arial" w:eastAsia="Arial" w:hAnsi="Arial"/>
          <w:sz w:val="15"/>
          <w:szCs w:val="15"/>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obtain regulatory approval for a product candidate, our products will remain subject to regulatory oversight.</w:t>
      </w:r>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9" w:lineRule="exact"/>
        <w:rPr>
          <w:sz w:val="20"/>
          <w:szCs w:val="20"/>
          <w:color w:val="auto"/>
        </w:rPr>
      </w:pPr>
    </w:p>
    <w:p>
      <w:pPr>
        <w:ind w:right="300" w:firstLine="341"/>
        <w:spacing w:after="0" w:line="306" w:lineRule="auto"/>
        <w:rPr>
          <w:sz w:val="20"/>
          <w:szCs w:val="20"/>
          <w:color w:val="auto"/>
        </w:rPr>
      </w:pPr>
      <w:r>
        <w:rPr>
          <w:rFonts w:ascii="Arial" w:cs="Arial" w:eastAsia="Arial" w:hAnsi="Arial"/>
          <w:sz w:val="15"/>
          <w:szCs w:val="15"/>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237"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issue a warning letter asserting that we are in violation of the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an injunction or impose administrative, civil or criminal penalties or monetary fines;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refuse to approve a pending BLA or comparable foreign marketing application, or any supplements thereto, submitted by us or our strategic partners;</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 the marketing or manufacturing of the product;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seize or detain the product or otherwise require the withdrawal of the product from the market;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refuse to permit the import or export of products;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refuse to allow us to enter into supply contracts, including government contracts.</w:t>
      </w:r>
    </w:p>
    <w:p>
      <w:pPr>
        <w:spacing w:after="0" w:line="224"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79" w:lineRule="exact"/>
        <w:rPr>
          <w:sz w:val="20"/>
          <w:szCs w:val="20"/>
          <w:color w:val="auto"/>
        </w:rPr>
      </w:pPr>
    </w:p>
    <w:p>
      <w:pPr>
        <w:ind w:right="340" w:firstLine="341"/>
        <w:spacing w:after="0" w:line="315" w:lineRule="auto"/>
        <w:rPr>
          <w:sz w:val="20"/>
          <w:szCs w:val="20"/>
          <w:color w:val="auto"/>
        </w:rPr>
      </w:pPr>
      <w:r>
        <w:rPr>
          <w:rFonts w:ascii="Arial" w:cs="Arial" w:eastAsia="Arial" w:hAnsi="Arial"/>
          <w:sz w:val="16"/>
          <w:szCs w:val="16"/>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4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79" w:lineRule="exact"/>
        <w:rPr>
          <w:sz w:val="20"/>
          <w:szCs w:val="20"/>
          <w:color w:val="auto"/>
        </w:rPr>
      </w:pPr>
    </w:p>
    <w:p>
      <w:pPr>
        <w:ind w:right="220" w:firstLine="338"/>
        <w:spacing w:after="0" w:line="294" w:lineRule="auto"/>
        <w:rPr>
          <w:sz w:val="20"/>
          <w:szCs w:val="20"/>
          <w:color w:val="auto"/>
        </w:rPr>
      </w:pPr>
      <w:r>
        <w:rPr>
          <w:rFonts w:ascii="Arial" w:cs="Arial" w:eastAsia="Arial" w:hAnsi="Arial"/>
          <w:sz w:val="16"/>
          <w:szCs w:val="16"/>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6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are aware of several companies focused on developing gene therapies in various indications, including bluebird bio, Inc., Applied Genetic Technologies Corporation, Asklepios BioPharmaceutical, Inc., Audentes Therapeutics, Inc., Avalanche Biotechnologies, Inc., Dimension Therapeutics, Inc., GenSight Biologies SA, NightstaRx Ltd, REGENXBIO Inc., uniQure and Spark Therapeutics, Inc.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main competitors for our specific programs include:</w:t>
      </w:r>
    </w:p>
    <w:p>
      <w:pPr>
        <w:spacing w:after="0" w:line="237" w:lineRule="exact"/>
        <w:rPr>
          <w:sz w:val="20"/>
          <w:szCs w:val="20"/>
          <w:color w:val="auto"/>
        </w:rPr>
      </w:pPr>
    </w:p>
    <w:p>
      <w:pPr>
        <w:ind w:left="1060" w:hanging="531"/>
        <w:spacing w:after="0" w:line="265"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VY-AADC01 will compete with a variety of therapies currently marketed and in development for advanced Parkinson's disease, including deep brain simulation marked by Medtronic plc, St. Jude Medical Inc. and other medical device companies, DUOPA/Duodopa marketed by AbbVie Inc., as well as AMT-090 or AAV-GDNF in development at uniQure, OXB-102/Prosavin in development at Oxford Biomedica plc and ND0612H in development at NeuroDerm Ltd.</w:t>
      </w:r>
    </w:p>
    <w:p>
      <w:pPr>
        <w:spacing w:after="0" w:line="211" w:lineRule="exact"/>
        <w:rPr>
          <w:rFonts w:ascii="Arial" w:cs="Arial" w:eastAsia="Arial" w:hAnsi="Arial"/>
          <w:sz w:val="17"/>
          <w:szCs w:val="17"/>
          <w:color w:val="auto"/>
        </w:rPr>
      </w:pPr>
    </w:p>
    <w:p>
      <w:pPr>
        <w:ind w:left="1060" w:right="5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VY-SOD101 for a monogenic form of ALS will potentially compete with ISIS 333611 being developed by Isis Pharmaceuticals, Inc., or Isis, in collaboration with Biogen Idec., or Biogen and Tirasemtiv being developed by Cytokinetics, Inc., or Cytokinetics;</w:t>
      </w:r>
    </w:p>
    <w:p>
      <w:pPr>
        <w:spacing w:after="0" w:line="182" w:lineRule="exact"/>
        <w:rPr>
          <w:rFonts w:ascii="Arial" w:cs="Arial" w:eastAsia="Arial" w:hAnsi="Arial"/>
          <w:sz w:val="17"/>
          <w:szCs w:val="17"/>
          <w:color w:val="auto"/>
        </w:rPr>
      </w:pPr>
    </w:p>
    <w:p>
      <w:pPr>
        <w:ind w:left="1060" w:right="40" w:hanging="531"/>
        <w:spacing w:after="0" w:line="270"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VY-FXN01 for Friedreich's ataxia will potentially compete with RG2833 being developed by BioMarin Pharmaceutical Inc., AAV-FXN being developed by AAVLife, and frataxin targeted gene therapy being developed by Agilis Biotherapeutics, LLC in collaboration with Intrexon Corporation and BB-FA being developed by BioBlast Pharma Ltd., or BioBlast;</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VY-HTT01 for Huntington's disease will potentially compete with ISIS-HTTRx being developed by Isis in collaboration with F. Hoffman-La</w:t>
      </w:r>
    </w:p>
    <w:p>
      <w:pPr>
        <w:spacing w:after="0" w:line="20" w:lineRule="exact"/>
        <w:rPr>
          <w:rFonts w:ascii="Arial" w:cs="Arial" w:eastAsia="Arial" w:hAnsi="Arial"/>
          <w:sz w:val="17"/>
          <w:szCs w:val="17"/>
          <w:color w:val="auto"/>
        </w:rPr>
      </w:pPr>
    </w:p>
    <w:p>
      <w:pPr>
        <w:ind w:left="1060" w:right="120"/>
        <w:spacing w:after="0" w:line="275" w:lineRule="auto"/>
        <w:rPr>
          <w:rFonts w:ascii="Arial" w:cs="Arial" w:eastAsia="Arial" w:hAnsi="Arial"/>
          <w:sz w:val="17"/>
          <w:szCs w:val="17"/>
          <w:color w:val="auto"/>
        </w:rPr>
      </w:pPr>
      <w:r>
        <w:rPr>
          <w:rFonts w:ascii="Arial" w:cs="Arial" w:eastAsia="Arial" w:hAnsi="Arial"/>
          <w:sz w:val="17"/>
          <w:szCs w:val="17"/>
          <w:color w:val="auto"/>
        </w:rPr>
        <w:t>Roche Ltd., or Roche, gene editing approach being developed by Sangamo Biosciences, Inc. in collaboration with Shire plc, and another gene therapy being developed by uniQure; and</w:t>
      </w:r>
    </w:p>
    <w:p>
      <w:pPr>
        <w:spacing w:after="0" w:line="78" w:lineRule="exact"/>
        <w:rPr>
          <w:rFonts w:ascii="Arial" w:cs="Arial" w:eastAsia="Arial" w:hAnsi="Arial"/>
          <w:sz w:val="17"/>
          <w:szCs w:val="17"/>
          <w:color w:val="auto"/>
        </w:rPr>
      </w:pPr>
    </w:p>
    <w:p>
      <w:pPr>
        <w:ind w:left="1060" w:right="60" w:hanging="531"/>
        <w:spacing w:after="0" w:line="291"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VY-SMN101 for spinal muscular atrophy will potentially compete with ChariSMA being developed by AveXis Inc., ISIS-SMN</w:t>
      </w:r>
      <w:r>
        <w:rPr>
          <w:rFonts w:ascii="Arial" w:cs="Arial" w:eastAsia="Arial" w:hAnsi="Arial"/>
          <w:sz w:val="26"/>
          <w:szCs w:val="26"/>
          <w:color w:val="auto"/>
          <w:vertAlign w:val="subscript"/>
        </w:rPr>
        <w:t>RX</w:t>
      </w:r>
      <w:r>
        <w:rPr>
          <w:rFonts w:ascii="Arial" w:cs="Arial" w:eastAsia="Arial" w:hAnsi="Arial"/>
          <w:sz w:val="16"/>
          <w:szCs w:val="16"/>
          <w:color w:val="auto"/>
        </w:rPr>
        <w:t xml:space="preserve"> being developed by Isis and Biogen, LMI-070 being developed by Novartis AC, RO6885247 being developed by PTC Therapeutics, Inc. and Roche, BBrm1 being developed by BioBlast and CK-2127107 being developed by Cytokinetics in collaboration with Astellas Pharma US, Inc.</w:t>
      </w:r>
    </w:p>
    <w:p>
      <w:pPr>
        <w:spacing w:after="0" w:line="16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7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85"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right="80" w:firstLine="332"/>
        <w:spacing w:after="0" w:line="296" w:lineRule="auto"/>
        <w:rPr>
          <w:sz w:val="20"/>
          <w:szCs w:val="20"/>
          <w:color w:val="auto"/>
        </w:rPr>
      </w:pPr>
      <w:r>
        <w:rPr>
          <w:rFonts w:ascii="Arial" w:cs="Arial" w:eastAsia="Arial" w:hAnsi="Arial"/>
          <w:sz w:val="15"/>
          <w:szCs w:val="15"/>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68"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Third Parties</w:t>
      </w:r>
    </w:p>
    <w:p>
      <w:pPr>
        <w:spacing w:after="0" w:line="228" w:lineRule="exact"/>
        <w:rPr>
          <w:sz w:val="20"/>
          <w:szCs w:val="20"/>
          <w:color w:val="auto"/>
        </w:rPr>
      </w:pPr>
    </w:p>
    <w:p>
      <w:pPr>
        <w:ind w:right="560"/>
        <w:spacing w:after="0" w:line="282" w:lineRule="auto"/>
        <w:rPr>
          <w:sz w:val="20"/>
          <w:szCs w:val="20"/>
          <w:color w:val="auto"/>
        </w:rPr>
      </w:pPr>
      <w:r>
        <w:rPr>
          <w:rFonts w:ascii="Arial" w:cs="Arial" w:eastAsia="Arial" w:hAnsi="Arial"/>
          <w:sz w:val="17"/>
          <w:szCs w:val="17"/>
          <w:b w:val="1"/>
          <w:bCs w:val="1"/>
          <w:i w:val="1"/>
          <w:iCs w:val="1"/>
          <w:color w:val="auto"/>
        </w:rPr>
        <w:t>To date, all of our revenue has been derived from our collaboration with Genzyme, and if this collaboration agreement were to be terminated, our business financial condition, results of operations and prospects would be harmed.</w:t>
      </w:r>
    </w:p>
    <w:p>
      <w:pPr>
        <w:spacing w:after="0" w:line="170" w:lineRule="exact"/>
        <w:rPr>
          <w:sz w:val="20"/>
          <w:szCs w:val="20"/>
          <w:color w:val="auto"/>
        </w:rPr>
      </w:pPr>
    </w:p>
    <w:p>
      <w:pPr>
        <w:ind w:firstLine="341"/>
        <w:spacing w:after="0" w:line="293" w:lineRule="auto"/>
        <w:rPr>
          <w:sz w:val="20"/>
          <w:szCs w:val="20"/>
          <w:color w:val="auto"/>
        </w:rPr>
      </w:pPr>
      <w:r>
        <w:rPr>
          <w:rFonts w:ascii="Arial" w:cs="Arial" w:eastAsia="Arial" w:hAnsi="Arial"/>
          <w:sz w:val="15"/>
          <w:szCs w:val="15"/>
          <w:color w:val="auto"/>
        </w:rPr>
        <w:t>In February 2015, we entered into a collaboration agreement with Genzyme to leverage our combined expertise and assets in gene therapy for CNS diseases. Under the agreement, we received an upfront commitment of approximately $100 million. Pursuant to the agreement, we granted Genzyme an exclusive option to license, develop and commercialize (i) ex-U.S. rights to our advanced Parkinson's disease, Friedreich's ataxia and Huntington's disease programs and a future program, or the Split Territory Programs, with an incremental option to co-commercialize the product candidate from our Huntington's disease program in the United States and</w:t>
      </w:r>
    </w:p>
    <w:p>
      <w:pPr>
        <w:spacing w:after="0" w:line="3" w:lineRule="exact"/>
        <w:rPr>
          <w:sz w:val="20"/>
          <w:szCs w:val="20"/>
          <w:color w:val="auto"/>
        </w:rPr>
      </w:pPr>
    </w:p>
    <w:p>
      <w:pPr>
        <w:ind w:right="60" w:firstLine="5"/>
        <w:spacing w:after="0" w:line="263" w:lineRule="auto"/>
        <w:tabs>
          <w:tab w:leader="none" w:pos="251" w:val="left"/>
        </w:tabs>
        <w:numPr>
          <w:ilvl w:val="0"/>
          <w:numId w:val="25"/>
        </w:numPr>
        <w:rPr>
          <w:rFonts w:ascii="Arial" w:cs="Arial" w:eastAsia="Arial" w:hAnsi="Arial"/>
          <w:sz w:val="17"/>
          <w:szCs w:val="17"/>
          <w:color w:val="auto"/>
        </w:rPr>
      </w:pPr>
      <w:r>
        <w:rPr>
          <w:rFonts w:ascii="Arial" w:cs="Arial" w:eastAsia="Arial" w:hAnsi="Arial"/>
          <w:sz w:val="17"/>
          <w:szCs w:val="17"/>
          <w:color w:val="auto"/>
        </w:rPr>
        <w:t>worldwide rights to our SMA program. If Genzyme exercises an option for a Split Territory Program, except for our advanced Parkinson's disease program, it is required to make an option exercise payment to us. Furthermore, Genzyme shall pay up to $645 million in the aggregate upon the achievement of specified regulatory and commercial milestones, and will pay us tiered royalty payments based on a percentage of net sales of product candidates from the programs for which it is exercised its option, or the Optioned Programs.</w:t>
      </w:r>
    </w:p>
    <w:p>
      <w:pPr>
        <w:spacing w:after="0" w:line="186" w:lineRule="exact"/>
        <w:rPr>
          <w:sz w:val="20"/>
          <w:szCs w:val="20"/>
          <w:color w:val="auto"/>
        </w:rPr>
      </w:pPr>
    </w:p>
    <w:p>
      <w:pPr>
        <w:ind w:right="60" w:firstLine="341"/>
        <w:spacing w:after="0" w:line="297" w:lineRule="auto"/>
        <w:rPr>
          <w:sz w:val="20"/>
          <w:szCs w:val="20"/>
          <w:color w:val="auto"/>
        </w:rPr>
      </w:pPr>
      <w:r>
        <w:rPr>
          <w:rFonts w:ascii="Arial" w:cs="Arial" w:eastAsia="Arial" w:hAnsi="Arial"/>
          <w:sz w:val="15"/>
          <w:szCs w:val="15"/>
          <w:color w:val="auto"/>
        </w:rPr>
        <w:t>Following Genzyme's exercise of an option for a program, Genzyme will have sole responsibility for the development and commercialization of the product candidates from such program in the applicable territory. Genzyme will have the sole discretion to determine and direct its efforts and resources, including the ability to discontinue all efforts and resources, it applies to the development and, if approval is obtained, commercialization and marketing of the product candidates covered by the Optioned Programs in the applicable territories. Genzyme may not be effective in obtaining approvals for the product candidates developed from the Optioned Programs or in marketing, or arranging for necessary supply, manufacturing or distribution relationships for, any approved products. Furthermore, Genzyme may change its strategic focus or pursue alternative technologies in a manner that results in reduced, delayed or no revenue to us. Genzyme has a variety of marketed products and product candidates under collaboration with other companies, including some of our competitors, and its own corporate objectives may not be consistent with our best interests. If Genzyme fails to develop, obtain regulatory approval for or ultimately commercialize any product candidate from the Optioned Programs in the applicable territories, or if Genzyme terminates our collaboration, our business, financial condition, results of operations and prospects would be harmed. In addition, any dispute or litigation proceedings we may have with Genzyme in the future could delay development programs, create uncertainty as to ownership of or access to intellectual property rights, distract management from other business activities and generate substantial expense.</w:t>
      </w:r>
    </w:p>
    <w:p>
      <w:pPr>
        <w:spacing w:after="0" w:line="169" w:lineRule="exact"/>
        <w:rPr>
          <w:sz w:val="20"/>
          <w:szCs w:val="20"/>
          <w:color w:val="auto"/>
        </w:rPr>
      </w:pPr>
    </w:p>
    <w:p>
      <w:pPr>
        <w:ind w:right="180"/>
        <w:spacing w:after="0" w:line="394" w:lineRule="auto"/>
        <w:rPr>
          <w:sz w:val="20"/>
          <w:szCs w:val="20"/>
          <w:color w:val="auto"/>
        </w:rPr>
      </w:pPr>
      <w:r>
        <w:rPr>
          <w:rFonts w:ascii="Arial" w:cs="Arial" w:eastAsia="Arial" w:hAnsi="Arial"/>
          <w:sz w:val="14"/>
          <w:szCs w:val="14"/>
          <w:b w:val="1"/>
          <w:bCs w:val="1"/>
          <w:i w:val="1"/>
          <w:iCs w:val="1"/>
          <w:color w:val="auto"/>
        </w:rPr>
        <w:t>We expect to rely on the ClearPoint System for the foreseeable future for the delivery of our product candidates that are injected directly into targeted regions of the brain. If there are any issues with the ClearPoint System or the manufacturer of the ClearPoint System, our business could be adversely affected.</w:t>
      </w:r>
    </w:p>
    <w:p>
      <w:pPr>
        <w:spacing w:after="0" w:line="101"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The ClearPoint System is being used in the ongoing Phase 1b clinical trial of VY-AADC01 as a treatment for advanced Parkinson's disease, and we expect to continue to use the ClearPoint System in future clinical trials of VY-AADC01 and any other of our product candidates that are injected directly into the brain. Therefore, any issues with the ClearPoint System, such as a finding that use of the ClearPoint System causes adverse events or a product recall, or the manufacturer of the ClearPoint System, such as bankruptcy or a decision to stop production of the system due to lack of profitability, could delay the development or commercialization of certain of our product candidates, which would have an adverse effect on our business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enter into collaborations in the future with other third parties. If these collaborations are not successful, our business could be adversely affected.</w:t>
      </w:r>
    </w:p>
    <w:p>
      <w:pPr>
        <w:spacing w:after="0" w:line="247"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We may enter into additional collaborations in the future. Our ability to generate revenues from our collaborations will depend on our and our collaborators' abilities to successfully perform the functions assigned to each of us in these arrangements. In addition, our collaborators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relationship with any future collaborations may pose several risks, including the following:</w:t>
      </w:r>
    </w:p>
    <w:p>
      <w:pPr>
        <w:spacing w:after="0" w:line="237"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clinical trials conducted as part of these collaborations may not be successful;</w:t>
      </w:r>
    </w:p>
    <w:p>
      <w:pPr>
        <w:spacing w:after="0" w:line="237" w:lineRule="exact"/>
        <w:rPr>
          <w:rFonts w:ascii="Arial" w:cs="Arial" w:eastAsia="Arial" w:hAnsi="Arial"/>
          <w:sz w:val="17"/>
          <w:szCs w:val="17"/>
          <w:color w:val="auto"/>
        </w:rPr>
      </w:pPr>
    </w:p>
    <w:p>
      <w:pPr>
        <w:ind w:left="1060" w:right="120" w:hanging="531"/>
        <w:spacing w:after="0" w:line="270"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5" w:lineRule="exact"/>
        <w:rPr>
          <w:rFonts w:ascii="Arial" w:cs="Arial" w:eastAsia="Arial" w:hAnsi="Arial"/>
          <w:sz w:val="17"/>
          <w:szCs w:val="17"/>
          <w:color w:val="auto"/>
        </w:rPr>
      </w:pPr>
    </w:p>
    <w:p>
      <w:pPr>
        <w:ind w:left="1060" w:right="40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clinical trials, stop a clinical trial or abandon a product candidate, repeat or conduct new clinical trials or require a new formulation of a product candidate for clinical trials;</w:t>
      </w:r>
    </w:p>
    <w:p>
      <w:pPr>
        <w:spacing w:after="0" w:line="182" w:lineRule="exact"/>
        <w:rPr>
          <w:rFonts w:ascii="Arial" w:cs="Arial" w:eastAsia="Arial" w:hAnsi="Arial"/>
          <w:sz w:val="17"/>
          <w:szCs w:val="17"/>
          <w:color w:val="auto"/>
        </w:rPr>
      </w:pPr>
    </w:p>
    <w:p>
      <w:pPr>
        <w:ind w:left="1060" w:right="80" w:hanging="531"/>
        <w:spacing w:after="0" w:line="352" w:lineRule="auto"/>
        <w:tabs>
          <w:tab w:leader="none" w:pos="10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36" w:lineRule="exact"/>
        <w:rPr>
          <w:rFonts w:ascii="Arial" w:cs="Arial" w:eastAsia="Arial" w:hAnsi="Arial"/>
          <w:sz w:val="15"/>
          <w:szCs w:val="15"/>
          <w:color w:val="auto"/>
        </w:rPr>
      </w:pPr>
    </w:p>
    <w:p>
      <w:pPr>
        <w:ind w:left="1060" w:right="60" w:hanging="531"/>
        <w:spacing w:after="0" w:line="270"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05" w:lineRule="exact"/>
        <w:rPr>
          <w:rFonts w:ascii="Arial" w:cs="Arial" w:eastAsia="Arial" w:hAnsi="Arial"/>
          <w:sz w:val="17"/>
          <w:szCs w:val="17"/>
          <w:color w:val="auto"/>
        </w:rPr>
      </w:pPr>
    </w:p>
    <w:p>
      <w:pPr>
        <w:ind w:left="1060" w:right="600" w:hanging="531"/>
        <w:spacing w:after="0" w:line="315"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59" w:lineRule="exact"/>
        <w:rPr>
          <w:rFonts w:ascii="Arial" w:cs="Arial" w:eastAsia="Arial" w:hAnsi="Arial"/>
          <w:sz w:val="16"/>
          <w:szCs w:val="16"/>
          <w:color w:val="auto"/>
        </w:rPr>
      </w:pPr>
    </w:p>
    <w:p>
      <w:pPr>
        <w:ind w:left="1060" w:right="5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82"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211" w:lineRule="exact"/>
        <w:rPr>
          <w:rFonts w:ascii="Arial" w:cs="Arial" w:eastAsia="Arial" w:hAnsi="Arial"/>
          <w:sz w:val="17"/>
          <w:szCs w:val="17"/>
          <w:color w:val="auto"/>
        </w:rPr>
      </w:pPr>
    </w:p>
    <w:p>
      <w:pPr>
        <w:ind w:left="1060" w:right="320" w:hanging="531"/>
        <w:spacing w:after="0" w:line="315"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disputes may arise with respect to the ownership or inventorship of intellectual property developed pursuant to our collaborations;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237"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terms of our collaboration agreement may restrict us from entering into certain relationships with other third parties, thereby limiting our options; and</w:t>
      </w:r>
    </w:p>
    <w:p>
      <w:pPr>
        <w:spacing w:after="0" w:line="182" w:lineRule="exact"/>
        <w:rPr>
          <w:rFonts w:ascii="Arial" w:cs="Arial" w:eastAsia="Arial" w:hAnsi="Arial"/>
          <w:sz w:val="17"/>
          <w:szCs w:val="17"/>
          <w:color w:val="auto"/>
        </w:rPr>
      </w:pPr>
    </w:p>
    <w:p>
      <w:pPr>
        <w:ind w:left="1060" w:right="18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160" w:firstLine="341"/>
        <w:spacing w:after="0" w:line="262"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188"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If we decide to enter into future collaborations, we could face significant competition in seeking appropriate collaborators and the negotiation process is time-consuming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If we license rights to product candidates, we may not be able to realize the benefit of such transactions if we are unable to successfully integrate them with our existing operations and company culture.</w:t>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expect to rely on third parties to conduct, supervise and monitor our clinical trials, and if these third parties perform in an unsatisfactory manner, our business could be harmed.</w:t>
      </w:r>
    </w:p>
    <w:p>
      <w:pPr>
        <w:spacing w:after="0" w:line="170"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We expect to rely on CROs and clinical trial sites to ensure our clinical trials are conducted properly and on time. While we will have agreements governing their activities, we will have limited influence over their actual performance. We will control only certain aspects of our CROs' activities. Nevertheless, we will be responsible for ensuring that each of our clinical studies is conducted in accordance with the applicable protocol, legal, regulatory and scientific standards, and our reliance on the CROs does not relieve us of our regulatory responsibilities. For example, the only clinical trial of any of our product candidates or programs is being conducted by UCSF. If UCSF terminated the clinical trial of VY-AADC01, we would be required to find another party to conduct any new trials. We may be unable to find a new party to conduct new trials of our product candidates or obtain clinical supply of our product candidates or AAV vectors for such trials.</w:t>
      </w:r>
    </w:p>
    <w:p>
      <w:pPr>
        <w:spacing w:after="0" w:line="176"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and our CROs are required to comply with the FDA's GCPs for conducting, recording and reporting the results of IND-enabling studies and clinical studies to assure that the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future clinical trials may be deemed unreliable and the FDA may require us to perform additional clinical trials before approving any marketing applications. Upon inspection, the FDA may determine that our clinical trials did not comply with GCPs. In addition, our future clinical trials will require a sufficient number of patients to evaluate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safety and effectiveness of our product candidates. Accordingly, if our CROs fail to comply with these regulations or fail to recruit a sufficient number of patients, we may be required to repeat such clinical trials, which would delay the regulatory approval process.</w:t>
      </w:r>
    </w:p>
    <w:p>
      <w:pPr>
        <w:spacing w:after="0" w:line="17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Our CROs are not our employees, and we are therefore unable to directly monitor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that could harm our competitive position.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would be harmed, our costs could increase, and our ability to generate revenues could be delayed.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Manufacturing</w:t>
      </w:r>
    </w:p>
    <w:p>
      <w:pPr>
        <w:spacing w:after="0" w:line="228" w:lineRule="exact"/>
        <w:rPr>
          <w:sz w:val="20"/>
          <w:szCs w:val="20"/>
          <w:color w:val="auto"/>
        </w:rPr>
      </w:pPr>
    </w:p>
    <w:p>
      <w:pPr>
        <w:ind w:right="660"/>
        <w:spacing w:after="0" w:line="282" w:lineRule="auto"/>
        <w:rPr>
          <w:sz w:val="20"/>
          <w:szCs w:val="20"/>
          <w:color w:val="auto"/>
        </w:rPr>
      </w:pPr>
      <w:r>
        <w:rPr>
          <w:rFonts w:ascii="Arial" w:cs="Arial" w:eastAsia="Arial" w:hAnsi="Arial"/>
          <w:sz w:val="17"/>
          <w:szCs w:val="17"/>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70"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manufacturing process used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 and collaborators.</w:t>
      </w:r>
    </w:p>
    <w:p>
      <w:pPr>
        <w:spacing w:after="0" w:line="179"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collaborators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or our collaborators may encounter problems achieving adequate quantities and quality of clinical-grade materials that meet the FDA, EMA or other applicable standards or specifications with consistent and acceptable production yields and costs.</w:t>
      </w:r>
    </w:p>
    <w:p>
      <w:pPr>
        <w:spacing w:after="0" w:line="16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 addition, the FDA, EMA and other foreign regulatory authorities may require us to submit samples of any lot of any approved product together with the protocols showing the results of applicable tests at any time. Under some circumstances, the FDA,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74" w:lineRule="exact"/>
        <w:rPr>
          <w:sz w:val="20"/>
          <w:szCs w:val="20"/>
          <w:color w:val="auto"/>
        </w:rPr>
      </w:pPr>
    </w:p>
    <w:p>
      <w:pPr>
        <w:ind w:right="320" w:firstLine="338"/>
        <w:spacing w:after="0" w:line="352" w:lineRule="auto"/>
        <w:rPr>
          <w:sz w:val="20"/>
          <w:szCs w:val="20"/>
          <w:color w:val="auto"/>
        </w:rPr>
      </w:pPr>
      <w:r>
        <w:rPr>
          <w:rFonts w:ascii="Arial" w:cs="Arial" w:eastAsia="Arial" w:hAnsi="Arial"/>
          <w:sz w:val="15"/>
          <w:szCs w:val="15"/>
          <w:color w:val="auto"/>
        </w:rPr>
        <w:t>We or our collaborators also may encounter problems hiring and retaining the experienced scientific, quality-control and manufacturing personnel needed to operate our manufacturing processes, which could result in delays in production or difficulties in maintaining compliance with applicable regulatory requirements.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Any problems in our or our collaborators' manufacturing process or facilities could make us a less attractive collaborator for potential partners, including larger pharmaceutical companies and academic research institutions, which could limit our access to additional attractive development programs. Problems in our or our collaborators' manufacturing process could restrict our ability to meet market demand for our products.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Delays in obtaining regulatory approval of our or our collaborators' manufacturing process and facility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79" w:lineRule="exact"/>
        <w:rPr>
          <w:sz w:val="20"/>
          <w:szCs w:val="20"/>
          <w:color w:val="auto"/>
        </w:rPr>
      </w:pPr>
    </w:p>
    <w:p>
      <w:pPr>
        <w:ind w:right="20" w:firstLine="341"/>
        <w:spacing w:after="0" w:line="297" w:lineRule="auto"/>
        <w:rPr>
          <w:sz w:val="20"/>
          <w:szCs w:val="20"/>
          <w:color w:val="auto"/>
        </w:rPr>
      </w:pPr>
      <w:r>
        <w:rPr>
          <w:rFonts w:ascii="Arial" w:cs="Arial" w:eastAsia="Arial" w:hAnsi="Arial"/>
          <w:sz w:val="15"/>
          <w:szCs w:val="15"/>
          <w:color w:val="auto"/>
        </w:rPr>
        <w:t>Before we can begin to commercially manufacture our product candidates in our own facility, or the facility of a collaborator, we must obtain regulatory approval from the FDA for our manufacturing process and our collaborator's facility. A manufacturing authorization must also be obtained from the appropriate European Union regulatory authorities. To date, no cGMP gene therapy manufacturing facility in the United States has received approval from the FDA for the manufacture of an approved gene therapy product and, therefore, the timeframe required for us to obtain such approval is uncertain. In addition, we must pass a pre-approval inspection of our or our collaborator's manufacturing facility by the FDA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ongoing regulatory requirements could cause us to suspend production or put in place costly or time-consuming remedial measures.</w:t>
      </w:r>
    </w:p>
    <w:p>
      <w:pPr>
        <w:spacing w:after="0" w:line="247" w:lineRule="exact"/>
        <w:rPr>
          <w:sz w:val="20"/>
          <w:szCs w:val="20"/>
          <w:color w:val="auto"/>
        </w:rPr>
      </w:pPr>
    </w:p>
    <w:p>
      <w:pPr>
        <w:ind w:right="60" w:firstLine="338"/>
        <w:spacing w:after="0" w:line="306" w:lineRule="auto"/>
        <w:rPr>
          <w:sz w:val="20"/>
          <w:szCs w:val="20"/>
          <w:color w:val="auto"/>
        </w:rPr>
      </w:pPr>
      <w:r>
        <w:rPr>
          <w:rFonts w:ascii="Arial" w:cs="Arial" w:eastAsia="Arial" w:hAnsi="Arial"/>
          <w:sz w:val="15"/>
          <w:szCs w:val="15"/>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third-party manufacturers or us could harm our business, financial condition, results of operations and prospects.</w:t>
      </w:r>
    </w:p>
    <w:p>
      <w:pPr>
        <w:spacing w:after="0" w:line="15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If our third-party manufacturers or we fail to comply with applicable cGMP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could be harmed.</w:t>
      </w:r>
    </w:p>
    <w:p>
      <w:pPr>
        <w:spacing w:after="0" w:line="179" w:lineRule="exact"/>
        <w:rPr>
          <w:sz w:val="20"/>
          <w:szCs w:val="20"/>
          <w:color w:val="auto"/>
        </w:rPr>
      </w:pPr>
    </w:p>
    <w:p>
      <w:pPr>
        <w:ind w:right="280" w:firstLine="332"/>
        <w:spacing w:after="0" w:line="270" w:lineRule="auto"/>
        <w:rPr>
          <w:sz w:val="20"/>
          <w:szCs w:val="20"/>
          <w:color w:val="auto"/>
        </w:rPr>
      </w:pPr>
      <w:r>
        <w:rPr>
          <w:rFonts w:ascii="Arial" w:cs="Arial" w:eastAsia="Arial" w:hAnsi="Arial"/>
          <w:sz w:val="17"/>
          <w:szCs w:val="17"/>
          <w:color w:val="auto"/>
        </w:rPr>
        <w:t>Additionally, if supply from any third-party manufacturers is delayed or interrupted, there could be a significant disruption in the supply of our clinical or commercial material. We have an agreement in place with MassBiologics pursuant to which we are collaborating to establish scalable processes for manufacturing recombinant AAV vector products using cGMP, but we do not have any agreement in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place with MassBiologics or any other party to manufacture clinical or commercial material. Therefore, if we are unable to enter into an agreement with MassBiologics or another manufacturer to manufacture clinical or commercial material, or if our agreement with MassBiologics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187" w:lineRule="exact"/>
        <w:rPr>
          <w:sz w:val="20"/>
          <w:szCs w:val="20"/>
          <w:color w:val="auto"/>
        </w:rPr>
      </w:pPr>
    </w:p>
    <w:p>
      <w:pPr>
        <w:ind w:right="740"/>
        <w:spacing w:after="0" w:line="282" w:lineRule="auto"/>
        <w:rPr>
          <w:sz w:val="20"/>
          <w:szCs w:val="20"/>
          <w:color w:val="auto"/>
        </w:rPr>
      </w:pPr>
      <w:r>
        <w:rPr>
          <w:rFonts w:ascii="Arial" w:cs="Arial" w:eastAsia="Arial" w:hAnsi="Arial"/>
          <w:sz w:val="17"/>
          <w:szCs w:val="17"/>
          <w:b w:val="1"/>
          <w:bCs w:val="1"/>
          <w:i w:val="1"/>
          <w:iCs w:val="1"/>
          <w:color w:val="auto"/>
        </w:rPr>
        <w:t>Any contamination in the manufacturing process for our products, shortages of raw materials or failure of any of our key suppliers to deliver necessary components could result in delays in our clinical development or marketing schedules.</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170" w:lineRule="exact"/>
        <w:rPr>
          <w:sz w:val="20"/>
          <w:szCs w:val="20"/>
          <w:color w:val="auto"/>
        </w:rPr>
      </w:pPr>
    </w:p>
    <w:p>
      <w:pPr>
        <w:ind w:right="340" w:firstLine="341"/>
        <w:spacing w:after="0" w:line="265"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Interruptions in the supply of product candidates or inventory loss may harm our operating results and financial condition.</w:t>
      </w:r>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Our product candidates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must be stored and transported at temperatures within a certain range. If these environmental conditions deviate, our product candidates' remaining shelf-lives could be impaired or their efficacy and safety could be negatively impacted, making them no longer suitable for use.</w:t>
      </w:r>
    </w:p>
    <w:p>
      <w:pPr>
        <w:spacing w:after="0" w:line="190" w:lineRule="exact"/>
        <w:rPr>
          <w:sz w:val="20"/>
          <w:szCs w:val="20"/>
          <w:color w:val="auto"/>
        </w:rPr>
      </w:pPr>
    </w:p>
    <w:p>
      <w:pPr>
        <w:ind w:right="40" w:firstLine="338"/>
        <w:spacing w:after="0" w:line="306" w:lineRule="auto"/>
        <w:rPr>
          <w:sz w:val="20"/>
          <w:szCs w:val="20"/>
          <w:color w:val="auto"/>
        </w:rPr>
      </w:pPr>
      <w:r>
        <w:rPr>
          <w:rFonts w:ascii="Arial" w:cs="Arial" w:eastAsia="Arial" w:hAnsi="Arial"/>
          <w:sz w:val="15"/>
          <w:szCs w:val="15"/>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228"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70"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success of our business depends upon our ability to identify, develop and commercialize product candidates generated through our product engine. Research programs to identify new product candidates require substantial technical, financial and human resources. Although VY-AADC01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8" w:lineRule="exact"/>
        <w:rPr>
          <w:sz w:val="20"/>
          <w:szCs w:val="20"/>
          <w:color w:val="auto"/>
        </w:rPr>
      </w:pPr>
    </w:p>
    <w:p>
      <w:pPr>
        <w:ind w:right="140" w:firstLine="332"/>
        <w:spacing w:after="0" w:line="262"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8"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members of our management team, and to attract, retain and motivate qualified personnel.</w:t>
      </w:r>
    </w:p>
    <w:p>
      <w:pPr>
        <w:spacing w:after="0" w:line="236"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We are highly dependent on Steven M. Paul, M.D., our President and Chief Executive Officer as well as other members of our management team, the loss of whose services may adversely impact the achievement of our objectives. 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87" w:lineRule="exact"/>
        <w:rPr>
          <w:sz w:val="20"/>
          <w:szCs w:val="20"/>
          <w:color w:val="auto"/>
        </w:rPr>
      </w:pPr>
    </w:p>
    <w:p>
      <w:pPr>
        <w:ind w:right="120" w:firstLine="341"/>
        <w:spacing w:after="0" w:line="301" w:lineRule="auto"/>
        <w:rPr>
          <w:sz w:val="20"/>
          <w:szCs w:val="20"/>
          <w:color w:val="auto"/>
        </w:rPr>
      </w:pPr>
      <w:r>
        <w:rPr>
          <w:rFonts w:ascii="Arial" w:cs="Arial" w:eastAsia="Arial" w:hAnsi="Arial"/>
          <w:sz w:val="15"/>
          <w:szCs w:val="15"/>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expected growth in the scale and complexity of our operations, our performance may suffer.</w:t>
      </w:r>
    </w:p>
    <w:p>
      <w:pPr>
        <w:spacing w:after="0" w:line="224"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0"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intend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harm our business and results of operations.</w:t>
      </w:r>
    </w:p>
    <w:p>
      <w:pPr>
        <w:spacing w:after="0" w:line="224"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In the United States, there have been, and continue to be, several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the government and private insurers, and significantly impacts the U.S. pharmaceutical industry. The Affordable Care Act, among other things: (i) imposes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(iii) extends manufacturers' Medicaid rebate liability to covered drugs dispensed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to individuals enrolled in Medicaid managed care organizations; (iv) establishes an annual, nondeductible fee on any entity that manufactures or imports certain branded prescription drugs and biologic agents; (v) expands the availability of lower pricing under the 340B drug pricing program by expanding the types of entities eligible to participate in the program; and (vi) establishes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(vii) expands entities eligible for discounts under the Public Health Services pharmaceutical pricing program; and (viii) initiates a new Patient Centered Outcomes Research Institute to oversee, identify priorities in, and conduct comparative clinical effectiveness research, along with funding for such research. 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66" w:lineRule="exact"/>
        <w:rPr>
          <w:sz w:val="20"/>
          <w:szCs w:val="20"/>
          <w:color w:val="auto"/>
        </w:rPr>
      </w:pPr>
    </w:p>
    <w:p>
      <w:pPr>
        <w:ind w:firstLine="332"/>
        <w:spacing w:after="0" w:line="298" w:lineRule="auto"/>
        <w:rPr>
          <w:sz w:val="20"/>
          <w:szCs w:val="20"/>
          <w:color w:val="auto"/>
        </w:rPr>
      </w:pPr>
      <w:r>
        <w:rPr>
          <w:rFonts w:ascii="Arial" w:cs="Arial" w:eastAsia="Arial" w:hAnsi="Arial"/>
          <w:sz w:val="15"/>
          <w:szCs w:val="15"/>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Other legislative changes have been adopted since the Affordable Care Act was enacted, including aggregate reductions to Medicare payments to providers of up to 2% per fiscal year effective April 1, 2013. These reductions will stay in effect through 2024 unless additional congressional action is taken. Additionally,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Further, as part of the proposed 2016 budget, President Obama has sought to reduce the current 12-year exclusivity period that a reference biologic is granted to a seven-year exclusivity period.</w:t>
      </w:r>
    </w:p>
    <w:p>
      <w:pPr>
        <w:spacing w:after="0" w:line="166"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For each state that does not choose to expand its Medicaid program, there may be fewer insured patients overall, which could impact the sales, business and financial condition of manufacturers of branded prescription drugs. Where patients receive insurance coverage under any of the new options made available through the Affordable Care Act, the possibility exists that manufacturers may be required to pay Medicaid rebates on that resulting drug utilization, a decision that could impact manufacturer revenues. The U.S. federal government also has announced delays in the implementation of key provisions of the Affordable Care Act. The implications of these delays for our and our partners' business and financial condition, if any, are not yet clear.</w:t>
      </w:r>
    </w:p>
    <w:p>
      <w:pPr>
        <w:spacing w:after="0" w:line="17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0"/>
        <w:spacing w:after="0" w:line="394" w:lineRule="auto"/>
        <w:rPr>
          <w:sz w:val="20"/>
          <w:szCs w:val="20"/>
          <w:color w:val="auto"/>
        </w:rPr>
      </w:pPr>
      <w:r>
        <w:rPr>
          <w:rFonts w:ascii="Arial" w:cs="Arial" w:eastAsia="Arial" w:hAnsi="Arial"/>
          <w:sz w:val="14"/>
          <w:szCs w:val="14"/>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101" w:lineRule="exact"/>
        <w:rPr>
          <w:sz w:val="20"/>
          <w:szCs w:val="20"/>
          <w:color w:val="auto"/>
        </w:rPr>
      </w:pPr>
    </w:p>
    <w:p>
      <w:pPr>
        <w:ind w:right="160" w:firstLine="341"/>
        <w:spacing w:after="0" w:line="262"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201" w:lineRule="exact"/>
        <w:rPr>
          <w:sz w:val="20"/>
          <w:szCs w:val="20"/>
          <w:color w:val="auto"/>
        </w:rPr>
      </w:pPr>
    </w:p>
    <w:p>
      <w:pPr>
        <w:ind w:left="1060" w:hanging="531"/>
        <w:spacing w:after="0" w:line="261"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Affordable Care Act amends the intent requirement of the federal Anti-Kickback Statute. A person or entity no longer needs to have actual knowledge of this statute or specific intent to violate it;</w:t>
      </w:r>
    </w:p>
    <w:p>
      <w:pPr>
        <w:spacing w:after="0" w:line="216" w:lineRule="exact"/>
        <w:rPr>
          <w:rFonts w:ascii="Arial" w:cs="Arial" w:eastAsia="Arial" w:hAnsi="Arial"/>
          <w:sz w:val="17"/>
          <w:szCs w:val="17"/>
          <w:color w:val="auto"/>
        </w:rPr>
      </w:pPr>
    </w:p>
    <w:p>
      <w:pPr>
        <w:ind w:left="1060" w:right="40" w:hanging="531"/>
        <w:spacing w:after="0" w:line="26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and medical device manufacturers support the view that federal Anti-Kickback Statute violations and certain marketing practices, including off-label promotion, may implicate the civil False Claims Act;</w:t>
      </w:r>
    </w:p>
    <w:p>
      <w:pPr>
        <w:spacing w:after="0" w:line="201" w:lineRule="exact"/>
        <w:rPr>
          <w:rFonts w:ascii="Arial" w:cs="Arial" w:eastAsia="Arial" w:hAnsi="Arial"/>
          <w:sz w:val="17"/>
          <w:szCs w:val="17"/>
          <w:color w:val="auto"/>
        </w:rPr>
      </w:pPr>
    </w:p>
    <w:p>
      <w:pPr>
        <w:ind w:left="1060" w:right="26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192"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99" w:lineRule="exact"/>
        <w:rPr>
          <w:rFonts w:ascii="Arial" w:cs="Arial" w:eastAsia="Arial" w:hAnsi="Arial"/>
          <w:sz w:val="16"/>
          <w:szCs w:val="16"/>
          <w:color w:val="auto"/>
        </w:rPr>
      </w:pPr>
    </w:p>
    <w:p>
      <w:pPr>
        <w:ind w:left="1060" w:right="100" w:hanging="531"/>
        <w:spacing w:after="0" w:line="311" w:lineRule="auto"/>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federal transparency laws, including the federal Physician Payments Sunshine Act,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and teaching hospitals, and ownership and investment interests held by physicians and other healthcare providers and their immediate family members and applicable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1060" w:right="240"/>
        <w:spacing w:after="0" w:line="215" w:lineRule="auto"/>
        <w:rPr>
          <w:sz w:val="20"/>
          <w:szCs w:val="20"/>
          <w:color w:val="auto"/>
        </w:rPr>
      </w:pPr>
      <w:r>
        <w:rPr>
          <w:rFonts w:ascii="Arial" w:cs="Arial" w:eastAsia="Arial" w:hAnsi="Arial"/>
          <w:sz w:val="17"/>
          <w:szCs w:val="17"/>
          <w:color w:val="auto"/>
        </w:rPr>
        <w:t>group purchasing organizations, by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subsequent calendar year, and disclosure of such information is made by CMS on a publicly available website; and</w:t>
      </w:r>
    </w:p>
    <w:p>
      <w:pPr>
        <w:spacing w:after="0" w:line="217" w:lineRule="exact"/>
        <w:rPr>
          <w:sz w:val="20"/>
          <w:szCs w:val="20"/>
          <w:color w:val="auto"/>
        </w:rPr>
      </w:pPr>
    </w:p>
    <w:p>
      <w:pPr>
        <w:ind w:left="1060" w:right="40" w:hanging="531"/>
        <w:spacing w:after="0" w:line="261"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state and/or foreign law equivalents of each of the above federal laws, such as state anti-kickback and false claims laws that may apply to arrangements and claims involving health care items or services reimbursed by non-governmental third 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90"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59" w:lineRule="exact"/>
        <w:rPr>
          <w:sz w:val="20"/>
          <w:szCs w:val="20"/>
          <w:color w:val="auto"/>
        </w:rPr>
      </w:pPr>
    </w:p>
    <w:p>
      <w:pPr>
        <w:jc w:val="both"/>
        <w:ind w:right="240" w:firstLine="338"/>
        <w:spacing w:after="0" w:line="322" w:lineRule="auto"/>
        <w:rPr>
          <w:sz w:val="20"/>
          <w:szCs w:val="20"/>
          <w:color w:val="auto"/>
        </w:rPr>
      </w:pPr>
      <w:r>
        <w:rPr>
          <w:rFonts w:ascii="Arial" w:cs="Arial" w:eastAsia="Arial" w:hAnsi="Arial"/>
          <w:sz w:val="15"/>
          <w:szCs w:val="15"/>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45" w:lineRule="exact"/>
        <w:rPr>
          <w:sz w:val="20"/>
          <w:szCs w:val="20"/>
          <w:color w:val="auto"/>
        </w:rPr>
      </w:pPr>
    </w:p>
    <w:p>
      <w:pPr>
        <w:ind w:right="40" w:firstLine="341"/>
        <w:spacing w:after="0" w:line="311" w:lineRule="auto"/>
        <w:rPr>
          <w:sz w:val="20"/>
          <w:szCs w:val="20"/>
          <w:color w:val="auto"/>
        </w:rPr>
      </w:pPr>
      <w:r>
        <w:rPr>
          <w:rFonts w:ascii="Arial" w:cs="Arial" w:eastAsia="Arial" w:hAnsi="Arial"/>
          <w:sz w:val="15"/>
          <w:szCs w:val="15"/>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55" w:lineRule="exact"/>
        <w:rPr>
          <w:sz w:val="20"/>
          <w:szCs w:val="20"/>
          <w:color w:val="auto"/>
        </w:rPr>
      </w:pPr>
    </w:p>
    <w:p>
      <w:pPr>
        <w:ind w:right="20" w:firstLine="338"/>
        <w:spacing w:after="0" w:line="300" w:lineRule="auto"/>
        <w:rPr>
          <w:sz w:val="20"/>
          <w:szCs w:val="20"/>
          <w:color w:val="auto"/>
        </w:rPr>
      </w:pPr>
      <w:r>
        <w:rPr>
          <w:rFonts w:ascii="Arial" w:cs="Arial" w:eastAsia="Arial" w:hAnsi="Arial"/>
          <w:sz w:val="15"/>
          <w:szCs w:val="15"/>
          <w:color w:val="auto"/>
        </w:rPr>
        <w:t>The collection and use of personal health data in the European Union is governed by the provisions of the Data Protection Directive.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protection rules. This may be onerous and adversely affect our business, financial condition, results of operations and prospects.</w:t>
      </w:r>
    </w:p>
    <w:p>
      <w:pPr>
        <w:spacing w:after="0" w:line="224"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product candidates that we may develop.</w:t>
      </w:r>
    </w:p>
    <w:p>
      <w:pPr>
        <w:spacing w:after="0" w:line="170"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We will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92"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decreased demand for any product candidates that we may develop;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time and costs to defend the related litigation;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candidates that we may develop;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24"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Although we maintain product liability insurance coverage in the amount of $5.0 million per occurrence and $5.0 million in the aggregate, this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85"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2" w:lineRule="exact"/>
        <w:rPr>
          <w:sz w:val="20"/>
          <w:szCs w:val="20"/>
          <w:color w:val="auto"/>
        </w:rPr>
      </w:pPr>
    </w:p>
    <w:p>
      <w:pPr>
        <w:jc w:val="both"/>
        <w:ind w:right="200" w:firstLine="332"/>
        <w:spacing w:after="0" w:line="294" w:lineRule="auto"/>
        <w:rPr>
          <w:sz w:val="20"/>
          <w:szCs w:val="20"/>
          <w:color w:val="auto"/>
        </w:rPr>
      </w:pPr>
      <w:r>
        <w:rPr>
          <w:rFonts w:ascii="Arial" w:cs="Arial" w:eastAsia="Arial" w:hAnsi="Arial"/>
          <w:sz w:val="16"/>
          <w:szCs w:val="16"/>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63"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fines, penalties or other sanctions or liabilities, which could harm our business, financial condition, results of operations and prospects.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190"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2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170" w:lineRule="exact"/>
        <w:rPr>
          <w:sz w:val="20"/>
          <w:szCs w:val="20"/>
          <w:color w:val="auto"/>
        </w:rPr>
      </w:pPr>
    </w:p>
    <w:p>
      <w:pPr>
        <w:ind w:right="60" w:firstLine="341"/>
        <w:spacing w:after="0" w:line="300" w:lineRule="auto"/>
        <w:rPr>
          <w:sz w:val="20"/>
          <w:szCs w:val="20"/>
          <w:color w:val="auto"/>
        </w:rPr>
      </w:pPr>
      <w:r>
        <w:rPr>
          <w:rFonts w:ascii="Arial" w:cs="Arial" w:eastAsia="Arial" w:hAnsi="Arial"/>
          <w:sz w:val="15"/>
          <w:szCs w:val="15"/>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forward-looking and speculative. The process we have used in developing an estimated prevalence range for the indications we are targeting has involved collating limited data from multiple sources. Accordingly, the prevalence estimates included in this prospectus should be viewed with caution. Further, the data and statistical information used in this prospectus, including estimates derived from them, may differ from information and estimates made by our competitors or from current or future studies conducted by independent sources.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38"/>
        <w:spacing w:after="0" w:line="287" w:lineRule="auto"/>
        <w:rPr>
          <w:sz w:val="20"/>
          <w:szCs w:val="20"/>
          <w:color w:val="auto"/>
        </w:rPr>
      </w:pPr>
      <w:r>
        <w:rPr>
          <w:rFonts w:ascii="Arial" w:cs="Arial" w:eastAsia="Arial" w:hAnsi="Arial"/>
          <w:sz w:val="16"/>
          <w:szCs w:val="16"/>
          <w:color w:val="auto"/>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69" w:lineRule="exact"/>
        <w:rPr>
          <w:sz w:val="20"/>
          <w:szCs w:val="20"/>
          <w:color w:val="auto"/>
        </w:rPr>
      </w:pPr>
    </w:p>
    <w:p>
      <w:pPr>
        <w:ind w:right="820"/>
        <w:spacing w:after="0" w:line="282"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70" w:lineRule="exact"/>
        <w:rPr>
          <w:sz w:val="20"/>
          <w:szCs w:val="20"/>
          <w:color w:val="auto"/>
        </w:rPr>
      </w:pPr>
    </w:p>
    <w:p>
      <w:pPr>
        <w:ind w:firstLine="338"/>
        <w:spacing w:after="0" w:line="296" w:lineRule="auto"/>
        <w:rPr>
          <w:sz w:val="20"/>
          <w:szCs w:val="20"/>
          <w:color w:val="auto"/>
        </w:rPr>
      </w:pPr>
      <w:r>
        <w:rPr>
          <w:rFonts w:ascii="Arial" w:cs="Arial" w:eastAsia="Arial" w:hAnsi="Arial"/>
          <w:sz w:val="15"/>
          <w:szCs w:val="15"/>
          <w:color w:val="auto"/>
        </w:rPr>
        <w:t>We currently have no sales and marketing organization. To successfully commercialize any products that may result from our clinical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Under our collaboration agreement with Genzyme, we have granted Genzyme an exclusive option to license, develop and commercialize ex-U.S. rights to our advanced Parkinson's disease program, our Friedreich's ataxia program, a future program to be designated by Genzyme and our Huntington's disease program. Additionally, we have granted Genzyme an incremental option to co-commercialize our Huntington's disease program in the United States and to worldwide rights to our spinal muscular atrophy program. If Genzyme exercises any of these options, except for our advanced Parkinson's disease program, we would be eligible to receive specified option fees. In addition we would be eligible to receive specified milestone payments and royalties for any product developed in such programs. In the future, we may enter into collaborations regarding other of our product candidates with other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third-party to perform marketing and sales functions, we may be unable to compete successfully against these more established companies.</w:t>
      </w:r>
    </w:p>
    <w:p>
      <w:pPr>
        <w:spacing w:after="0" w:line="165"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harm our business, financial condition, results of operations and prospects.</w:t>
      </w:r>
    </w:p>
    <w:p>
      <w:pPr>
        <w:spacing w:after="0" w:line="169" w:lineRule="exact"/>
        <w:rPr>
          <w:sz w:val="20"/>
          <w:szCs w:val="20"/>
          <w:color w:val="auto"/>
        </w:rPr>
      </w:pPr>
    </w:p>
    <w:p>
      <w:pPr>
        <w:ind w:right="100"/>
        <w:spacing w:after="0" w:line="352" w:lineRule="auto"/>
        <w:rPr>
          <w:sz w:val="20"/>
          <w:szCs w:val="20"/>
          <w:color w:val="auto"/>
        </w:rPr>
      </w:pPr>
      <w:r>
        <w:rPr>
          <w:rFonts w:ascii="Arial" w:cs="Arial" w:eastAsia="Arial" w:hAnsi="Arial"/>
          <w:sz w:val="15"/>
          <w:szCs w:val="15"/>
          <w:b w:val="1"/>
          <w:bCs w:val="1"/>
          <w:i w:val="1"/>
          <w:iCs w:val="1"/>
          <w:color w:val="auto"/>
        </w:rPr>
        <w:t>The insurance coverage and reimbursement status of newly-approved products is uncertain. Failure to obtain or maintain adequate coverage and reimbursement for our product candidates, if approved, could limit our ability to market those products and decrease our ability to generate product revenue.</w:t>
      </w:r>
    </w:p>
    <w:p>
      <w:pPr>
        <w:spacing w:after="0" w:line="123" w:lineRule="exact"/>
        <w:rPr>
          <w:sz w:val="20"/>
          <w:szCs w:val="20"/>
          <w:color w:val="auto"/>
        </w:rPr>
      </w:pPr>
    </w:p>
    <w:p>
      <w:pPr>
        <w:ind w:right="280" w:firstLine="338"/>
        <w:spacing w:after="0" w:line="270"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176"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2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No uniform policy requirement for coverage and reimbursement for drug products exists among third-party payors. Therefore, coverage and reimbursement for drug products can differ significantly from payor to payor. As a result, obtaining coverage and reimbursement for a product from third-party payors is a time-consuming and costly process that could require us to provide to each different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179"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Currently, no gene therapy product has been approved for coverage and reimbursement by the Centers for Medicare &amp; Medicaid Services, or CMS, the agency responsible for administering the Medicare program. It is difficult to predict what CMS will decide with respect to coverage and reimbursement for fundamentally novel products such as ours, as there is no body of established practices and precedents for these types of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 especially given that the cost of our product candidates is likely to be very high and pricing of such products is highly uncertain.</w:t>
      </w:r>
    </w:p>
    <w:p>
      <w:pPr>
        <w:spacing w:after="0" w:line="176"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For example, one gene therapy product was approved in the European Union in 2012 but is yet to be widely available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commercially.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87"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The commercial success of any of our product candidates will depend upon its degree of market acceptance by physicians, patients, third-party payors and others in the medical community.</w:t>
      </w:r>
    </w:p>
    <w:p>
      <w:pPr>
        <w:spacing w:after="0" w:line="170"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203"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efficacy and safety of such product candidates as demonstrated in clinical trials;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cost of treatment relative to alternative treatments;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 by the FDA or the European Commission;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patient awareness of, and willingness to seek, genotyping;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willingness of physicians to prescribe new therapies;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physicians to undergo specialized training with respect to administration of our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237"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EMA or other regulatory authorities, including any limitations or warnings contained in a product's approved labeling;</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publicity concerning our products or competing products and treatments;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sufficient third-party payor coverage and reimbursement.</w:t>
      </w:r>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79"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8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harm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that we will be subject to additional risks in commercializing our product candidates outside the United States, including:</w:t>
      </w:r>
    </w:p>
    <w:p>
      <w:pPr>
        <w:spacing w:after="0" w:line="237" w:lineRule="exact"/>
        <w:rPr>
          <w:sz w:val="20"/>
          <w:szCs w:val="20"/>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different regulatory requirements for approval of drugs and biologics in foreign countries;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7" w:lineRule="exact"/>
        <w:rPr>
          <w:rFonts w:ascii="Arial" w:cs="Arial" w:eastAsia="Arial" w:hAnsi="Arial"/>
          <w:sz w:val="17"/>
          <w:szCs w:val="17"/>
          <w:color w:val="auto"/>
        </w:rPr>
      </w:pPr>
    </w:p>
    <w:p>
      <w:pPr>
        <w:ind w:left="1060" w:right="600" w:hanging="531"/>
        <w:spacing w:after="0" w:line="28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shortages resulting from any events affecting raw material supply or manufacturing capabilities abroad;</w:t>
      </w:r>
    </w:p>
    <w:p>
      <w:pPr>
        <w:spacing w:after="0" w:line="237"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and fires, or from economic or political instability;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greater difficulty with enforcing our contracts in jurisdictions outside of the United States.</w:t>
      </w:r>
    </w:p>
    <w:p>
      <w:pPr>
        <w:spacing w:after="0" w:line="224"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Further, in many foreign countries it is common for others to engage in business practices that are prohibited by U.S. laws and regulations applicable to us, including the Foreign Corrupt Practices Act.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are subject to, in part, the terms and conditions of licenses granted to us by others.</w:t>
      </w:r>
    </w:p>
    <w:p>
      <w:pPr>
        <w:spacing w:after="0" w:line="236"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some circumstances, particularly in licenses with academic institutions, we may not have the right to control the preparation, filing and prosecution of patent applications, or to maintain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will also apply to patent rights we may own in the future.</w:t>
      </w:r>
    </w:p>
    <w:p>
      <w:pPr>
        <w:spacing w:after="0" w:line="188" w:lineRule="exact"/>
        <w:rPr>
          <w:sz w:val="20"/>
          <w:szCs w:val="20"/>
          <w:color w:val="auto"/>
        </w:rPr>
      </w:pPr>
    </w:p>
    <w:p>
      <w:pPr>
        <w:jc w:val="both"/>
        <w:ind w:right="380" w:firstLine="341"/>
        <w:spacing w:after="0" w:line="270" w:lineRule="auto"/>
        <w:rPr>
          <w:sz w:val="20"/>
          <w:szCs w:val="20"/>
          <w:color w:val="auto"/>
        </w:rPr>
      </w:pPr>
      <w:r>
        <w:rPr>
          <w:rFonts w:ascii="Arial" w:cs="Arial" w:eastAsia="Arial" w:hAnsi="Arial"/>
          <w:sz w:val="17"/>
          <w:szCs w:val="17"/>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commercializing the product. Disputes may arise regarding intellectual property subject to a licensing agreement, including:</w:t>
      </w:r>
    </w:p>
    <w:p>
      <w:pPr>
        <w:spacing w:after="0" w:line="237"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50"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inventorship or ownership of inventions and know-how resulting from the joint creation or use of intellectual property by our licensors and us and our partners;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If we fail to comply with our obligations under these license agreements, or we are subject to a bankruptcy, the licensor may have the right to terminate the license, in which event we would not be able to market products covered by the license.</w:t>
      </w:r>
    </w:p>
    <w:p>
      <w:pPr>
        <w:spacing w:after="0" w:line="170"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63"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79" w:lineRule="exact"/>
        <w:rPr>
          <w:sz w:val="20"/>
          <w:szCs w:val="20"/>
          <w:color w:val="auto"/>
        </w:rPr>
      </w:pPr>
    </w:p>
    <w:p>
      <w:pPr>
        <w:jc w:val="both"/>
        <w:ind w:right="140" w:firstLine="341"/>
        <w:spacing w:after="0" w:line="294"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proprietary product candidates and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63"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For example, in some cases, the work of certain academic researchers in the gene therapy field has entered the public domain, which may compromise our ability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to obtain patent protection for certain inventions related to or building upon such prior work. Consequently, we will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w:t>
      </w:r>
    </w:p>
    <w:p>
      <w:pPr>
        <w:spacing w:after="0" w:line="179"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7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85" w:lineRule="exact"/>
        <w:rPr>
          <w:sz w:val="20"/>
          <w:szCs w:val="20"/>
          <w:color w:val="auto"/>
        </w:rPr>
      </w:pPr>
    </w:p>
    <w:p>
      <w:pPr>
        <w:ind w:right="140" w:firstLine="341"/>
        <w:spacing w:after="0" w:line="322" w:lineRule="auto"/>
        <w:rPr>
          <w:sz w:val="20"/>
          <w:szCs w:val="20"/>
          <w:color w:val="auto"/>
        </w:rPr>
      </w:pPr>
      <w:r>
        <w:rPr>
          <w:rFonts w:ascii="Arial" w:cs="Arial" w:eastAsia="Arial" w:hAnsi="Arial"/>
          <w:sz w:val="15"/>
          <w:szCs w:val="15"/>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45"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70"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rights to our product candidates through acquisitions and in-licenses.</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currently have rights to certain intellectual property, through licenses from third parties, to develop our product candidates. Because our programs may require the use of proprietary rights held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by third parties, the growth of our business likely will depend, in part, on our ability to acquire, in-license or use these proprietary rights. We may be unable to acquire or in-license any compositions, methods of use, processes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75"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9"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185" w:lineRule="exact"/>
        <w:rPr>
          <w:sz w:val="20"/>
          <w:szCs w:val="20"/>
          <w:color w:val="auto"/>
        </w:rPr>
      </w:pPr>
    </w:p>
    <w:p>
      <w:pPr>
        <w:ind w:right="340"/>
        <w:spacing w:after="0" w:line="394"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01"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United States Patent and Trademark Office, or USPTO, and various government patent agencies outside of the United States over the lifetime of our licensed patents and/or applications and any patent rights we may own in the future. We rely on our outside counsel or our licensing partners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9"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ind w:right="40" w:firstLine="341"/>
        <w:spacing w:after="0" w:line="297" w:lineRule="auto"/>
        <w:rPr>
          <w:sz w:val="20"/>
          <w:szCs w:val="20"/>
          <w:color w:val="auto"/>
        </w:rPr>
      </w:pPr>
      <w:r>
        <w:rPr>
          <w:rFonts w:ascii="Arial" w:cs="Arial" w:eastAsia="Arial" w:hAnsi="Arial"/>
          <w:sz w:val="15"/>
          <w:szCs w:val="15"/>
          <w:color w:val="auto"/>
        </w:rPr>
        <w:t xml:space="preserve">If one of our licensing partners or we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harm our business.</w:t>
      </w:r>
    </w:p>
    <w:p>
      <w:pPr>
        <w:spacing w:after="0" w:line="169"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0" w:lineRule="exact"/>
        <w:rPr>
          <w:sz w:val="20"/>
          <w:szCs w:val="20"/>
          <w:color w:val="auto"/>
        </w:rPr>
      </w:pPr>
    </w:p>
    <w:p>
      <w:pPr>
        <w:ind w:right="20" w:firstLine="341"/>
        <w:spacing w:after="0" w:line="295" w:lineRule="auto"/>
        <w:rPr>
          <w:sz w:val="20"/>
          <w:szCs w:val="20"/>
          <w:color w:val="auto"/>
        </w:rPr>
      </w:pPr>
      <w:r>
        <w:rPr>
          <w:rFonts w:ascii="Arial" w:cs="Arial" w:eastAsia="Arial" w:hAnsi="Arial"/>
          <w:sz w:val="15"/>
          <w:szCs w:val="15"/>
          <w:color w:val="auto"/>
        </w:rPr>
        <w:t xml:space="preserve">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any other of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24" w:lineRule="exact"/>
        <w:rPr>
          <w:sz w:val="20"/>
          <w:szCs w:val="20"/>
          <w:color w:val="auto"/>
        </w:rPr>
      </w:pPr>
    </w:p>
    <w:p>
      <w:pPr>
        <w:ind w:right="620" w:firstLine="341"/>
        <w:spacing w:after="0" w:line="315" w:lineRule="auto"/>
        <w:rPr>
          <w:sz w:val="20"/>
          <w:szCs w:val="20"/>
          <w:color w:val="auto"/>
        </w:rPr>
      </w:pPr>
      <w:r>
        <w:rPr>
          <w:rFonts w:ascii="Arial" w:cs="Arial" w:eastAsia="Arial" w:hAnsi="Arial"/>
          <w:sz w:val="16"/>
          <w:szCs w:val="16"/>
          <w:color w:val="auto"/>
        </w:rPr>
        <w:t>Competitors may infringe our patents or the patents of our licensing partners, or we may be required to defend against claims of infringement. To counter infringement or unauthorized use claims or to defend against claims of infringement can be expensive and time consuming. Even if resolved 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77"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0"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6"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24"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harm our business, financial condition, results of operations and prospects.</w:t>
      </w:r>
    </w:p>
    <w:p>
      <w:pPr>
        <w:spacing w:after="0" w:line="185"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65"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March 4, 2014, the USPTO issued a guidance memorandum to patent examiners 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88"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87"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infringement, we could be forced to pay damages or be subjected to an injunction that would prevent us from utilizing the patented subject matter. Such outcomes could harm our business, financial condition, results of operations or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harmed.</w:t>
      </w:r>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w:t>
      </w:r>
    </w:p>
    <w:p>
      <w:pPr>
        <w:spacing w:after="0" w:line="179"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180" w:firstLine="338"/>
        <w:spacing w:after="0" w:line="278" w:lineRule="auto"/>
        <w:rPr>
          <w:sz w:val="20"/>
          <w:szCs w:val="20"/>
          <w:color w:val="auto"/>
        </w:rPr>
      </w:pPr>
      <w:r>
        <w:rPr>
          <w:rFonts w:ascii="Arial" w:cs="Arial" w:eastAsia="Arial" w:hAnsi="Arial"/>
          <w:sz w:val="16"/>
          <w:szCs w:val="16"/>
          <w:color w:val="auto"/>
        </w:rPr>
        <w:t>We have registered trademarks with the USPTO for the mark "Voyager Therapeutics" and the Voyager logo.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224" w:lineRule="exact"/>
        <w:rPr>
          <w:sz w:val="20"/>
          <w:szCs w:val="20"/>
          <w:color w:val="auto"/>
        </w:rPr>
      </w:pPr>
    </w:p>
    <w:p>
      <w:pPr>
        <w:ind w:right="640" w:firstLine="338"/>
        <w:spacing w:after="0" w:line="282"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3" w:lineRule="exact"/>
        <w:rPr>
          <w:sz w:val="20"/>
          <w:szCs w:val="20"/>
          <w:color w:val="auto"/>
        </w:rPr>
      </w:pPr>
    </w:p>
    <w:p>
      <w:pPr>
        <w:ind w:left="1060" w:hanging="531"/>
        <w:spacing w:after="0" w:line="28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 candidates but that are not covered by the claims of the patents that we license or may own in the future;</w:t>
      </w:r>
    </w:p>
    <w:p>
      <w:pPr>
        <w:spacing w:after="0" w:line="196"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make the inventions covered by the issued patent or pending patent application that we license or may own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34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file patent applications covering certain of our or their inventions;</w:t>
      </w:r>
    </w:p>
    <w:p>
      <w:pPr>
        <w:spacing w:after="0" w:line="196" w:lineRule="exact"/>
        <w:rPr>
          <w:rFonts w:ascii="Arial" w:cs="Arial" w:eastAsia="Arial" w:hAnsi="Arial"/>
          <w:sz w:val="17"/>
          <w:szCs w:val="17"/>
          <w:color w:val="auto"/>
        </w:rPr>
      </w:pPr>
    </w:p>
    <w:p>
      <w:pPr>
        <w:ind w:left="1060" w:right="32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or those that we may own in the future will not lead to issued patents;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250" w:lineRule="exact"/>
        <w:rPr>
          <w:rFonts w:ascii="Arial" w:cs="Arial" w:eastAsia="Arial" w:hAnsi="Arial"/>
          <w:sz w:val="17"/>
          <w:szCs w:val="17"/>
          <w:color w:val="auto"/>
        </w:rPr>
      </w:pPr>
    </w:p>
    <w:p>
      <w:pPr>
        <w:ind w:left="1060" w:right="52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and</w:t>
      </w:r>
    </w:p>
    <w:p>
      <w:pPr>
        <w:spacing w:after="0" w:line="250"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Should any of these events occur, they could significantly harm our business, financial condition, results of operations and prospects.</w:t>
      </w:r>
    </w:p>
    <w:p>
      <w:pPr>
        <w:spacing w:after="0" w:line="22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76"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28"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will maintain the ability to control all matters submitted to stockholders for approval.</w:t>
      </w:r>
    </w:p>
    <w:p>
      <w:pPr>
        <w:spacing w:after="0" w:line="170"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Upon the completion of this offering, our executive officers, directors and stockholders who owned more than 5% of our outstanding common stock before this offering will, in the aggregate, beneficially own shares representing approximately 71.9% of our capital stock (or 70.0% if the underwriters exercise their option to purchase additional shares in full), assuming we issue the number of shares of common stock as set forth on the cover page of this prospectus. As a result, if these stockholders were to act together, they would be able to control all matters submitted to our stockholders for approval, as well as our management and affairs. For example, these persons, if they act together, would control the election of directors and approval of any merger, consolidation or sale of all or substantially all of our assets. This concentration of voting power could delay or prevent an acquisition of our company on terms that other stockholders may desire or result in management of our company that our public stockholders disagree with.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of your investment.</w:t>
      </w:r>
    </w:p>
    <w:p>
      <w:pPr>
        <w:spacing w:after="0" w:line="224" w:lineRule="exact"/>
        <w:rPr>
          <w:sz w:val="20"/>
          <w:szCs w:val="20"/>
          <w:color w:val="auto"/>
        </w:rPr>
      </w:pPr>
    </w:p>
    <w:p>
      <w:pPr>
        <w:ind w:right="80" w:firstLine="338"/>
        <w:spacing w:after="0" w:line="261" w:lineRule="auto"/>
        <w:rPr>
          <w:sz w:val="20"/>
          <w:szCs w:val="20"/>
          <w:color w:val="auto"/>
        </w:rPr>
      </w:pPr>
      <w:r>
        <w:rPr>
          <w:rFonts w:ascii="Arial" w:cs="Arial" w:eastAsia="Arial" w:hAnsi="Arial"/>
          <w:sz w:val="17"/>
          <w:szCs w:val="17"/>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outstanding options are exercised, you will incur further dilution. Based on the initial public offering price of $14.00 per share, you will experience immediate dilution of $6.98 per share, representing the difference between our pro forma net tangible book value per share after giving effect to this offering at the initial public offering price. In addition, purchasers of common stock in this offering will have contributed approximately 34.1% of the aggregate price paid by all purchasers of our stock but will own only approximately 19.2% of our common stock outstanding after this offering (or 37.3% and 21.5%, respectively, if the underwriters exercise their option to purchase additional shares in full), excluding any shares they may have acquired prior to this offering. See the section titled "Dilution."</w:t>
      </w:r>
    </w:p>
    <w:p>
      <w:pPr>
        <w:spacing w:after="0" w:line="187"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publish inaccurate or negative evaluations of our business, the price of our stock could decline.</w:t>
      </w:r>
    </w:p>
    <w:p>
      <w:pPr>
        <w:spacing w:after="0" w:line="170"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publishes inaccurate or unfavorable research about our business, the price of our stock could decline. If one or more of these analysts cease to cover us or fails to publish reports on us regularly, we could lose visibility in the market for our stock, which in turn could cause our stock price to decline.</w:t>
      </w:r>
    </w:p>
    <w:p>
      <w:pPr>
        <w:spacing w:after="0" w:line="159"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70" w:lineRule="exact"/>
        <w:rPr>
          <w:sz w:val="20"/>
          <w:szCs w:val="20"/>
          <w:color w:val="auto"/>
        </w:rPr>
      </w:pPr>
    </w:p>
    <w:p>
      <w:pPr>
        <w:ind w:right="440" w:firstLine="341"/>
        <w:spacing w:after="0" w:line="315" w:lineRule="auto"/>
        <w:rPr>
          <w:sz w:val="20"/>
          <w:szCs w:val="20"/>
          <w:color w:val="auto"/>
        </w:rPr>
      </w:pPr>
      <w:r>
        <w:rPr>
          <w:rFonts w:ascii="Arial" w:cs="Arial" w:eastAsia="Arial" w:hAnsi="Arial"/>
          <w:sz w:val="16"/>
          <w:szCs w:val="16"/>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not be able to sell your common stock at or above the initial public offering price. The market price for our common stock may be influenced by many factors, including:</w:t>
      </w:r>
    </w:p>
    <w:p>
      <w:pPr>
        <w:spacing w:after="0" w:line="183"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action and results of clinical trials of our product candidates or those of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commencement or termination of collaborations;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other factors described in the section titled "Risk Factors" and elsewhere in this prospectus.</w:t>
      </w:r>
    </w:p>
    <w:p>
      <w:pPr>
        <w:spacing w:after="0" w:line="224" w:lineRule="exact"/>
        <w:rPr>
          <w:sz w:val="20"/>
          <w:szCs w:val="20"/>
          <w:color w:val="auto"/>
        </w:rPr>
      </w:pPr>
    </w:p>
    <w:p>
      <w:pPr>
        <w:ind w:right="600" w:firstLine="341"/>
        <w:spacing w:after="0" w:line="322" w:lineRule="auto"/>
        <w:rPr>
          <w:sz w:val="20"/>
          <w:szCs w:val="20"/>
          <w:color w:val="auto"/>
        </w:rPr>
      </w:pPr>
      <w:r>
        <w:rPr>
          <w:rFonts w:ascii="Arial" w:cs="Arial" w:eastAsia="Arial" w:hAnsi="Arial"/>
          <w:sz w:val="15"/>
          <w:szCs w:val="15"/>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5" w:lineRule="exact"/>
        <w:rPr>
          <w:sz w:val="20"/>
          <w:szCs w:val="20"/>
          <w:color w:val="auto"/>
        </w:rPr>
      </w:pPr>
    </w:p>
    <w:p>
      <w:pPr>
        <w:jc w:val="both"/>
        <w:ind w:right="360" w:firstLine="341"/>
        <w:spacing w:after="0" w:line="270"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179"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We do not know whether an active and liquid trading market will develop for our common stock, and as a result, it may be difficult for you to sell your shares of our common stock at an acceptable price or at all.</w:t>
      </w:r>
    </w:p>
    <w:p>
      <w:pPr>
        <w:spacing w:after="0" w:line="170"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was determined through negotiations with the underwriters, and the negotiated price may not be indicative of the market value of our common stock after this offering. The market value of our common stock may decrease from the initial public offering price. Although our common stock has been approved for listing on The NASDAQ Global Select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 Furthermore, an inactive market may also impair our ability to both raise capital by selling shares of our common stock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enter into strategic collaborations or acquire companies or products by using our shares of common stock as consideration.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broad discretion in the use of our cash and cash equivalents, including the net proceeds from this offering, and may not use them effectively.</w:t>
      </w:r>
    </w:p>
    <w:p>
      <w:pPr>
        <w:spacing w:after="0" w:line="247"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Our management will have broad discretion in the application of our cash and cash equivalents,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harm our business, cause the price of our common stock to decline and delay the development of our product candidates. Pending their use, we may invest our cash and cash equivalents, including the net proceeds from this offering, in a manner that does not produce income or that loses value. See "Use of Proceeds."</w:t>
      </w:r>
    </w:p>
    <w:p>
      <w:pPr>
        <w:spacing w:after="0" w:line="187"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183"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w:t>
      </w:r>
    </w:p>
    <w:p>
      <w:pPr>
        <w:spacing w:after="0" w:line="250" w:lineRule="exact"/>
        <w:rPr>
          <w:rFonts w:ascii="Arial" w:cs="Arial" w:eastAsia="Arial" w:hAnsi="Arial"/>
          <w:sz w:val="17"/>
          <w:szCs w:val="17"/>
          <w:color w:val="auto"/>
        </w:rPr>
      </w:pPr>
    </w:p>
    <w:p>
      <w:pPr>
        <w:ind w:left="1060" w:right="340" w:hanging="531"/>
        <w:spacing w:after="0" w:line="352" w:lineRule="auto"/>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6" w:lineRule="exact"/>
        <w:rPr>
          <w:rFonts w:ascii="Arial" w:cs="Arial" w:eastAsia="Arial" w:hAnsi="Arial"/>
          <w:sz w:val="15"/>
          <w:szCs w:val="15"/>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237"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may take advantages of these exemptions until we are no longer an EGC. We would cease to be an EGC upon the earlier of: (i) the last day of the fiscal year in which we have total annual gross revenues of $1.0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which means the first day of the year following the first year in which the market value of our common stock that is held by non-affiliates exceeds $700 million as of June 30.</w:t>
      </w:r>
    </w:p>
    <w:p>
      <w:pPr>
        <w:spacing w:after="0" w:line="174"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w:t>
      </w:r>
    </w:p>
    <w:p>
      <w:pPr>
        <w:spacing w:after="0" w:line="179" w:lineRule="exact"/>
        <w:rPr>
          <w:sz w:val="20"/>
          <w:szCs w:val="20"/>
          <w:color w:val="auto"/>
        </w:rPr>
      </w:pPr>
    </w:p>
    <w:p>
      <w:pPr>
        <w:ind w:right="260" w:firstLine="341"/>
        <w:spacing w:after="0" w:line="322" w:lineRule="auto"/>
        <w:rPr>
          <w:sz w:val="20"/>
          <w:szCs w:val="20"/>
          <w:color w:val="auto"/>
        </w:rPr>
      </w:pPr>
      <w:r>
        <w:rPr>
          <w:rFonts w:ascii="Arial" w:cs="Arial" w:eastAsia="Arial" w:hAnsi="Arial"/>
          <w:sz w:val="15"/>
          <w:szCs w:val="15"/>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standards as other public companies that are not emerging growth companies. If some investors find our common stock less attractive as a result, there may be a less active trading market for our common stock and our stock price may be more volatile and may decline.</w:t>
      </w:r>
    </w:p>
    <w:p>
      <w:pPr>
        <w:spacing w:after="0" w:line="170"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right="60" w:firstLine="332"/>
        <w:spacing w:after="0" w:line="279" w:lineRule="auto"/>
        <w:rPr>
          <w:sz w:val="20"/>
          <w:szCs w:val="20"/>
          <w:color w:val="auto"/>
        </w:rPr>
      </w:pPr>
      <w:r>
        <w:rPr>
          <w:rFonts w:ascii="Arial" w:cs="Arial" w:eastAsia="Arial" w:hAnsi="Arial"/>
          <w:sz w:val="16"/>
          <w:szCs w:val="16"/>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7"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224"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87" w:lineRule="exact"/>
        <w:rPr>
          <w:sz w:val="20"/>
          <w:szCs w:val="20"/>
          <w:color w:val="auto"/>
        </w:rPr>
      </w:pPr>
    </w:p>
    <w:p>
      <w:pPr>
        <w:ind w:right="560" w:firstLine="338"/>
        <w:spacing w:after="0" w:line="352" w:lineRule="auto"/>
        <w:rPr>
          <w:sz w:val="20"/>
          <w:szCs w:val="20"/>
          <w:color w:val="auto"/>
        </w:rPr>
      </w:pPr>
      <w:r>
        <w:rPr>
          <w:rFonts w:ascii="Arial" w:cs="Arial" w:eastAsia="Arial" w:hAnsi="Arial"/>
          <w:sz w:val="15"/>
          <w:szCs w:val="15"/>
          <w:color w:val="auto"/>
        </w:rPr>
        <w:t>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controls. Accordingly, because of the inherent limitations in our control system, misstatements due to error or fraud may occur and not be detected.</w:t>
      </w:r>
    </w:p>
    <w:p>
      <w:pPr>
        <w:spacing w:after="0" w:line="224" w:lineRule="exact"/>
        <w:rPr>
          <w:sz w:val="20"/>
          <w:szCs w:val="20"/>
          <w:color w:val="auto"/>
        </w:rPr>
      </w:pPr>
    </w:p>
    <w:p>
      <w:pPr>
        <w:spacing w:after="0" w:line="315"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Provisions in our amended and restated certificate of incorporation and bylaws that will become effective immediately prior to the completion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9"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 the manner in which stockholders can remove directors from the board;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establish advance notice requirements for stockholder proposals that can be acted on at stockholder meetings and nominations to our board of directors;</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limit who may call stockholder meetings;</w:t>
      </w:r>
    </w:p>
    <w:p>
      <w:pPr>
        <w:spacing w:after="0" w:line="237" w:lineRule="exact"/>
        <w:rPr>
          <w:rFonts w:ascii="Arial" w:cs="Arial" w:eastAsia="Arial" w:hAnsi="Arial"/>
          <w:sz w:val="17"/>
          <w:szCs w:val="17"/>
          <w:color w:val="auto"/>
        </w:rPr>
      </w:pPr>
    </w:p>
    <w:p>
      <w:pPr>
        <w:jc w:val="both"/>
        <w:ind w:left="1060" w:right="60" w:hanging="531"/>
        <w:spacing w:after="0" w:line="270"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05"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70" w:lineRule="exact"/>
        <w:rPr>
          <w:sz w:val="20"/>
          <w:szCs w:val="20"/>
          <w:color w:val="auto"/>
        </w:rPr>
      </w:pPr>
    </w:p>
    <w:p>
      <w:pPr>
        <w:ind w:right="400" w:firstLine="341"/>
        <w:spacing w:after="0" w:line="322"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9"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provides that, unless we consent in writing to an alternative forum, the Court of Chancery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259"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22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June 30, 2015, immediately after the completion of this offering, we will have outstanding a total of 26,034,710 shares of common stock (including 2,160,342 shares of unvested restricted stock subject to repurchase by us). Of these shares, as of the date of this prospectus, approximately 5,000,000 shares of our common stock, plus any shares sold upon exercise of the underwriters' option to purchase additional shares, will be freely tradable, without restriction, in the public market immediately following this offering, assuming that current stockholders do not purchase shares in this offering. The representatives of the underwriters, however, may, in their sole discretion, permit our officers, directors and other stockholders who are subject to these lock-up agreements to sell shares prior to the expiration of the lock-up agreements.</w:t>
      </w:r>
    </w:p>
    <w:p>
      <w:pPr>
        <w:spacing w:after="0" w:line="177"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lock-up agreements pertaining to this offering will expire 180 days from the date of this prospectus. After the lock-up agreements expire, based upon the number of shares of common stock, on an as-converted basis, outstanding as of June 30, 2015, up to an additional 21,034,710 shares of common stock will be eligible for sale in the public market, approximately 59.7% of which shares are held by directors, executive officers and other affiliates and will be subject to certain limitations of Rule 144 under the Securities Act of 1933, as amended, or the Securities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2"/>
        <w:spacing w:after="0" w:line="311" w:lineRule="auto"/>
        <w:rPr>
          <w:sz w:val="20"/>
          <w:szCs w:val="20"/>
          <w:color w:val="auto"/>
        </w:rPr>
      </w:pPr>
      <w:r>
        <w:rPr>
          <w:rFonts w:ascii="Arial" w:cs="Arial" w:eastAsia="Arial" w:hAnsi="Arial"/>
          <w:sz w:val="15"/>
          <w:szCs w:val="15"/>
          <w:color w:val="auto"/>
        </w:rPr>
        <w:t>Assuming the 2015 Stock Option and Grant Plan and the 2015 Employee Stock Purchase Plan were approved as of June 30, 2015, 1,918,279 shares of common stock that are either subject to outstanding options or reserved for future issuance under our equity plans would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55"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After this offering, the holders of approximately 17,647,054 shares of our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negative impact on the market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this offering or subsequent shifts in our stock ownership, some of which are outside the Company's control. As of December 31, 2014, we had federal and state net operating loss carryforwards of approximately $17.1 million and $16.0 million, respectively, which begin to expire in 2033, and federal and state research and development tax credit carryforwards of $0.4 million and $0.3 million, respectively, which begin to expire in 2028. Our ability to utilize those net operating loss carryforwards and research and development tax credit carryforwards could be limited by an "ownership change" as described above, which could result in an increased future tax liability to 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8" w:lineRule="exact"/>
        <w:rPr>
          <w:sz w:val="20"/>
          <w:szCs w:val="20"/>
          <w:color w:val="auto"/>
        </w:rPr>
      </w:pPr>
    </w:p>
    <w:p>
      <w:pPr>
        <w:ind w:right="160" w:firstLine="338"/>
        <w:spacing w:after="0" w:line="283" w:lineRule="auto"/>
        <w:rPr>
          <w:sz w:val="20"/>
          <w:szCs w:val="20"/>
          <w:color w:val="auto"/>
        </w:rPr>
      </w:pPr>
      <w:r>
        <w:rPr>
          <w:rFonts w:ascii="Arial" w:cs="Arial" w:eastAsia="Arial" w:hAnsi="Arial"/>
          <w:sz w:val="16"/>
          <w:szCs w:val="16"/>
          <w:color w:val="auto"/>
        </w:rPr>
        <w:t>This prospectus contains forward-looking statements within the meaning of the federal securities laws, and these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87" w:lineRule="exact"/>
        <w:rPr>
          <w:sz w:val="20"/>
          <w:szCs w:val="20"/>
          <w:color w:val="auto"/>
        </w:rPr>
      </w:pPr>
    </w:p>
    <w:p>
      <w:pPr>
        <w:ind w:left="1060" w:right="180" w:hanging="531"/>
        <w:spacing w:after="0" w:line="28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continue to advance VY-AADC01 through the current Phase 1b clinical trial and establish human proof-of-concept in the second half of 2016;</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use of the net proceeds from this offering;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revenues and capital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continue to develop our product engine;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develop a cGMP manufacturing capability for our product candidates;</w:t>
      </w:r>
    </w:p>
    <w:p>
      <w:pPr>
        <w:spacing w:after="0" w:line="237"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advance our other programs through preclinical development and into clinical trials, including filing of an IND for one of these programs in 2017, and successfully complete such clinical trials;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developments in the United States and the European Union;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proprietary assets;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size of the potential markets for our product candidates and our ability to serve those markets;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for any indication once approved;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obtain additional financing when needed;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success of competing products that are or become available for the indications that we are pursuing.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w:t>
      </w:r>
    </w:p>
    <w:p>
      <w:pPr>
        <w:spacing w:after="0" w:line="224" w:lineRule="exact"/>
        <w:rPr>
          <w:sz w:val="20"/>
          <w:szCs w:val="20"/>
          <w:color w:val="auto"/>
        </w:rPr>
      </w:pPr>
    </w:p>
    <w:p>
      <w:pPr>
        <w:ind w:firstLine="335"/>
        <w:spacing w:after="0" w:line="280"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5" w:lineRule="exact"/>
        <w:rPr>
          <w:sz w:val="20"/>
          <w:szCs w:val="20"/>
          <w:color w:val="auto"/>
        </w:rPr>
      </w:pPr>
    </w:p>
    <w:p>
      <w:pPr>
        <w:ind w:right="160" w:firstLine="338"/>
        <w:spacing w:after="0" w:line="322" w:lineRule="auto"/>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We undertake no obligation to update or revise any forward-looking statements made in this prospectus to reflect events or circumstances after the date of this prospectus except as required by law. Our forward-looking statements do not reflect the potential impact of any future acquisitions, mergers, dispositions, joint ventures or investments we may make.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28"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We obtained the industry and market data in this prospectus from our own internal estimates and research, as well as from industry and general publications and research, surveys, studies and trials conducted by third parties. Some data is also based on our good faith estimates, which are derived from management's knowledge of the industry and independent sources. This data involves a number of assumptions and limitations, and you are cautioned not to give undue weight to such estimates. In addition, while we believe the market opportunity information included in this prospectus is reliable and is based upon reasonable assumptions, such data involves risks and uncertainties and are subject to change based on various factors, including those discussed in the section titled "Risk Factors."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We estimate that the net proceeds from the sale of 5,000,000 shares of common stock in this offering will be approximately $62.9 million, based upon the initial public offering price of $14.00 per share, and after deducting underwriting discounts and commissions and estimated offering expenses payable by us. If the underwriters' option to purchase additional shares is exercised in full, we estimate that our net proceeds would be approximately $72.7 million, after deducting underwriting discounts and commissions and estimated offering expenses payable by us.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currently expect to use the net proceeds from the offering as follows:</w:t>
      </w:r>
    </w:p>
    <w:p>
      <w:pPr>
        <w:spacing w:after="0" w:line="237" w:lineRule="exact"/>
        <w:rPr>
          <w:sz w:val="20"/>
          <w:szCs w:val="20"/>
          <w:color w:val="auto"/>
        </w:rPr>
      </w:pPr>
    </w:p>
    <w:p>
      <w:pPr>
        <w:ind w:left="1060" w:right="4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$25.0 million to fund the costs of future clinical development, including later-stage clinical trials, and manufacturing of VY-AADC01 for our program for advanced Parkinson's disease;</w:t>
      </w:r>
    </w:p>
    <w:p>
      <w:pPr>
        <w:spacing w:after="0" w:line="196" w:lineRule="exact"/>
        <w:rPr>
          <w:rFonts w:ascii="Arial" w:cs="Arial" w:eastAsia="Arial" w:hAnsi="Arial"/>
          <w:sz w:val="17"/>
          <w:szCs w:val="17"/>
          <w:color w:val="auto"/>
        </w:rPr>
      </w:pPr>
    </w:p>
    <w:p>
      <w:pPr>
        <w:ind w:left="1060" w:right="20" w:hanging="531"/>
        <w:spacing w:after="0" w:line="322" w:lineRule="auto"/>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$30.0 million to fund the costs of additional preclinical development, manufacturing, clinical development, including Phase 1 and later-stage clinical trials, and internal personnel costs for our preclinical programs, including VY-SOD101 for the treatment of a monogenic form of ALS, VY-FXN01 for the treatment of Friedreich's ataxia, VY-HTT01 for the treatment of Huntington's disease and VY-SMN101 for the treatment of SMA; and</w:t>
      </w:r>
    </w:p>
    <w:p>
      <w:pPr>
        <w:spacing w:after="0" w:line="157" w:lineRule="exact"/>
        <w:rPr>
          <w:rFonts w:ascii="Arial" w:cs="Arial" w:eastAsia="Arial" w:hAnsi="Arial"/>
          <w:sz w:val="15"/>
          <w:szCs w:val="15"/>
          <w:color w:val="auto"/>
        </w:rPr>
      </w:pPr>
    </w:p>
    <w:p>
      <w:pPr>
        <w:ind w:left="1060" w:right="100" w:hanging="531"/>
        <w:spacing w:after="0" w:line="28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remainder to fund working capital and other general corporate purposes, which may include funding for new research and development activities, the hiring of additional personnel, capital expenditures and the costs of operating as a public company.</w:t>
      </w:r>
    </w:p>
    <w:p>
      <w:pPr>
        <w:spacing w:after="0" w:line="170"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To the extent our actual net proceeds from this offering are insufficient to fund this allocation, we expect to use some of our existing cash and cash equivalents to fund any difference. We do not expect that our existing cash and cash equivalents and net proceeds from this offering alone will be sufficient to enable us to fund the completion of the development of any of our product candidates.</w:t>
      </w:r>
    </w:p>
    <w:p>
      <w:pPr>
        <w:spacing w:after="0" w:line="179"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current and future clinical trials,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360" w:firstLine="338"/>
        <w:spacing w:after="0" w:line="265" w:lineRule="auto"/>
        <w:rPr>
          <w:sz w:val="20"/>
          <w:szCs w:val="20"/>
          <w:color w:val="auto"/>
        </w:rPr>
      </w:pPr>
      <w:r>
        <w:rPr>
          <w:rFonts w:ascii="Arial" w:cs="Arial" w:eastAsia="Arial" w:hAnsi="Arial"/>
          <w:sz w:val="17"/>
          <w:szCs w:val="17"/>
          <w:color w:val="auto"/>
        </w:rPr>
        <w:t>We may also use a portion of the net proceeds from this offering for the acquisition of, or investment in, complementary business, products or technologies, although we have no present commitments or agreements for any specific acquisitions or investments. Pending our use of the net proceeds from this offering, we intend to invest the net proceeds in a variety of capital preservation investments, including short-term, investment-grade, interest-bearing instruments and U.S. government securities.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cash dividends will be made at the discretion of our board of directors and will depend on restrictions and other factors our board of directors may deem relevant. Investors should not purchase our common stock with the expectation of receiving cash dividends.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cash equivalents and capitalization as of June 30, 2015 on:</w:t>
      </w:r>
    </w:p>
    <w:p>
      <w:pPr>
        <w:spacing w:after="0" w:line="237"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250" w:lineRule="exact"/>
        <w:rPr>
          <w:rFonts w:ascii="Arial" w:cs="Arial" w:eastAsia="Arial" w:hAnsi="Arial"/>
          <w:sz w:val="17"/>
          <w:szCs w:val="17"/>
          <w:color w:val="auto"/>
        </w:rPr>
      </w:pPr>
    </w:p>
    <w:p>
      <w:pPr>
        <w:ind w:left="1060" w:right="100" w:hanging="531"/>
        <w:spacing w:after="0" w:line="270"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pro forma basis to give effect to (i) the automatic conversion of all outstanding shares of redeemable convertible preferred stock, into 17,647,054 shares of common stock immediately prior to the completion of this offering and (ii) the filing of our amended and restated certificate of incorporation immediately prior to the completion of this offering; and</w:t>
      </w:r>
    </w:p>
    <w:p>
      <w:pPr>
        <w:spacing w:after="0" w:line="192" w:lineRule="exact"/>
        <w:rPr>
          <w:rFonts w:ascii="Arial" w:cs="Arial" w:eastAsia="Arial" w:hAnsi="Arial"/>
          <w:sz w:val="17"/>
          <w:szCs w:val="17"/>
          <w:color w:val="auto"/>
        </w:rPr>
      </w:pPr>
    </w:p>
    <w:p>
      <w:pPr>
        <w:ind w:left="1060" w:right="440" w:hanging="531"/>
        <w:spacing w:after="0" w:line="270"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pro forma as adjusted basis to give further effect to the pro forma adjustments set forth above and the sale of 5,000,000 shares of common stock offered in this offering at the initial public offering price of $14.00 per share, and after deducting underwriting discounts and commissions and estimated offering expenses payable by us.</w:t>
      </w:r>
    </w:p>
    <w:p>
      <w:pPr>
        <w:spacing w:after="0" w:line="179" w:lineRule="exact"/>
        <w:rPr>
          <w:sz w:val="20"/>
          <w:szCs w:val="20"/>
          <w:color w:val="auto"/>
        </w:rPr>
      </w:pPr>
    </w:p>
    <w:p>
      <w:pPr>
        <w:ind w:right="180" w:firstLine="335"/>
        <w:spacing w:after="0" w:line="352" w:lineRule="auto"/>
        <w:rPr>
          <w:sz w:val="20"/>
          <w:szCs w:val="20"/>
          <w:color w:val="auto"/>
        </w:rPr>
      </w:pPr>
      <w:r>
        <w:rPr>
          <w:rFonts w:ascii="Arial" w:cs="Arial" w:eastAsia="Arial" w:hAnsi="Arial"/>
          <w:sz w:val="15"/>
          <w:szCs w:val="15"/>
          <w:color w:val="auto"/>
        </w:rPr>
        <w:t>You should read this information together with our audited financial statements and related notes appearing elsewhere in this prospectus and the information set forth in the sections titled "Selected Financial Data" and "Management's Discussion and Analysis of Financial Condition and Results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7"/>
              </w:rPr>
              <w:t>As of June 30, 2015</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24" w:lineRule="exact"/>
              <w:rPr>
                <w:sz w:val="20"/>
                <w:szCs w:val="20"/>
                <w:color w:val="auto"/>
              </w:rPr>
            </w:pPr>
            <w:r>
              <w:rPr>
                <w:rFonts w:ascii="Arial" w:cs="Arial" w:eastAsia="Arial" w:hAnsi="Arial"/>
                <w:sz w:val="13"/>
                <w:szCs w:val="13"/>
                <w:b w:val="1"/>
                <w:bCs w:val="1"/>
                <w:color w:val="auto"/>
                <w:w w:val="90"/>
              </w:rPr>
              <w:t>Pro forma as</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Pro forma</w:t>
            </w: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4060" w:type="dxa"/>
            <w:vAlign w:val="bottom"/>
            <w:gridSpan w:val="11"/>
          </w:tcPr>
          <w:p>
            <w:pPr>
              <w:ind w:left="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168,647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168,647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231,547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140" w:type="dxa"/>
            <w:vAlign w:val="bottom"/>
          </w:tcPr>
          <w:p>
            <w:pPr>
              <w:spacing w:after="0"/>
              <w:rPr>
                <w:sz w:val="15"/>
                <w:szCs w:val="15"/>
                <w:color w:val="auto"/>
              </w:rPr>
            </w:pPr>
          </w:p>
        </w:tc>
        <w:tc>
          <w:tcPr>
            <w:tcW w:w="62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2"/>
              </w:rPr>
              <w:t>Redeemable convertible preferred stock (Series A), $0.001 par value: 45,000,000 shares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2"/>
              </w:rPr>
              <w:t>authorized, issued and outstanding, actual; 0 shares authorized, issued or outstanding,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 forma and pro forma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59,242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220" w:type="dxa"/>
            <w:vAlign w:val="bottom"/>
          </w:tcPr>
          <w:p>
            <w:pPr>
              <w:ind w:left="20"/>
              <w:spacing w:after="0"/>
              <w:rPr>
                <w:sz w:val="20"/>
                <w:szCs w:val="20"/>
                <w:color w:val="auto"/>
              </w:rPr>
            </w:pPr>
            <w:r>
              <w:rPr>
                <w:rFonts w:ascii="Arial" w:cs="Arial" w:eastAsia="Arial" w:hAnsi="Arial"/>
                <w:sz w:val="17"/>
                <w:szCs w:val="17"/>
                <w:color w:val="auto"/>
                <w:w w:val="92"/>
              </w:rPr>
              <w:t>Redeemable convertible preferred stock (Series B), $0.001 par value: 30,000,001 shares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7"/>
                <w:szCs w:val="17"/>
                <w:color w:val="auto"/>
                <w:w w:val="92"/>
              </w:rPr>
              <w:t>authorized, issued and outstanding, actual; 0 shares authorized, issued or outstanding,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7"/>
                <w:szCs w:val="17"/>
                <w:color w:val="auto"/>
              </w:rPr>
              <w:t>pro forma or pro forma as adjusted</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87,022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220" w:type="dxa"/>
            <w:vAlign w:val="bottom"/>
          </w:tcPr>
          <w:p>
            <w:pPr>
              <w:ind w:left="180"/>
              <w:spacing w:after="0"/>
              <w:rPr>
                <w:sz w:val="20"/>
                <w:szCs w:val="20"/>
                <w:color w:val="auto"/>
              </w:rPr>
            </w:pPr>
            <w:r>
              <w:rPr>
                <w:rFonts w:ascii="Arial" w:cs="Arial" w:eastAsia="Arial" w:hAnsi="Arial"/>
                <w:sz w:val="17"/>
                <w:szCs w:val="17"/>
                <w:color w:val="auto"/>
                <w:w w:val="94"/>
              </w:rPr>
              <w:t>Preferred stock, $0.001 par value: no shares authorized actual; no shares authorized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7"/>
                <w:szCs w:val="17"/>
                <w:color w:val="auto"/>
                <w:w w:val="91"/>
              </w:rPr>
              <w:t>pro forma; 5,000,000 shares authorized pro forma as adjusted; no shares issued and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7"/>
                <w:szCs w:val="17"/>
                <w:color w:val="auto"/>
              </w:rPr>
              <w:t>outstanding, actual, pro forma or pro forma as adjusted</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Common stock, $0.001 par value: 95,000,000 shares authorized; 1,227,314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issued and outstanding, actual; 95,000,000 shares authorized, pro forma;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18,874,368 shares issued and outstanding, pro forma; 120,000,000 shares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authorized, pro forma as adjusted; 23,874,368 shares issued and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forma as adjusted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143,338</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206,233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(41,534)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(38,622)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(38,622)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 equity</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(41,549)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167,615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20" w:type="dxa"/>
            <w:vAlign w:val="bottom"/>
          </w:tcPr>
          <w:p>
            <w:pPr>
              <w:ind w:left="540"/>
              <w:spacing w:after="0"/>
              <w:rPr>
                <w:sz w:val="20"/>
                <w:szCs w:val="20"/>
                <w:color w:val="auto"/>
              </w:rPr>
            </w:pPr>
            <w:r>
              <w:rPr>
                <w:rFonts w:ascii="Arial" w:cs="Arial" w:eastAsia="Arial" w:hAnsi="Arial"/>
                <w:sz w:val="17"/>
                <w:szCs w:val="17"/>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104,715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104,715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167,615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jc w:val="right"/>
              <w:ind w:right="1475"/>
              <w:spacing w:after="0"/>
              <w:rPr>
                <w:sz w:val="20"/>
                <w:szCs w:val="20"/>
                <w:color w:val="auto"/>
              </w:rPr>
            </w:pPr>
            <w:r>
              <w:rPr>
                <w:rFonts w:ascii="Arial" w:cs="Arial" w:eastAsia="Arial" w:hAnsi="Arial"/>
                <w:sz w:val="17"/>
                <w:szCs w:val="17"/>
                <w:color w:val="auto"/>
              </w:rPr>
              <w:t>64</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firstLine="338"/>
        <w:spacing w:after="0" w:line="282" w:lineRule="auto"/>
        <w:rPr>
          <w:sz w:val="20"/>
          <w:szCs w:val="20"/>
          <w:color w:val="auto"/>
        </w:rPr>
      </w:pPr>
      <w:r>
        <w:rPr>
          <w:rFonts w:ascii="Arial" w:cs="Arial" w:eastAsia="Arial" w:hAnsi="Arial"/>
          <w:sz w:val="17"/>
          <w:szCs w:val="17"/>
          <w:color w:val="auto"/>
        </w:rPr>
        <w:t>The number of shares of our common stock shown as outstanding on an actual, pro forma and pro forma as adjusted basis in the table above excludes the following:</w:t>
      </w:r>
    </w:p>
    <w:p>
      <w:pPr>
        <w:spacing w:after="0" w:line="183" w:lineRule="exact"/>
        <w:rPr>
          <w:sz w:val="20"/>
          <w:szCs w:val="20"/>
          <w:color w:val="auto"/>
        </w:rPr>
      </w:pPr>
    </w:p>
    <w:p>
      <w:pPr>
        <w:ind w:left="1060" w:right="1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339,035 shares of common stock issuable upon the exercise of outstanding options as of June 30, 2015 having a weighted average exercise price of $7.27;</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2,160,342 shares of unvested restricted common stock subject to repurchase as of June 30, 2015;</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5,070 shares of common stock reserved for future issuance under our 2014 Stock Option and Grant Plan, as amended, as of June 30, 2015;</w:t>
      </w:r>
    </w:p>
    <w:p>
      <w:pPr>
        <w:spacing w:after="0" w:line="248" w:lineRule="exact"/>
        <w:rPr>
          <w:rFonts w:ascii="Arial" w:cs="Arial" w:eastAsia="Arial" w:hAnsi="Arial"/>
          <w:sz w:val="16"/>
          <w:szCs w:val="16"/>
          <w:color w:val="auto"/>
        </w:rPr>
      </w:pPr>
    </w:p>
    <w:p>
      <w:pPr>
        <w:ind w:left="1060" w:right="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1,311,812 shares of common stock reserved for future issuance under our 2015 Stock Option Plan, which will become effective immediately prior to the completion of this offering;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262,362 shares of common stock reserved for future issuance under our 2015 ESPP, which will become effective immediately prior to the completion of this offering.</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per share is determined by dividing our total tangible assets less our total liabilities by the number of shares of common stock outstanding.</w:t>
      </w:r>
    </w:p>
    <w:p>
      <w:pPr>
        <w:spacing w:after="0" w:line="163"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Our historical net tangible book deficit as of June 30, 2015 was approximately $(41.5) million, or $(33.85) per share, based on 1,227,314 shares of common stock outstanding as of June 30, 2015. Our pro forma net tangible book value as of June 30, 2015 is approximately $104.7 million, or $5.55 per share, based on the total number of shares of common stock outstanding as of June 30, 2015, after giving effect to the automatic conversion of all outstanding shares of redeemable convertible preferred stock as of June 30, 2015 into 17,647,054 shares of common stock immediately prior to the completion of this offering.</w:t>
      </w:r>
    </w:p>
    <w:p>
      <w:pPr>
        <w:spacing w:after="0" w:line="169"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After giving further effect to the sale of 5,000,000 shares of common stock in this offering at the initial public offering price of $14.00 per share, and after deducting underwriting discounts and commissions and estimated offering expenses payable by us, our pro forma as adjusted net tangible book value as of June 30, 2015 would have been $167.6 million, or $7.02 per share. This amount represents an immediate increase in pro forma as adjusted net tangible book value of $1.47 per share to our existing stockholders and immediate dilution in net tangible book value of $6.98 per share to new investors purchasing shares of common stock in this offering. The following table illustrates this dilution:</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Initial public offering price per share</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w:t>
            </w:r>
          </w:p>
        </w:tc>
      </w:tr>
      <w:tr>
        <w:trPr>
          <w:trHeight w:val="210"/>
        </w:trPr>
        <w:tc>
          <w:tcPr>
            <w:tcW w:w="7540" w:type="dxa"/>
            <w:vAlign w:val="bottom"/>
          </w:tcPr>
          <w:p>
            <w:pPr>
              <w:ind w:left="180"/>
              <w:spacing w:after="0"/>
              <w:rPr>
                <w:sz w:val="20"/>
                <w:szCs w:val="20"/>
                <w:color w:val="auto"/>
              </w:rPr>
            </w:pPr>
            <w:r>
              <w:rPr>
                <w:rFonts w:ascii="Arial" w:cs="Arial" w:eastAsia="Arial" w:hAnsi="Arial"/>
                <w:sz w:val="17"/>
                <w:szCs w:val="17"/>
                <w:color w:val="auto"/>
              </w:rPr>
              <w:t>Historical net tangible book deficit per share as of June 30, 2015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(33.85)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Increase in pro forma net tangible book value per share attributable to the conversion of our convertible</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preferred stock</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7540" w:type="dxa"/>
            <w:vAlign w:val="bottom"/>
          </w:tcPr>
          <w:p>
            <w:pPr>
              <w:ind w:left="180"/>
              <w:spacing w:after="0"/>
              <w:rPr>
                <w:sz w:val="20"/>
                <w:szCs w:val="20"/>
                <w:color w:val="auto"/>
              </w:rPr>
            </w:pPr>
            <w:r>
              <w:rPr>
                <w:rFonts w:ascii="Arial" w:cs="Arial" w:eastAsia="Arial" w:hAnsi="Arial"/>
                <w:sz w:val="17"/>
                <w:szCs w:val="17"/>
                <w:color w:val="auto"/>
              </w:rPr>
              <w:t>Pro forma net tangible book value per share as of June 30, 2015</w:t>
            </w: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7540" w:type="dxa"/>
            <w:vAlign w:val="bottom"/>
          </w:tcPr>
          <w:p>
            <w:pPr>
              <w:ind w:left="20"/>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40" w:type="dxa"/>
            <w:vAlign w:val="bottom"/>
          </w:tcPr>
          <w:p>
            <w:pPr>
              <w:spacing w:after="0"/>
              <w:rPr>
                <w:sz w:val="17"/>
                <w:szCs w:val="17"/>
                <w:color w:val="auto"/>
              </w:rPr>
            </w:pPr>
          </w:p>
        </w:tc>
      </w:tr>
      <w:tr>
        <w:trPr>
          <w:trHeight w:val="204"/>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Dilution per share to new investors</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6.98</w:t>
            </w:r>
          </w:p>
        </w:tc>
      </w:tr>
      <w:tr>
        <w:trPr>
          <w:trHeight w:val="20"/>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If the underwriters exercise their option to purchase additional shares in full, the pro forma as adjusted net tangible book value per share of our common stock immediately after this offering would be $7.20 per share, representing an increase to existing stockholders of $1.65 per share, and an immediate dilution of $6.80 per share to new investors.</w:t>
      </w:r>
    </w:p>
    <w:p>
      <w:pPr>
        <w:spacing w:after="0" w:line="179"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following table summarizes, on a pro forma as adjusted basis as of June 30, 2015, the differences between the number of shares of common stock purchased, the total consideration and the average price per share paid by existing stockholders (giving effect to the conversion of all outstanding shares of our convertible preferred stock into 17,647,054 shares of common stock immediately prior to the completion of this offering) and by new investors in this offering, at the initial public offering price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of $14.00 per share, and before deducting underwriting discounts and commissions and estimated offering expenses payable by us:</w:t>
      </w:r>
    </w:p>
    <w:p>
      <w:pPr>
        <w:spacing w:after="0" w:line="200" w:lineRule="exact"/>
        <w:rPr>
          <w:sz w:val="20"/>
          <w:szCs w:val="20"/>
          <w:color w:val="auto"/>
        </w:rPr>
      </w:pP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b w:val="1"/>
                <w:bCs w:val="1"/>
                <w:color w:val="auto"/>
                <w:w w:val="89"/>
              </w:rPr>
              <w:t>Total</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92"/>
        </w:trPr>
        <w:tc>
          <w:tcPr>
            <w:tcW w:w="3260" w:type="dxa"/>
            <w:vAlign w:val="bottom"/>
          </w:tcPr>
          <w:p>
            <w:pPr>
              <w:spacing w:after="0"/>
              <w:rPr>
                <w:sz w:val="7"/>
                <w:szCs w:val="7"/>
                <w:color w:val="auto"/>
              </w:rPr>
            </w:pPr>
          </w:p>
        </w:tc>
        <w:tc>
          <w:tcPr>
            <w:tcW w:w="186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gridSpan w:val="4"/>
            <w:vMerge w:val="restart"/>
          </w:tcPr>
          <w:p>
            <w:pPr>
              <w:jc w:val="right"/>
              <w:ind w:right="600"/>
              <w:spacing w:after="0"/>
              <w:rPr>
                <w:sz w:val="20"/>
                <w:szCs w:val="20"/>
                <w:color w:val="auto"/>
              </w:rPr>
            </w:pPr>
            <w:r>
              <w:rPr>
                <w:rFonts w:ascii="Arial" w:cs="Arial" w:eastAsia="Arial" w:hAnsi="Arial"/>
                <w:sz w:val="13"/>
                <w:szCs w:val="13"/>
                <w:b w:val="1"/>
                <w:bCs w:val="1"/>
                <w:color w:val="auto"/>
              </w:rPr>
              <w:t>Consideration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26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326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260" w:type="dxa"/>
            <w:vAlign w:val="bottom"/>
          </w:tcPr>
          <w:p>
            <w:pPr>
              <w:spacing w:after="0"/>
              <w:rPr>
                <w:sz w:val="13"/>
                <w:szCs w:val="13"/>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Percent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4"/>
          </w:tcPr>
          <w:p>
            <w:pPr>
              <w:jc w:val="right"/>
              <w:ind w:right="600"/>
              <w:spacing w:after="0" w:line="138"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21,034,710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7"/>
                <w:szCs w:val="17"/>
                <w:color w:val="auto"/>
              </w:rPr>
              <w:t>New investors</w:t>
            </w:r>
          </w:p>
        </w:tc>
        <w:tc>
          <w:tcPr>
            <w:tcW w:w="900" w:type="dxa"/>
            <w:vAlign w:val="bottom"/>
          </w:tcPr>
          <w:p>
            <w:pPr>
              <w:jc w:val="right"/>
              <w:spacing w:after="0"/>
              <w:rPr>
                <w:sz w:val="20"/>
                <w:szCs w:val="20"/>
                <w:color w:val="auto"/>
              </w:rPr>
            </w:pPr>
            <w:r>
              <w:rPr>
                <w:rFonts w:ascii="Arial" w:cs="Arial" w:eastAsia="Arial" w:hAnsi="Arial"/>
                <w:sz w:val="17"/>
                <w:szCs w:val="17"/>
                <w:color w:val="auto"/>
              </w:rPr>
              <w:t>5,000,000</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70,000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26,034,710</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205,087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If the underwriters exercise their option to purchase additional shares in full from us, our existing stockholders would own 78.5% and our new investors would own 21.5% of the total number of shares of our common stock outstanding after this offering.</w:t>
      </w:r>
    </w:p>
    <w:p>
      <w:pPr>
        <w:spacing w:after="0" w:line="170" w:lineRule="exact"/>
        <w:rPr>
          <w:sz w:val="20"/>
          <w:szCs w:val="20"/>
          <w:color w:val="auto"/>
        </w:rPr>
      </w:pPr>
    </w:p>
    <w:p>
      <w:pPr>
        <w:ind w:firstLine="338"/>
        <w:spacing w:after="0" w:line="352" w:lineRule="auto"/>
        <w:rPr>
          <w:sz w:val="20"/>
          <w:szCs w:val="20"/>
          <w:color w:val="auto"/>
        </w:rPr>
      </w:pPr>
      <w:r>
        <w:rPr>
          <w:rFonts w:ascii="Arial" w:cs="Arial" w:eastAsia="Arial" w:hAnsi="Arial"/>
          <w:sz w:val="15"/>
          <w:szCs w:val="15"/>
          <w:color w:val="auto"/>
        </w:rPr>
        <w:t>The number of shares of common stock outstanding after this offering is based on 21,034,710 shares of our common stock outstanding as of June 30, 2015 (including 2,160,342 shares that are subject to repurchase by us and are not considered outstanding for accounting purposes until vested), and excludes the following:</w:t>
      </w:r>
    </w:p>
    <w:p>
      <w:pPr>
        <w:spacing w:after="0" w:line="136" w:lineRule="exact"/>
        <w:rPr>
          <w:sz w:val="20"/>
          <w:szCs w:val="20"/>
          <w:color w:val="auto"/>
        </w:rPr>
      </w:pPr>
    </w:p>
    <w:p>
      <w:pPr>
        <w:ind w:left="1060" w:right="20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339,035 shares of common stock issuable upon the exercise of outstanding options as of June 30, 2015 having a weighted average exercise price of $7.27;</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5,070 shares of common stock reserved for future issuance under our 2014 Stock Option and Grant Plan, as amended, as of June 30, 2015;</w:t>
      </w:r>
    </w:p>
    <w:p>
      <w:pPr>
        <w:spacing w:after="0" w:line="248" w:lineRule="exact"/>
        <w:rPr>
          <w:rFonts w:ascii="Arial" w:cs="Arial" w:eastAsia="Arial" w:hAnsi="Arial"/>
          <w:sz w:val="16"/>
          <w:szCs w:val="16"/>
          <w:color w:val="auto"/>
        </w:rPr>
      </w:pPr>
    </w:p>
    <w:p>
      <w:pPr>
        <w:ind w:left="1060" w:right="10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1,311,812 shares of common stock reserved for future issuance under our 2015 Stock Option Plan, which will become effective immediately prior to the completion of this offering; and</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262,362 shares of common stock reserved for future issuance under our 2015 ESPP, which will become effective immediately prior to the completion of this offering.</w:t>
      </w:r>
    </w:p>
    <w:p>
      <w:pPr>
        <w:spacing w:after="0" w:line="170"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New investors will experience further dilution if any of our outstanding options are exercised, new options are issued and exercised under our equity incentive plans or we issue additional shares of common stock, other equity securities or convertible debt securities in the future.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i w:val="1"/>
          <w:iCs w:val="1"/>
          <w:color w:val="auto"/>
        </w:rPr>
        <w:t>You should read the following selected financial data together with our financial statements and the related notes appearing at the end of this prospectus and the section titled "Management's Discussion and Analysis of Financial Condition and Results of Operations". We have derived the statements of operations data for the period and year ended December 31, 2013 and 2014, respectively, and the balance sheet data as of December 31, 2013 and 2014 from our audited financial statements included elsewhere in this prospectus. We have derived the statements of operations data for the six months ended June 30, 2014 and 2015 and the balance sheet data as of June 30, 2015 from our unaudited financial statements included elsewhere in this prospectus. The unaudited financial data have been prepared on the same basis as the audited financial statements and, in management's opinion, include all adjustments, consisting only of normal recurring adjustments, necessary for a fair presentation of the financial information as of and for the periods presented. Our historical results are not necessarily indicative of the results that should be expected in the future, and results for the six months ended June 30, 2015 are not necessarily indicative of the results to be expected for the full year ending December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Period from</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6"/>
          </w:tcPr>
          <w:p>
            <w:pPr>
              <w:jc w:val="center"/>
              <w:ind w:right="1500"/>
              <w:spacing w:after="0" w:line="144" w:lineRule="exact"/>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(inception) to</w:t>
            </w: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Year Ended</w:t>
            </w:r>
          </w:p>
        </w:tc>
        <w:tc>
          <w:tcPr>
            <w:tcW w:w="200" w:type="dxa"/>
            <w:vAlign w:val="bottom"/>
          </w:tcPr>
          <w:p>
            <w:pPr>
              <w:spacing w:after="0"/>
              <w:rPr>
                <w:sz w:val="12"/>
                <w:szCs w:val="12"/>
                <w:color w:val="auto"/>
              </w:rPr>
            </w:pPr>
          </w:p>
        </w:tc>
        <w:tc>
          <w:tcPr>
            <w:tcW w:w="1060" w:type="dxa"/>
            <w:vAlign w:val="bottom"/>
            <w:gridSpan w:val="3"/>
          </w:tcPr>
          <w:p>
            <w:pPr>
              <w:jc w:val="center"/>
              <w:ind w:left="501"/>
              <w:spacing w:after="0" w:line="144" w:lineRule="exact"/>
              <w:rPr>
                <w:sz w:val="20"/>
                <w:szCs w:val="20"/>
                <w:color w:val="auto"/>
              </w:rPr>
            </w:pPr>
            <w:r>
              <w:rPr>
                <w:rFonts w:ascii="Arial" w:cs="Arial" w:eastAsia="Arial" w:hAnsi="Arial"/>
                <w:sz w:val="13"/>
                <w:szCs w:val="13"/>
                <w:b w:val="1"/>
                <w:bCs w:val="1"/>
                <w:color w:val="auto"/>
                <w:w w:val="92"/>
              </w:rPr>
              <w:t>June 30,</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2"/>
                <w:szCs w:val="2"/>
                <w:color w:val="auto"/>
              </w:rPr>
            </w:pPr>
          </w:p>
        </w:tc>
        <w:tc>
          <w:tcPr>
            <w:tcW w:w="104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11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40" w:type="dxa"/>
            <w:vAlign w:val="bottom"/>
            <w:gridSpan w:val="6"/>
          </w:tcPr>
          <w:p>
            <w:pPr>
              <w:jc w:val="center"/>
              <w:ind w:right="1480"/>
              <w:spacing w:after="0" w:line="124"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9"/>
          </w:tcPr>
          <w:p>
            <w:pPr>
              <w:jc w:val="right"/>
              <w:spacing w:after="0"/>
              <w:rPr>
                <w:sz w:val="20"/>
                <w:szCs w:val="20"/>
                <w:color w:val="auto"/>
              </w:rPr>
            </w:pPr>
            <w:r>
              <w:rPr>
                <w:rFonts w:ascii="Arial" w:cs="Arial" w:eastAsia="Arial" w:hAnsi="Arial"/>
                <w:sz w:val="13"/>
                <w:szCs w:val="13"/>
                <w:b w:val="1"/>
                <w:bCs w:val="1"/>
                <w:color w:val="auto"/>
              </w:rPr>
              <w:t>(in thousands, except share and per share data)</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7,460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2,316</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8,898</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3,539</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11,978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0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3,766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14,367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6,215</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16,255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(3,766)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(14,367)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(6,215)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(8,795)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(1,950)</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(1,407)</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(9,677)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(7,622)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(18,472)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vMerge w:val="restart"/>
          </w:tcPr>
          <w:p>
            <w:pPr>
              <w:ind w:left="20"/>
              <w:spacing w:after="0"/>
              <w:rPr>
                <w:sz w:val="20"/>
                <w:szCs w:val="20"/>
                <w:color w:val="auto"/>
              </w:rPr>
            </w:pPr>
            <w:r>
              <w:rPr>
                <w:rFonts w:ascii="Arial" w:cs="Arial" w:eastAsia="Arial" w:hAnsi="Arial"/>
                <w:sz w:val="17"/>
                <w:szCs w:val="17"/>
                <w:color w:val="auto"/>
                <w:w w:val="93"/>
              </w:rPr>
              <w:t>Net loss per share attributable to common stockholders,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700" w:type="dxa"/>
            <w:vAlign w:val="bottom"/>
          </w:tcPr>
          <w:p>
            <w:pPr>
              <w:ind w:left="180"/>
              <w:spacing w:after="0" w:line="257" w:lineRule="exact"/>
              <w:rPr>
                <w:sz w:val="20"/>
                <w:szCs w:val="20"/>
                <w:color w:val="auto"/>
              </w:rPr>
            </w:pPr>
            <w:r>
              <w:rPr>
                <w:rFonts w:ascii="Arial" w:cs="Arial" w:eastAsia="Arial" w:hAnsi="Arial"/>
                <w:sz w:val="17"/>
                <w:szCs w:val="17"/>
                <w:color w:val="auto"/>
              </w:rPr>
              <w:t>diluted</w:t>
            </w:r>
            <w:r>
              <w:rPr>
                <w:rFonts w:ascii="Arial" w:cs="Arial" w:eastAsia="Arial" w:hAnsi="Arial"/>
                <w:sz w:val="28"/>
                <w:szCs w:val="2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(1,629.68)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(27.83)</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(15.18)</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(20.83)</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Weighted-average common shares outstanding, basic and</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700" w:type="dxa"/>
            <w:vAlign w:val="bottom"/>
            <w:shd w:val="clear" w:color="auto" w:fill="CCEEFF"/>
          </w:tcPr>
          <w:p>
            <w:pPr>
              <w:ind w:left="180"/>
              <w:spacing w:after="0" w:line="257" w:lineRule="exact"/>
              <w:rPr>
                <w:sz w:val="20"/>
                <w:szCs w:val="20"/>
                <w:color w:val="auto"/>
              </w:rPr>
            </w:pPr>
            <w:r>
              <w:rPr>
                <w:rFonts w:ascii="Arial" w:cs="Arial" w:eastAsia="Arial" w:hAnsi="Arial"/>
                <w:sz w:val="17"/>
                <w:szCs w:val="17"/>
                <w:color w:val="auto"/>
              </w:rPr>
              <w:t>diluted</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2,352</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635,448</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532,007</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1,083,112</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vMerge w:val="restart"/>
          </w:tcPr>
          <w:p>
            <w:pPr>
              <w:ind w:left="20"/>
              <w:spacing w:after="0"/>
              <w:rPr>
                <w:sz w:val="20"/>
                <w:szCs w:val="20"/>
                <w:color w:val="auto"/>
              </w:rPr>
            </w:pPr>
            <w:r>
              <w:rPr>
                <w:rFonts w:ascii="Arial" w:cs="Arial" w:eastAsia="Arial" w:hAnsi="Arial"/>
                <w:sz w:val="17"/>
                <w:szCs w:val="17"/>
                <w:color w:val="auto"/>
                <w:w w:val="93"/>
              </w:rPr>
              <w:t>Pro forma 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700" w:type="dxa"/>
            <w:vAlign w:val="bottom"/>
          </w:tcPr>
          <w:p>
            <w:pPr>
              <w:ind w:left="180"/>
              <w:spacing w:after="0" w:line="257" w:lineRule="exact"/>
              <w:rPr>
                <w:sz w:val="20"/>
                <w:szCs w:val="20"/>
                <w:color w:val="auto"/>
              </w:rPr>
            </w:pPr>
            <w:r>
              <w:rPr>
                <w:rFonts w:ascii="Arial" w:cs="Arial" w:eastAsia="Arial" w:hAnsi="Arial"/>
                <w:sz w:val="17"/>
                <w:szCs w:val="17"/>
                <w:color w:val="auto"/>
              </w:rPr>
              <w:t>basic and diluted (unaudited)</w:t>
            </w:r>
            <w:r>
              <w:rPr>
                <w:rFonts w:ascii="Arial" w:cs="Arial" w:eastAsia="Arial" w:hAnsi="Arial"/>
                <w:sz w:val="28"/>
                <w:szCs w:val="28"/>
                <w:color w:val="auto"/>
                <w:vertAlign w:val="superscript"/>
              </w:rPr>
              <w:t>(1)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(3.75)</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(0.59)</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w w:val="96"/>
              </w:rPr>
              <w:t>Pro forma weighted-average common shares outstanding, basic</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700" w:type="dxa"/>
            <w:vAlign w:val="bottom"/>
            <w:shd w:val="clear" w:color="auto" w:fill="CCEEFF"/>
          </w:tcPr>
          <w:p>
            <w:pPr>
              <w:ind w:left="180"/>
              <w:spacing w:after="0" w:line="257" w:lineRule="exact"/>
              <w:rPr>
                <w:sz w:val="20"/>
                <w:szCs w:val="20"/>
                <w:color w:val="auto"/>
              </w:rPr>
            </w:pPr>
            <w:r>
              <w:rPr>
                <w:rFonts w:ascii="Arial" w:cs="Arial" w:eastAsia="Arial" w:hAnsi="Arial"/>
                <w:sz w:val="17"/>
                <w:szCs w:val="17"/>
                <w:color w:val="auto"/>
              </w:rPr>
              <w:t>and diluted (unaudited)</w:t>
            </w:r>
            <w:r>
              <w:rPr>
                <w:rFonts w:ascii="Arial" w:cs="Arial" w:eastAsia="Arial" w:hAnsi="Arial"/>
                <w:sz w:val="28"/>
                <w:szCs w:val="28"/>
                <w:color w:val="auto"/>
                <w:vertAlign w:val="superscript"/>
              </w:rPr>
              <w:t>(1)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3,834,803</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14,713,271</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w w:val="93"/>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7"/>
                <w:szCs w:val="17"/>
                <w:color w:val="auto"/>
              </w:rPr>
              <w:t>Cash, cash equivalents and marketable securities</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7,035</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168,647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(2)</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(3,847)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11,497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173,764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deferred revenue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7"/>
                <w:szCs w:val="17"/>
                <w:color w:val="auto"/>
              </w:rPr>
              <w:t>Redeemable convertible preferred stock</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21,979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stockholders' deficit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(20,830)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(41,549)</w:t>
            </w:r>
          </w:p>
        </w:tc>
        <w:tc>
          <w:tcPr>
            <w:tcW w:w="0" w:type="dxa"/>
            <w:vAlign w:val="bottom"/>
          </w:tcPr>
          <w:p>
            <w:pPr>
              <w:spacing w:after="0"/>
              <w:rPr>
                <w:sz w:val="1"/>
                <w:szCs w:val="1"/>
                <w:color w:val="auto"/>
              </w:rPr>
            </w:pPr>
          </w:p>
        </w:tc>
      </w:tr>
      <w:tr>
        <w:trPr>
          <w:trHeight w:val="105"/>
        </w:trPr>
        <w:tc>
          <w:tcPr>
            <w:tcW w:w="210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right="60" w:hanging="523"/>
        <w:spacing w:after="0" w:line="270" w:lineRule="auto"/>
        <w:tabs>
          <w:tab w:leader="none" w:pos="2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See Statements of Operations Data and Note 2 to our financial statements for further details on the calculation of net loss per share, basic and diluted, attributable to common stockholders and the weighted-average number of shares used in the computation of the per share amounts.</w:t>
      </w:r>
    </w:p>
    <w:p>
      <w:pPr>
        <w:spacing w:after="0" w:line="205" w:lineRule="exact"/>
        <w:rPr>
          <w:rFonts w:ascii="Arial" w:cs="Arial" w:eastAsia="Arial" w:hAnsi="Arial"/>
          <w:sz w:val="17"/>
          <w:szCs w:val="17"/>
          <w:color w:val="auto"/>
        </w:rPr>
      </w:pPr>
    </w:p>
    <w:p>
      <w:pPr>
        <w:ind w:left="2240" w:hanging="523"/>
        <w:spacing w:after="0" w:line="282" w:lineRule="auto"/>
        <w:tabs>
          <w:tab w:leader="none" w:pos="2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 See our financial statements for further details regarding our current assets and current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RESULTS OF OPERATIONS</w:t>
      </w:r>
    </w:p>
    <w:p>
      <w:pPr>
        <w:spacing w:after="0" w:line="21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of this prospectus, our actual results could differ materially from the results described in or implied by the forward-looking statements contained in the following discussion and analysis.</w:t>
      </w:r>
    </w:p>
    <w:p>
      <w:pPr>
        <w:spacing w:after="0" w:line="174" w:lineRule="exact"/>
        <w:rPr>
          <w:sz w:val="20"/>
          <w:szCs w:val="20"/>
          <w:color w:val="auto"/>
        </w:rPr>
      </w:pPr>
    </w:p>
    <w:p>
      <w:pPr>
        <w:ind w:right="220" w:firstLine="338"/>
        <w:spacing w:after="0" w:line="279" w:lineRule="auto"/>
        <w:rPr>
          <w:sz w:val="20"/>
          <w:szCs w:val="20"/>
          <w:color w:val="auto"/>
        </w:rPr>
      </w:pPr>
      <w:r>
        <w:rPr>
          <w:rFonts w:ascii="Arial" w:cs="Arial" w:eastAsia="Arial" w:hAnsi="Arial"/>
          <w:sz w:val="16"/>
          <w:szCs w:val="16"/>
          <w:color w:val="auto"/>
        </w:rPr>
        <w:t>We are a clinical-stage gene therapy company focused on developing life-changing treatments for patients suffering from severe diseases of the central nervous system, or CNS. We focus on CNS diseases where we believe an adeno-associated virus gene, or AAV, therapy approach that either increases or decreases the production of a specific protein can slow or reduce the symptoms experienced by patients, and therefore have a clinically meaningful impact. We have created a product engine, which enables us to engineer, optimize, manufacture and deliver our AAV-based gene therapies that have the potential to provide durable efficacy following a single administration directly to the CNS. Our product engine has rapidly generated programs for five CNS indications, including advanced Parkinson's disease; a monogenic form of ALS; Friedreich's ataxia; Huntington's disease; and SMA. Our most advanced clinical candidate, VY-AADC01, is being evaluated for the treatment of advanced Parkinson's disease in an open-label, Phase 1b clinical trial with the goal of generating human proof-of-concept data in the second half of 2016. Our goal is to submit an IND for one of our current preclinical programs in 2017.</w:t>
      </w:r>
    </w:p>
    <w:p>
      <w:pPr>
        <w:spacing w:after="0" w:line="177" w:lineRule="exact"/>
        <w:rPr>
          <w:sz w:val="20"/>
          <w:szCs w:val="20"/>
          <w:color w:val="auto"/>
        </w:rPr>
      </w:pPr>
    </w:p>
    <w:p>
      <w:pPr>
        <w:ind w:right="80" w:firstLine="341"/>
        <w:spacing w:after="0" w:line="279" w:lineRule="auto"/>
        <w:rPr>
          <w:sz w:val="20"/>
          <w:szCs w:val="20"/>
          <w:color w:val="auto"/>
        </w:rPr>
      </w:pPr>
      <w:r>
        <w:rPr>
          <w:rFonts w:ascii="Arial" w:cs="Arial" w:eastAsia="Arial" w:hAnsi="Arial"/>
          <w:sz w:val="16"/>
          <w:szCs w:val="16"/>
          <w:color w:val="auto"/>
        </w:rPr>
        <w:t>Since our inception on June 19, 2013, our operations have focused on organizing and staffing our company, business planning, raising capital, establishing our intellectual property portfolio, determining which CNS indications to pursue and conducting preclinical studies and clinical trials. We do not have any product candidates approved for sale and have not generated any revenue from product sales. We have funded our operations primarily through private placements of our Series A redeemable convertible Preferred Stock, which we refer to as our Series A Preferred Stock, and Series B redeemable convertible Preferred Stock, which we refer to as our Series B Preferred Stock and together with our Series A Preferred Stock, our redeemable convertible preferred stock, and our collaboration with Genzyme, or the Genzyme Collaboration, which commenced in February 2015. From inception through June 30, 2015, we have raised an aggregate of $135.0 million of gross proceeds from sales of our redeemable convertible preferred stock and convertible promissory notes, and additionally received a $65.0 million up-front payment from the Genzyme Collaboration to fund our operations.</w:t>
      </w:r>
    </w:p>
    <w:p>
      <w:pPr>
        <w:spacing w:after="0" w:line="177"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Since inception, we have incurred significant operating losses. Our net losses were $3.8 million and $16.3 million for the period and year ended December 31, 2013 and 2014, respectively, and $18.5 million for the six months ended June 30, 2015. As of June 30, 2015, we had an accumulated deficit of $41.5 million. We expect to continue to incur significant expenses and operating losses for the foreseeable future. We anticipate that our expenses will increase significantly in connection with our ongoing activities, as we:</w:t>
      </w:r>
    </w:p>
    <w:p>
      <w:pPr>
        <w:spacing w:after="0" w:line="199" w:lineRule="exact"/>
        <w:rPr>
          <w:sz w:val="20"/>
          <w:szCs w:val="20"/>
          <w:color w:val="auto"/>
        </w:rPr>
      </w:pPr>
    </w:p>
    <w:p>
      <w:pPr>
        <w:ind w:left="1060" w:right="22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investment in our product engine, including preclinical development of our programs and moving such programs into clinical development, and manufacturing facilities;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clinical development of VY-AADC01 as a treatment for advanced Parkinson's disease;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preclinical development of our other programs and begin moving such other programs into clinical development;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hire additional research, development, general and administrative personnel;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upon the completion of this offering.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product sales for the forseeable future. For the six months ended June 30, 2015, we recognized $7.5 million of collaboration revenue from the Genzyme Collaboration. For additional information about our revenue recognition policy related to the Genzyme Collaboration, see the section titled "—Critical Accounting Policies and Estimates—Revenue."</w:t>
      </w:r>
    </w:p>
    <w:p>
      <w:pPr>
        <w:spacing w:after="0" w:line="163"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For the foreseeable future, we expect substantially all of our revenue will be generated from the Genzyme Collaboration, and any other strategic relationships we may enter into. If our development efforts are successful, we may also generate revenue from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program discovery efforts, and the development of our programs and product engine, which include:</w:t>
      </w:r>
    </w:p>
    <w:p>
      <w:pPr>
        <w:spacing w:after="0" w:line="183"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of funding research performed by third parties that conduct research and development, preclinical activities, manufacturing and production design on our behalf;</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cost of purchasing lab supplies and non-capital equipment used in designing, developing and manufacturing preclinical study materials;</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consultant fees;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facility costs including rent, depreciation and maintenance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fees for maintaining licenses under our third-party licensing agreements.</w:t>
      </w:r>
    </w:p>
    <w:p>
      <w:pPr>
        <w:spacing w:after="0" w:line="224" w:lineRule="exact"/>
        <w:rPr>
          <w:sz w:val="20"/>
          <w:szCs w:val="20"/>
          <w:color w:val="auto"/>
        </w:rPr>
      </w:pPr>
    </w:p>
    <w:p>
      <w:pPr>
        <w:ind w:right="540" w:firstLine="341"/>
        <w:spacing w:after="0" w:line="270"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79" w:lineRule="exact"/>
        <w:rPr>
          <w:sz w:val="20"/>
          <w:szCs w:val="20"/>
          <w:color w:val="auto"/>
        </w:rPr>
      </w:pPr>
    </w:p>
    <w:p>
      <w:pPr>
        <w:jc w:val="both"/>
        <w:ind w:right="180" w:firstLine="332"/>
        <w:spacing w:after="0" w:line="294"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76"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establishing an appropriate safety profile;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receipt of marketing approvals from applicable regulatory authorities;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commercializing the product candidates, if and when approved, whether alone or in collaboration with others;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continued acceptable safety profiles of the products following approval;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retention of key research and development personnel.</w:t>
      </w:r>
    </w:p>
    <w:p>
      <w:pPr>
        <w:spacing w:after="0" w:line="224"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70" w:lineRule="exact"/>
        <w:rPr>
          <w:sz w:val="20"/>
          <w:szCs w:val="20"/>
          <w:color w:val="auto"/>
        </w:rPr>
      </w:pPr>
    </w:p>
    <w:p>
      <w:pPr>
        <w:ind w:right="120" w:firstLine="341"/>
        <w:spacing w:after="0" w:line="306" w:lineRule="auto"/>
        <w:rPr>
          <w:sz w:val="20"/>
          <w:szCs w:val="20"/>
          <w:color w:val="auto"/>
        </w:rPr>
      </w:pPr>
      <w:r>
        <w:rPr>
          <w:rFonts w:ascii="Arial" w:cs="Arial" w:eastAsia="Arial" w:hAnsi="Arial"/>
          <w:sz w:val="15"/>
          <w:szCs w:val="15"/>
          <w:color w:val="auto"/>
        </w:rPr>
        <w:t>Research and development activities are central to our business model. We expect research and development costs to increase significantly for the foreseeable future as our development programs progress, including as we continue to support the Phase 1b clinical trial of VY-AADC01 as a treatment for advanced Parkinson's disease, and move such product candidates into additional clinical trials.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63" w:lineRule="exact"/>
        <w:rPr>
          <w:sz w:val="20"/>
          <w:szCs w:val="20"/>
          <w:color w:val="auto"/>
        </w:rPr>
      </w:pPr>
    </w:p>
    <w:p>
      <w:pPr>
        <w:ind w:right="180" w:firstLine="338"/>
        <w:spacing w:after="0" w:line="311" w:lineRule="auto"/>
        <w:rPr>
          <w:sz w:val="20"/>
          <w:szCs w:val="20"/>
          <w:color w:val="auto"/>
        </w:rPr>
      </w:pPr>
      <w:r>
        <w:rPr>
          <w:rFonts w:ascii="Arial" w:cs="Arial" w:eastAsia="Arial" w:hAnsi="Arial"/>
          <w:sz w:val="15"/>
          <w:szCs w:val="15"/>
          <w:color w:val="auto"/>
        </w:rPr>
        <w:t>We anticipate that our general and administrative expenses will increase in the future to support continued research and development activities, including the continuation of the Phase 1b clinical trial of VY-AADC01 and the initiation of our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tax-related services, director and officer insurance premiums and investor relations costs.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4"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Other income (expense) consists primarily of the re-measurement losses associated with the change in the fair value of the Series A Preferred Stock tranche rights for the Series A Preferred Stock. $9.8 million of expense was recorded during the quarter ended March 31, 2015 related to the change in fair value of these rights. In February 2015, upon the issuance of the final tranche of Series A Preferred Stock, the tranche right liability was reclassified to Series A Preferred Stock and no further re-measurement gains or losses will be recognized related to these tranche rights.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45" w:lineRule="exact"/>
        <w:rPr>
          <w:sz w:val="20"/>
          <w:szCs w:val="20"/>
          <w:color w:val="auto"/>
        </w:rPr>
      </w:pPr>
    </w:p>
    <w:p>
      <w:pPr>
        <w:ind w:right="160" w:firstLine="338"/>
        <w:spacing w:after="0" w:line="315"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 xml:space="preserve">As of June 30, 2015, all of our revenue was generated exclusively from the Genzyme Collaboration. We recognize revenue in accordance with Financial Accounting Standards Board, or FASB, Accounting Standards Codification, or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or ASC 605. Accordingly, revenue is recognized for each unit of accounting when all of the following criteria are met:</w:t>
      </w:r>
    </w:p>
    <w:p>
      <w:pPr>
        <w:spacing w:after="0" w:line="192"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seller's price to the buyer is fixed or determinable;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224" w:lineRule="exact"/>
        <w:rPr>
          <w:sz w:val="20"/>
          <w:szCs w:val="20"/>
          <w:color w:val="auto"/>
        </w:rPr>
      </w:pPr>
    </w:p>
    <w:p>
      <w:pPr>
        <w:ind w:right="140" w:firstLine="332"/>
        <w:spacing w:after="0" w:line="294"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Multiple Elements Arrangements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Determination of Accounting Units</w:t>
      </w:r>
    </w:p>
    <w:p>
      <w:pPr>
        <w:spacing w:after="0" w:line="224" w:lineRule="exact"/>
        <w:rPr>
          <w:sz w:val="20"/>
          <w:szCs w:val="20"/>
          <w:color w:val="auto"/>
        </w:rPr>
      </w:pPr>
    </w:p>
    <w:p>
      <w:pPr>
        <w:ind w:right="160" w:firstLine="338"/>
        <w:spacing w:after="0" w:line="296" w:lineRule="auto"/>
        <w:rPr>
          <w:sz w:val="20"/>
          <w:szCs w:val="20"/>
          <w:color w:val="auto"/>
        </w:rPr>
      </w:pPr>
      <w:r>
        <w:rPr>
          <w:rFonts w:ascii="Arial" w:cs="Arial" w:eastAsia="Arial" w:hAnsi="Arial"/>
          <w:sz w:val="15"/>
          <w:szCs w:val="15"/>
          <w:color w:val="auto"/>
        </w:rPr>
        <w:t xml:space="preserve">We analyze multiple element arrangements based on the guidance in FASB ASC Topic 605-25, </w:t>
      </w:r>
      <w:r>
        <w:rPr>
          <w:rFonts w:ascii="Arial" w:cs="Arial" w:eastAsia="Arial" w:hAnsi="Arial"/>
          <w:sz w:val="15"/>
          <w:szCs w:val="15"/>
          <w:i w:val="1"/>
          <w:iCs w:val="1"/>
          <w:color w:val="auto"/>
        </w:rPr>
        <w:t>Revenue Recognition—Multiple Element Arrangements,</w:t>
      </w:r>
      <w:r>
        <w:rPr>
          <w:rFonts w:ascii="Arial" w:cs="Arial" w:eastAsia="Arial" w:hAnsi="Arial"/>
          <w:sz w:val="15"/>
          <w:szCs w:val="15"/>
          <w:color w:val="auto"/>
        </w:rPr>
        <w:t xml:space="preserve"> or ASC 605-25. Pursuant to the guidance in ASC 605-25, we evaluate multiple element arrangements to determine (1) the deliverables included in the arrangement and</w:t>
      </w:r>
    </w:p>
    <w:p>
      <w:pPr>
        <w:ind w:firstLine="5"/>
        <w:spacing w:after="0" w:line="277" w:lineRule="auto"/>
        <w:tabs>
          <w:tab w:leader="none" w:pos="241"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our control. In assessing whether an item has standalone value, we consider factors such as the research, manufacturing and commercialization capabilities of the collaboration partner and the availability of the associated expertise in the general marketplace. We also consider whether our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Genzyme Collaboration does not provide for a general right of return relative to any delivered items.</w:t>
      </w:r>
    </w:p>
    <w:p>
      <w:pPr>
        <w:spacing w:after="0" w:line="180"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Options are considered substantive if, at the inception of the arrangement, we are at risk as to whether the collaboration partner will choose to exercise the option. Factors that we consider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60"/>
        <w:spacing w:after="0" w:line="280" w:lineRule="auto"/>
        <w:rPr>
          <w:sz w:val="20"/>
          <w:szCs w:val="20"/>
          <w:color w:val="auto"/>
        </w:rPr>
      </w:pPr>
      <w:r>
        <w:rPr>
          <w:rFonts w:ascii="Arial" w:cs="Arial" w:eastAsia="Arial" w:hAnsi="Arial"/>
          <w:sz w:val="16"/>
          <w:szCs w:val="16"/>
          <w:color w:val="auto"/>
        </w:rPr>
        <w:t>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we do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we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Allocation of Arrangement Consideration</w:t>
      </w:r>
    </w:p>
    <w:p>
      <w:pPr>
        <w:spacing w:after="0" w:line="224" w:lineRule="exact"/>
        <w:rPr>
          <w:sz w:val="20"/>
          <w:szCs w:val="20"/>
          <w:color w:val="auto"/>
        </w:rPr>
      </w:pPr>
    </w:p>
    <w:p>
      <w:pPr>
        <w:ind w:firstLine="332"/>
        <w:spacing w:after="0" w:line="260" w:lineRule="auto"/>
        <w:rPr>
          <w:sz w:val="20"/>
          <w:szCs w:val="20"/>
          <w:color w:val="auto"/>
        </w:rPr>
      </w:pPr>
      <w:r>
        <w:rPr>
          <w:rFonts w:ascii="Arial" w:cs="Arial" w:eastAsia="Arial" w:hAnsi="Arial"/>
          <w:sz w:val="17"/>
          <w:szCs w:val="17"/>
          <w:color w:val="auto"/>
        </w:rPr>
        <w:t>Arrangement consideration that is fixed or determinable is allocated among the separate units of accounting using the relative selling price method. The applicable revenue recognition criteria in ASC 605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 specific objective evidence, or VSOE, of selling price, if available, third party evidence, or TPE, of selling price if VSOE is not available, or best estimate of selling price, or BESP, if neither VSOE or TPE is available. We have only used BESP to estimate the selling price, since we have not had VSOE or TPE of selling price for any units of accounting to date. Determining BESP for a unit of accounting requires significant judgment. In developing the BESP for a unit of accounting, we consider applicable market conditions and relevant entity specific factors, including factors that were contemplated in negotiating the agreement with the customer and estimated costs. We validate BESP for units of accounting by evaluating whether changes in the key assumptions used by us to determine the BESP will have a significant effect on the allocation of arrangement consideration between multiple units of accounting.</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Pattern of Recognition</w:t>
      </w:r>
    </w:p>
    <w:p>
      <w:pPr>
        <w:spacing w:after="0" w:line="224"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recognize the arrangement's consideration allocated to each unit of accounting when all of the revenue recognition criteria in ASC 605 are satisfied for that particular unit of accounting. We will recognize revenue associated with license options upon exercise of the option, if the underlying license has standalone value from the other deliverables to be provided after delivering that license. If the license does not have standalone value, the amounts allocated to the license option will be combined with the related undelivered items as a single unit of accounting. The amounts allocated to the license option in the Genzyme Collaboration will be deferred until the option is exercised. The revenue recognition upon option exercise will be determined based on whether the license has standalone value from the remaining deliverables under the arrangement at the time of exercise.</w:t>
      </w:r>
    </w:p>
    <w:p>
      <w:pPr>
        <w:spacing w:after="0" w:line="188" w:lineRule="exact"/>
        <w:rPr>
          <w:sz w:val="20"/>
          <w:szCs w:val="20"/>
          <w:color w:val="auto"/>
        </w:rPr>
      </w:pPr>
    </w:p>
    <w:p>
      <w:pPr>
        <w:ind w:right="20" w:firstLine="338"/>
        <w:spacing w:after="0" w:line="303" w:lineRule="auto"/>
        <w:rPr>
          <w:sz w:val="20"/>
          <w:szCs w:val="20"/>
          <w:color w:val="auto"/>
        </w:rPr>
      </w:pPr>
      <w:r>
        <w:rPr>
          <w:rFonts w:ascii="Arial" w:cs="Arial" w:eastAsia="Arial" w:hAnsi="Arial"/>
          <w:sz w:val="15"/>
          <w:szCs w:val="15"/>
          <w:color w:val="auto"/>
        </w:rPr>
        <w:t>We recognize the amounts associated with research and development services, alliance joint steering committees and development advisory committees ratably over the associated period of performance. If there is no discernible pattern of performance or objectively measurable performance measures do not exist, then we recognize revenue under the arrangement on a straight-line basis over the period that we are expected to complete our performance obligations. Conversely, if the pattern of performance in which the service is provided to the customer can be determined and objectively measureable performance exists, then we recognize revenue under the arrangement using the proportional performance method. Revenue recognized is limited to the lesser of the cumulative amount of payments received or the cumulative revenue earned determined using the straight line method or proportional performance, as applicable, as of the period end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Recognition of Milestones and Royalties</w:t>
      </w:r>
    </w:p>
    <w:p>
      <w:pPr>
        <w:spacing w:after="0" w:line="224" w:lineRule="exact"/>
        <w:rPr>
          <w:sz w:val="20"/>
          <w:szCs w:val="20"/>
          <w:color w:val="auto"/>
        </w:rPr>
      </w:pPr>
    </w:p>
    <w:p>
      <w:pPr>
        <w:ind w:right="60" w:firstLine="332"/>
        <w:spacing w:after="0" w:line="297" w:lineRule="auto"/>
        <w:rPr>
          <w:sz w:val="20"/>
          <w:szCs w:val="20"/>
          <w:color w:val="auto"/>
        </w:rPr>
      </w:pPr>
      <w:r>
        <w:rPr>
          <w:rFonts w:ascii="Arial" w:cs="Arial" w:eastAsia="Arial" w:hAnsi="Arial"/>
          <w:sz w:val="15"/>
          <w:szCs w:val="15"/>
          <w:color w:val="auto"/>
        </w:rPr>
        <w:t>At the inception of an arrangement that includes milestone payments, 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item(s)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In accordance with FASB ASC Topic 605-28</w:t>
      </w:r>
      <w:r>
        <w:rPr>
          <w:rFonts w:ascii="Arial" w:cs="Arial" w:eastAsia="Arial" w:hAnsi="Arial"/>
          <w:sz w:val="15"/>
          <w:szCs w:val="15"/>
          <w:i w:val="1"/>
          <w:iCs w:val="1"/>
          <w:color w:val="auto"/>
        </w:rPr>
        <w:t>, Revenue Recognition—</w:t>
      </w:r>
      <w:r>
        <w:rPr>
          <w:rFonts w:ascii="Arial" w:cs="Arial" w:eastAsia="Arial" w:hAnsi="Arial"/>
          <w:sz w:val="15"/>
          <w:szCs w:val="15"/>
          <w:color w:val="auto"/>
        </w:rPr>
        <w:t xml:space="preserve"> </w:t>
      </w:r>
      <w:r>
        <w:rPr>
          <w:rFonts w:ascii="Arial" w:cs="Arial" w:eastAsia="Arial" w:hAnsi="Arial"/>
          <w:sz w:val="15"/>
          <w:szCs w:val="15"/>
          <w:i w:val="1"/>
          <w:iCs w:val="1"/>
          <w:color w:val="auto"/>
        </w:rPr>
        <w:t>Milestone Method</w:t>
      </w:r>
      <w:r>
        <w:rPr>
          <w:rFonts w:ascii="Arial" w:cs="Arial" w:eastAsia="Arial" w:hAnsi="Arial"/>
          <w:sz w:val="15"/>
          <w:szCs w:val="15"/>
          <w:color w:val="auto"/>
        </w:rPr>
        <w:t>, or ASC 605-28, clinical and regulatory milestones that are considered substantive, will be recognized as revenue in its entirety upon successful</w:t>
      </w:r>
      <w:r>
        <w:rPr>
          <w:rFonts w:ascii="Arial" w:cs="Arial" w:eastAsia="Arial" w:hAnsi="Arial"/>
          <w:sz w:val="15"/>
          <w:szCs w:val="15"/>
          <w:i w:val="1"/>
          <w:iCs w:val="1"/>
          <w:color w:val="auto"/>
        </w:rPr>
        <w:t xml:space="preserve"> </w:t>
      </w:r>
      <w:r>
        <w:rPr>
          <w:rFonts w:ascii="Arial" w:cs="Arial" w:eastAsia="Arial" w:hAnsi="Arial"/>
          <w:sz w:val="15"/>
          <w:szCs w:val="15"/>
          <w:color w:val="auto"/>
        </w:rPr>
        <w:t>accomplishment of the milestone, assuming all other revenue recognition criteria are met. 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169" w:lineRule="exact"/>
        <w:rPr>
          <w:sz w:val="20"/>
          <w:szCs w:val="20"/>
          <w:color w:val="auto"/>
        </w:rPr>
      </w:pPr>
    </w:p>
    <w:p>
      <w:pPr>
        <w:ind w:right="420" w:firstLine="338"/>
        <w:spacing w:after="0" w:line="315" w:lineRule="auto"/>
        <w:rPr>
          <w:sz w:val="20"/>
          <w:szCs w:val="20"/>
          <w:color w:val="auto"/>
        </w:rPr>
      </w:pPr>
      <w:r>
        <w:rPr>
          <w:rFonts w:ascii="Arial" w:cs="Arial" w:eastAsia="Arial" w:hAnsi="Arial"/>
          <w:sz w:val="16"/>
          <w:szCs w:val="16"/>
          <w:color w:val="auto"/>
        </w:rPr>
        <w:t>We will recognize royalty revenue in the period of sale of the related product(s), based on the underlying contract terms, provided that the reported sales are reliably measurable, we have no remaining performance obligations, and assuming all other revenue recognition criteria are met.</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Classifications of Payments to Customers</w:t>
      </w:r>
    </w:p>
    <w:p>
      <w:pPr>
        <w:spacing w:after="0" w:line="224"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color w:val="auto"/>
        </w:rPr>
        <w:t>We also consider the impact of potential future payments we make in our role as a vendor to our customers or collaboration partners and evaluate if these potential future payments could be reductions of revenue from that customer. If the potential future payments to the customer are (i) a separately identifiable benefit and (ii) the fair value of the 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Research and Development Expenses</w:t>
      </w:r>
    </w:p>
    <w:p>
      <w:pPr>
        <w:spacing w:after="0" w:line="224"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5"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We record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45"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Measurements—Tranche Rights</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January 2014 Series A Preferred Stock Purchase Agreement provides the investors the right, and upon achievement of certain milestones, obligates the investors to participate in subsequent offerings of Series A Preferred Stock, or Tranche Rights. The Tranche Rights meet the definition of a freestanding financial instrument, as the Tranche Rights are legally detachable and separately exercisable from the Series A Preferred Stock. Since the Series A Preferred Stock is redeemable at the holder's option, the Tranche Rights are classified as an asset or liability and are initially recorded at fair value and marked to market at each subsequent reporting period, through the settlement of the Tranche Rights.</w:t>
      </w:r>
    </w:p>
    <w:p>
      <w:pPr>
        <w:spacing w:after="0" w:line="187"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 xml:space="preserve">We determine fair value utilizing the concept of "Fair Value" from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or ASC 820, that states that any fair value measurement requires that the reporting entity to determine the valuation technique(s) appropriate for the measurement, considering the availability of data with which to develop inputs that represent the assumptions that market participants would use in pricing the asset or liability and the level in the fair value hierarchy within which the inputs are categorized.</w:t>
      </w:r>
    </w:p>
    <w:p>
      <w:pPr>
        <w:spacing w:after="0" w:line="185" w:lineRule="exact"/>
        <w:rPr>
          <w:sz w:val="20"/>
          <w:szCs w:val="20"/>
          <w:color w:val="auto"/>
        </w:rPr>
      </w:pPr>
    </w:p>
    <w:p>
      <w:pPr>
        <w:ind w:right="100" w:firstLine="338"/>
        <w:spacing w:after="0" w:line="287" w:lineRule="auto"/>
        <w:rPr>
          <w:sz w:val="20"/>
          <w:szCs w:val="20"/>
          <w:color w:val="auto"/>
        </w:rPr>
      </w:pPr>
      <w:r>
        <w:rPr>
          <w:rFonts w:ascii="Arial" w:cs="Arial" w:eastAsia="Arial" w:hAnsi="Arial"/>
          <w:sz w:val="16"/>
          <w:szCs w:val="16"/>
          <w:color w:val="auto"/>
        </w:rPr>
        <w:t>The estimated fair value of the Tranche Rights was determined using a probability-weighted present value model that considers the probability of closing a tranche, the estimated future value of Series A Preferred Stock at each closing, and the amount of the investment required at each closing. Future values are converted to present value using a discount rate appropriate for probability-adjusted cash flows. Upon the settlement of each tranche, the fair value of the Tranche Rights associated with that tranche was reclassified to Series A Preferred Stock at its then fair value and is no longer re-measured.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24"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 xml:space="preserve">We account for our stock-based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or ASC 718. ASC 718 requires all stock-based payments to employees and directors, including grants of restricted stock and stock options, to be recognized as expense in the statements of operations based on their grant date fair values. Grants of restricted stock and stock options to other service providers, referred to as non-employees, are required to be recognized as expense in the statements of operations based on their vesting date fair values. We estimate the fair value of options granted using the Black-Scholes option pricing model. We use the value of our common stock to determine the fair value of restricted stock awards.</w:t>
      </w:r>
    </w:p>
    <w:p>
      <w:pPr>
        <w:spacing w:after="0" w:line="174" w:lineRule="exact"/>
        <w:rPr>
          <w:sz w:val="20"/>
          <w:szCs w:val="20"/>
          <w:color w:val="auto"/>
        </w:rPr>
      </w:pPr>
    </w:p>
    <w:p>
      <w:pPr>
        <w:ind w:right="200" w:firstLine="338"/>
        <w:spacing w:after="0" w:line="265" w:lineRule="auto"/>
        <w:rPr>
          <w:sz w:val="20"/>
          <w:szCs w:val="20"/>
          <w:color w:val="auto"/>
        </w:rPr>
      </w:pPr>
      <w:r>
        <w:rPr>
          <w:rFonts w:ascii="Arial" w:cs="Arial" w:eastAsia="Arial" w:hAnsi="Arial"/>
          <w:sz w:val="17"/>
          <w:szCs w:val="17"/>
          <w:color w:val="auto"/>
        </w:rPr>
        <w:t>The Black-Scholes option pricing model requires inputs based on certain subjective assumptions, including (a) the expected stock price volatility, (b) the calculation of expected term of the award, (c) the risk-free interest rate and (d) expected dividends. Due to the lack of a public market for the trading of our common stock and a lack of company-specific historical and implied volatility data, we have based the estimate of expected volatility on the historical volatility of a group of similar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prescribed by the SEC Staff Accounting Bulletin No. 107, Share-Based Payment, to calculate the expected term for options granted to employees and directors as we do not have sufficient historical exercise data to provide a reasonable basis upon which to estimate the expected term. For options granted to non-employees, we utilize the contractual term of the arrangement as the basis for the expected term assumption. The risk-free interest rate is based on a treasury instrument whose term is consistent with the expected term of the stock options. The expected dividend yield is assumed to be zero as we have never paid dividends and do not have current plans to pay any dividends on common stock.</w:t>
      </w:r>
    </w:p>
    <w:p>
      <w:pPr>
        <w:spacing w:after="0" w:line="16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weighted average assumptions used in the Black-Scholes option pricing model to determine the fair value of stock options granted to employees and directors were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8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880" w:type="dxa"/>
            <w:vAlign w:val="bottom"/>
          </w:tcPr>
          <w:p>
            <w:pPr>
              <w:spacing w:after="0"/>
              <w:rPr>
                <w:sz w:val="12"/>
                <w:szCs w:val="12"/>
                <w:color w:val="auto"/>
              </w:rPr>
            </w:pPr>
          </w:p>
        </w:tc>
        <w:tc>
          <w:tcPr>
            <w:tcW w:w="11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57"/>
        </w:trPr>
        <w:tc>
          <w:tcPr>
            <w:tcW w:w="68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2015</w:t>
            </w:r>
          </w:p>
        </w:tc>
        <w:tc>
          <w:tcPr>
            <w:tcW w:w="160" w:type="dxa"/>
            <w:vAlign w:val="bottom"/>
          </w:tcPr>
          <w:p>
            <w:pPr>
              <w:spacing w:after="0"/>
              <w:rPr>
                <w:sz w:val="13"/>
                <w:szCs w:val="13"/>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68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Expected volatility</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79.1%</w:t>
            </w:r>
          </w:p>
        </w:tc>
      </w:tr>
    </w:tbl>
    <w:p>
      <w:pPr>
        <w:spacing w:after="0" w:line="195"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weighted average assumptions used in the Black-Scholes option pricing model to determine the fair value of stock options granted to non-employees were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8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880" w:type="dxa"/>
            <w:vAlign w:val="bottom"/>
          </w:tcPr>
          <w:p>
            <w:pPr>
              <w:spacing w:after="0"/>
              <w:rPr>
                <w:sz w:val="12"/>
                <w:szCs w:val="12"/>
                <w:color w:val="auto"/>
              </w:rPr>
            </w:pPr>
          </w:p>
        </w:tc>
        <w:tc>
          <w:tcPr>
            <w:tcW w:w="11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57"/>
        </w:trPr>
        <w:tc>
          <w:tcPr>
            <w:tcW w:w="68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2015</w:t>
            </w:r>
          </w:p>
        </w:tc>
        <w:tc>
          <w:tcPr>
            <w:tcW w:w="160" w:type="dxa"/>
            <w:vAlign w:val="bottom"/>
          </w:tcPr>
          <w:p>
            <w:pPr>
              <w:spacing w:after="0"/>
              <w:rPr>
                <w:sz w:val="13"/>
                <w:szCs w:val="13"/>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68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Expected volatility</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83.5%</w:t>
            </w:r>
          </w:p>
        </w:tc>
      </w:tr>
    </w:tbl>
    <w:p>
      <w:pPr>
        <w:spacing w:after="0" w:line="195"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We expense the fair value of our stock-based compensation awards to employees and directors on a straight-line basis over the associated service period, which is generally the period in which the related services are received. Stock-based compensation awards to non-employees are adjusted through stock-based compensation expense at each reporting period end to reflect the current fair value of such awards and are expensed on a straight-line basis.</w:t>
      </w:r>
    </w:p>
    <w:p>
      <w:pPr>
        <w:spacing w:after="0" w:line="163"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We record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We have not recognized any expense related to performance-based awards to date as achievement of the performance milestones has not been determined to be probable.</w:t>
      </w:r>
    </w:p>
    <w:p>
      <w:pPr>
        <w:spacing w:after="0" w:line="185"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following table presents the grant dates, numbers of underlying shares of common stock, the per share purchase prices of shares of restricted stock, the fair values of the underlying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as of the grant dates for awards granted between June 19, 2013 (inception) and October 6, 2015, along with the fair value per share utilized to calculate stock-based compensation expense: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Fair Value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of Common</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Estimated</w:t>
            </w:r>
          </w:p>
        </w:tc>
      </w:tr>
      <w:tr>
        <w:trPr>
          <w:trHeight w:val="144"/>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Stock per</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44"/>
        </w:trPr>
        <w:tc>
          <w:tcPr>
            <w:tcW w:w="1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of Award</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Share on</w:t>
            </w:r>
          </w:p>
        </w:tc>
        <w:tc>
          <w:tcPr>
            <w:tcW w:w="10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of Award on</w:t>
            </w:r>
          </w:p>
        </w:tc>
      </w:tr>
      <w:tr>
        <w:trPr>
          <w:trHeight w:val="157"/>
        </w:trPr>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Date of issuance</w:t>
            </w:r>
          </w:p>
        </w:tc>
        <w:tc>
          <w:tcPr>
            <w:tcW w:w="2660" w:type="dxa"/>
            <w:vAlign w:val="bottom"/>
          </w:tcPr>
          <w:p>
            <w:pPr>
              <w:spacing w:after="0"/>
              <w:rPr>
                <w:sz w:val="13"/>
                <w:szCs w:val="13"/>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Type of Award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per Share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6"/>
              </w:rPr>
              <w:t>Grant Date</w:t>
            </w:r>
          </w:p>
        </w:tc>
        <w:tc>
          <w:tcPr>
            <w:tcW w:w="140" w:type="dxa"/>
            <w:vAlign w:val="bottom"/>
          </w:tcPr>
          <w:p>
            <w:pPr>
              <w:spacing w:after="0"/>
              <w:rPr>
                <w:sz w:val="13"/>
                <w:szCs w:val="13"/>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1/8/2014</w:t>
            </w:r>
          </w:p>
        </w:tc>
        <w:tc>
          <w:tcPr>
            <w:tcW w:w="2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6"/>
              </w:rPr>
              <w:t>Restricted Stock</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1,188,233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0.51</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4/16/2014</w:t>
            </w:r>
          </w:p>
        </w:tc>
        <w:tc>
          <w:tcPr>
            <w:tcW w:w="2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w w:val="96"/>
              </w:rPr>
              <w:t>Restricted Stock</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527,194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0.04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0.51</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8/19/2014</w:t>
            </w:r>
          </w:p>
        </w:tc>
        <w:tc>
          <w:tcPr>
            <w:tcW w:w="2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6"/>
              </w:rPr>
              <w:t>Restricted Stock</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941,173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9/24/2014</w:t>
            </w:r>
          </w:p>
        </w:tc>
        <w:tc>
          <w:tcPr>
            <w:tcW w:w="2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w w:val="96"/>
              </w:rPr>
              <w:t>Restricted Stock</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71,762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0.04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12/16/2014</w:t>
            </w:r>
          </w:p>
        </w:tc>
        <w:tc>
          <w:tcPr>
            <w:tcW w:w="2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w w:val="96"/>
              </w:rPr>
              <w:t>Restricted Stock</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168,819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4/27/2015</w:t>
            </w:r>
          </w:p>
        </w:tc>
        <w:tc>
          <w:tcPr>
            <w:tcW w:w="2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Stock Options</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309,157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7.27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5.19</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5/7/2015</w:t>
            </w:r>
          </w:p>
        </w:tc>
        <w:tc>
          <w:tcPr>
            <w:tcW w:w="2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31,764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8/26/2015</w:t>
            </w:r>
          </w:p>
        </w:tc>
        <w:tc>
          <w:tcPr>
            <w:tcW w:w="2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Stock Options</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470,578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8.33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8.33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5.70</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9/9/2015</w:t>
            </w:r>
          </w:p>
        </w:tc>
        <w:tc>
          <w:tcPr>
            <w:tcW w:w="2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43,197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5.74</w:t>
            </w:r>
          </w:p>
        </w:tc>
      </w:tr>
      <w:tr>
        <w:trPr>
          <w:trHeight w:val="216"/>
        </w:trPr>
        <w:tc>
          <w:tcPr>
            <w:tcW w:w="1020" w:type="dxa"/>
            <w:vAlign w:val="bottom"/>
          </w:tcPr>
          <w:p>
            <w:pPr>
              <w:spacing w:after="0"/>
              <w:rPr>
                <w:sz w:val="20"/>
                <w:szCs w:val="20"/>
                <w:color w:val="auto"/>
              </w:rPr>
            </w:pPr>
            <w:r>
              <w:rPr>
                <w:rFonts w:ascii="Arial" w:cs="Arial" w:eastAsia="Arial" w:hAnsi="Arial"/>
                <w:sz w:val="17"/>
                <w:szCs w:val="17"/>
                <w:color w:val="auto"/>
              </w:rPr>
              <w:t>10/6/2015</w:t>
            </w:r>
          </w:p>
        </w:tc>
        <w:tc>
          <w:tcPr>
            <w:tcW w:w="26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7"/>
                <w:szCs w:val="17"/>
                <w:color w:val="auto"/>
              </w:rPr>
              <w:t>Stock Options</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156,456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9.48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9.48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6.46</w:t>
            </w:r>
          </w:p>
        </w:tc>
      </w:tr>
    </w:tbl>
    <w:p>
      <w:pPr>
        <w:spacing w:after="0" w:line="195"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Stock-based compensation totaled approximately $0.4 million for the year ended December 31, 2014 and $1.2 million for the six months ended June 30, 2015. As of June 30, 2015, we had $5.1 million and $1.4 million of unrecognized compensation expense related to restricted stock awards and stock option awards, respectively, which are expected to be recognized over weighted-average remaining vesting periods of approximately 2.64 and 3.41 years, respectively. We expect the impact of our stock-based compensation expense for restricted stock and stock options granted to employees, directors and other service providers to grow in future periods due to the potential increases in the value of our common stock and headcount.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Determination of Fair Value of Common Stock on Grant Dates</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also known as the Practice Aid. Once a public trading market for our common stock has been established in connection with the completion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88"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For financial reporting purposes, we performed common stock valuations, with the assistance of a third-party valuation specialist, as of January 9, 2014, August 5, 2014, December 31, 2014, February 11, 2015, April 10, 2015, June 30, 2015 and September 30, 2015 which resulted in valuations of our common stock of $0.51, $1.11, $1.15, $4.46, $7.27, $8.33 and $9.48 per share, respectively, as of those dates. In conducting the valuations, we considered all objective and subjective factors that we believed to be relevant for each valuation conducted, including our best estimate of our business condition, prospects and operating performance at each valuation date. Within the valuations performed, a range of factors, assumptions and methodologies were used. The significant factors included:</w:t>
      </w:r>
    </w:p>
    <w:p>
      <w:pPr>
        <w:spacing w:after="0" w:line="172"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and our convertible preferred stock;</w:t>
      </w:r>
    </w:p>
    <w:p>
      <w:pPr>
        <w:spacing w:after="0" w:line="250"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prices of shares of our convertible preferred stock that we had sold to outside investors in arm's length transactions, and the rights, preferences and privileges of that convertible preferred stock relative to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results of operations, financial position and the status of our research and preclinical development efforts;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material risks related to our business;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business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market performance of publicly traded companies in the life sciences and biotechnology sectors;</w:t>
      </w:r>
    </w:p>
    <w:p>
      <w:pPr>
        <w:spacing w:after="0" w:line="250"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common stock, such as an initial public offering given prevailing market conditions;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recent contemporaneous valuations of our common stock prepared in accordance with methodologies outlined in the Practice Aid.</w:t>
      </w:r>
    </w:p>
    <w:p>
      <w:pPr>
        <w:spacing w:after="0" w:line="224" w:lineRule="exact"/>
        <w:rPr>
          <w:sz w:val="20"/>
          <w:szCs w:val="20"/>
          <w:color w:val="auto"/>
        </w:rPr>
      </w:pPr>
    </w:p>
    <w:p>
      <w:pPr>
        <w:ind w:right="500" w:firstLine="338"/>
        <w:spacing w:after="0" w:line="311" w:lineRule="auto"/>
        <w:rPr>
          <w:sz w:val="20"/>
          <w:szCs w:val="20"/>
          <w:color w:val="auto"/>
        </w:rPr>
      </w:pPr>
      <w:r>
        <w:rPr>
          <w:rFonts w:ascii="Arial" w:cs="Arial" w:eastAsia="Arial" w:hAnsi="Arial"/>
          <w:sz w:val="15"/>
          <w:szCs w:val="15"/>
          <w:color w:val="auto"/>
        </w:rPr>
        <w:t>There are significant judgments and estimates inherent in the determination of the fair value of our common stock. These judgments and estimates include assumptions regarding our future operating performance, the time to completing an initial public offering, or IPO, or other liquidity event, the related company valuations associated with such events, and the determinations of the appropriate valuation methods. If we had made different assumptions, our stock-based compensation expense, net loss and net loss per share applicable to common stockholders could have been significantly different.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Common Stock Valuation Methodologies</w:t>
      </w:r>
    </w:p>
    <w:p>
      <w:pPr>
        <w:spacing w:after="0" w:line="224"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Our retrospective valuations were prepared in accordance with the guidelines in the 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79" w:lineRule="exact"/>
        <w:rPr>
          <w:sz w:val="20"/>
          <w:szCs w:val="20"/>
          <w:color w:val="auto"/>
        </w:rPr>
      </w:pPr>
    </w:p>
    <w:p>
      <w:pPr>
        <w:ind w:right="200" w:firstLine="341"/>
        <w:spacing w:after="0" w:line="352" w:lineRule="auto"/>
        <w:rPr>
          <w:sz w:val="20"/>
          <w:szCs w:val="20"/>
          <w:color w:val="auto"/>
        </w:rPr>
      </w:pPr>
      <w:r>
        <w:rPr>
          <w:rFonts w:ascii="Arial" w:cs="Arial" w:eastAsia="Arial" w:hAnsi="Arial"/>
          <w:sz w:val="15"/>
          <w:szCs w:val="15"/>
          <w:color w:val="auto"/>
        </w:rPr>
        <w:t>Our common stock valuations as of January 9, 2014, August 5, 2014 and December 31, 2014 were prepared using the back-solve method of the option-pricing method, or OPM, which derives the implied equity value for one type of equity security from a contemporaneous transaction involving another type of security.</w:t>
      </w:r>
    </w:p>
    <w:p>
      <w:pPr>
        <w:spacing w:after="0" w:line="123"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Our common stock valuation as of February 11, 2015, April 10, 2015, June 30, 2015 and September 30, 2015 were prepared using the hybrid method. The hybrid method is a hybrid between the probability-weighted expected return method, or PWERM, and OPM, estimating the probability-weighted value across multiple scenarios using the OPM to allocated equity value within at least one of those scenarios. Our hybrid model included an OPM scenario and two IPO scenarios with different dates for completion of the IPO for the February 11, 2015 valuation and an OPM scenario with one IPO scenario for the April 10, 2015, June 30, 2015 and September 30, 2015 valuations.</w:t>
      </w:r>
    </w:p>
    <w:p>
      <w:pPr>
        <w:spacing w:after="0" w:line="187"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b w:val="1"/>
          <w:bCs w:val="1"/>
          <w:i w:val="1"/>
          <w:iCs w:val="1"/>
          <w:color w:val="auto"/>
        </w:rPr>
        <w:t xml:space="preserve">Methods Used to Allocate Our Enterprise Value to Classes of Securities. </w:t>
      </w:r>
      <w:r>
        <w:rPr>
          <w:rFonts w:ascii="Arial" w:cs="Arial" w:eastAsia="Arial" w:hAnsi="Arial"/>
          <w:sz w:val="17"/>
          <w:szCs w:val="17"/>
          <w:color w:val="auto"/>
        </w:rPr>
        <w:t>In accordance with the Practice Aid, we considered the various methods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allocating the enterprise value across our classes and series of capital stock to determine the fair value of our common stock at each valuation date. The methods we considered consisted of the following:</w:t>
      </w:r>
    </w:p>
    <w:p>
      <w:pPr>
        <w:spacing w:after="0" w:line="179"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b w:val="1"/>
          <w:bCs w:val="1"/>
          <w:i w:val="1"/>
          <w:iCs w:val="1"/>
          <w:color w:val="auto"/>
        </w:rPr>
        <w:t xml:space="preserve">OPM. </w:t>
      </w:r>
      <w:r>
        <w:rPr>
          <w:rFonts w:ascii="Arial" w:cs="Arial" w:eastAsia="Arial" w:hAnsi="Arial"/>
          <w:sz w:val="15"/>
          <w:szCs w:val="15"/>
          <w:color w:val="auto"/>
        </w:rPr>
        <w:t>The OPM treats common stock and convertible preferred stock as call options on the total equity value of a company, with exercise prices based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thresholds at which the allocation among the various holders of a company's securities changes. Under this method, the common stock has value only if the funds available for distribution to stockholders exceed the value of the liquidation preferences at the time of a liquidity event, such as a strategic sale or merger. The common stock is modeled as a call option on the underlying equity value at a predetermined exercise price. In this model, the exercise price is based on a comparison with the total equity value rather than, as in the case of a regular call option, a comparison with a per share stock price. Thus, common stock is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40"/>
        <w:spacing w:after="0" w:line="282" w:lineRule="auto"/>
        <w:rPr>
          <w:sz w:val="20"/>
          <w:szCs w:val="20"/>
          <w:color w:val="auto"/>
        </w:rPr>
      </w:pPr>
      <w:r>
        <w:rPr>
          <w:rFonts w:ascii="Arial" w:cs="Arial" w:eastAsia="Arial" w:hAnsi="Arial"/>
          <w:sz w:val="17"/>
          <w:szCs w:val="17"/>
          <w:color w:val="auto"/>
        </w:rPr>
        <w:t>considered to be a call option with a claim on the enterprise at an exercise price equal to the remaining value immediately after the convertible preferred stock liquidation preference is paid.</w:t>
      </w:r>
    </w:p>
    <w:p>
      <w:pPr>
        <w:spacing w:after="0" w:line="170" w:lineRule="exact"/>
        <w:rPr>
          <w:sz w:val="20"/>
          <w:szCs w:val="20"/>
          <w:color w:val="auto"/>
        </w:rPr>
      </w:pPr>
    </w:p>
    <w:p>
      <w:pPr>
        <w:ind w:right="20" w:firstLine="338"/>
        <w:spacing w:after="0" w:line="315" w:lineRule="auto"/>
        <w:rPr>
          <w:sz w:val="20"/>
          <w:szCs w:val="20"/>
          <w:color w:val="auto"/>
        </w:rPr>
      </w:pPr>
      <w:r>
        <w:rPr>
          <w:rFonts w:ascii="Arial" w:cs="Arial" w:eastAsia="Arial" w:hAnsi="Arial"/>
          <w:sz w:val="16"/>
          <w:szCs w:val="16"/>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w:t>
      </w:r>
    </w:p>
    <w:p>
      <w:pPr>
        <w:spacing w:after="0" w:line="146"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OPM back-solve approach was used to estimate enterprise value under the OPM. The OPM back-solve approach uses the OPM to derive the implied equity value for one type of equity security from a contemporaneous sale transaction involving another type of our equity securities. In the OPM, the assumed volatility factor was based on the historical trading volatility of our publicly traded peer companies. At each valuation date, a determination was made by us as to the appropriate volatility to be used, considering such factors as the expected time to a liquidity event and our stage of development.</w:t>
      </w:r>
    </w:p>
    <w:p>
      <w:pPr>
        <w:spacing w:after="0" w:line="16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To derive the fair value of the common stock using the OPM, the proceeds to the common stockholders were calculated based on the preferences and priorities of the convertible preferred stock and common stock. We then applied a discount for lack of marketability to the common stock to account for the lack of access to an active public market.</w:t>
      </w:r>
    </w:p>
    <w:p>
      <w:pPr>
        <w:spacing w:after="0" w:line="17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PWERM. </w:t>
      </w:r>
      <w:r>
        <w:rPr>
          <w:rFonts w:ascii="Arial" w:cs="Arial" w:eastAsia="Arial" w:hAnsi="Arial"/>
          <w:sz w:val="16"/>
          <w:szCs w:val="16"/>
          <w:color w:val="auto"/>
        </w:rPr>
        <w:t>Under the PWERM methodology, the fair value of our common stock is estimated based upon an analysis of future values for our company, assuming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69"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b w:val="1"/>
          <w:bCs w:val="1"/>
          <w:i w:val="1"/>
          <w:iCs w:val="1"/>
          <w:color w:val="auto"/>
        </w:rPr>
        <w:t xml:space="preserve">Hybrid Method. </w:t>
      </w:r>
      <w:r>
        <w:rPr>
          <w:rFonts w:ascii="Arial" w:cs="Arial" w:eastAsia="Arial" w:hAnsi="Arial"/>
          <w:sz w:val="15"/>
          <w:szCs w:val="15"/>
          <w:color w:val="auto"/>
        </w:rPr>
        <w:t>The hybrid method is a PWERM where the equity value in one of the scenarios is calculated using an OPM. In the hybrid method used by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two types of future-event scenarios were considered: an IPO and an unspecified liquidity event. The enterprise value for the IPO scenario was determined using the guideline public company, or GPC, method under the market approach. The enterprise value for the unspecified liquidity event scenario was determined using the GPC method or the OPM backsolve method. The relative probability of each type of future-event scenario was determined based on an analysis of market conditions at the time, including then-current IPO valuations of similarly situated companies, and expectations as to the timing and likely prospects of the future-event scenarios.</w:t>
      </w:r>
    </w:p>
    <w:p>
      <w:pPr>
        <w:spacing w:after="0" w:line="159" w:lineRule="exact"/>
        <w:rPr>
          <w:sz w:val="20"/>
          <w:szCs w:val="20"/>
          <w:color w:val="auto"/>
        </w:rPr>
      </w:pPr>
    </w:p>
    <w:p>
      <w:pPr>
        <w:jc w:val="both"/>
        <w:ind w:right="160" w:firstLine="341"/>
        <w:spacing w:after="0" w:line="270" w:lineRule="auto"/>
        <w:rPr>
          <w:sz w:val="20"/>
          <w:szCs w:val="20"/>
          <w:color w:val="auto"/>
        </w:rPr>
      </w:pPr>
      <w:r>
        <w:rPr>
          <w:rFonts w:ascii="Arial" w:cs="Arial" w:eastAsia="Arial" w:hAnsi="Arial"/>
          <w:sz w:val="17"/>
          <w:szCs w:val="17"/>
          <w:color w:val="auto"/>
        </w:rPr>
        <w:t>In our application of the GPC method, we considered publicly traded companies in the biopharmaceutical industry that recently completed IPOs as indicators of our estimated future value in an IPO. That future value was discounted back to the valuation date at an appropriate risk-adjusted discount rate. We applied a discount for lack of marketability to the common stock to account for the lack of access to an active public market.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w:t>
      </w:r>
    </w:p>
    <w:p>
      <w:pPr>
        <w:spacing w:after="0" w:line="224"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following table summarizes our results of operations for the six months ended June 30, 2014 and 2015, together with the changes in those items in dollars (in thousands):</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0"/>
              </w:rPr>
              <w:t>Six Months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center"/>
              <w:ind w:left="321"/>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0"/>
              </w:rPr>
              <w:t>Dollar Change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6"/>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(unaudited)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Collaboration revenue</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rPr>
                <w:sz w:val="20"/>
                <w:szCs w:val="20"/>
                <w:color w:val="auto"/>
              </w:rPr>
            </w:pPr>
            <w:r>
              <w:rPr>
                <w:rFonts w:ascii="Arial" w:cs="Arial" w:eastAsia="Arial" w:hAnsi="Arial"/>
                <w:sz w:val="17"/>
                <w:szCs w:val="17"/>
                <w:color w:val="auto"/>
              </w:rPr>
              <w:t>Operating expenses: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11,978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16,255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rPr>
                <w:sz w:val="20"/>
                <w:szCs w:val="20"/>
                <w:color w:val="auto"/>
              </w:rPr>
            </w:pPr>
            <w:r>
              <w:rPr>
                <w:rFonts w:ascii="Arial" w:cs="Arial" w:eastAsia="Arial" w:hAnsi="Arial"/>
                <w:sz w:val="17"/>
                <w:szCs w:val="17"/>
                <w:color w:val="auto"/>
              </w:rPr>
              <w:t>Other expense,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financing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(1,405)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(8,345)</w:t>
            </w:r>
          </w:p>
        </w:tc>
        <w:tc>
          <w:tcPr>
            <w:tcW w:w="0" w:type="dxa"/>
            <w:vAlign w:val="bottom"/>
          </w:tcPr>
          <w:p>
            <w:pPr>
              <w:spacing w:after="0"/>
              <w:rPr>
                <w:sz w:val="1"/>
                <w:szCs w:val="1"/>
                <w:color w:val="auto"/>
              </w:rPr>
            </w:pPr>
          </w:p>
        </w:tc>
      </w:tr>
      <w:tr>
        <w:trPr>
          <w:trHeight w:val="210"/>
        </w:trPr>
        <w:tc>
          <w:tcPr>
            <w:tcW w:w="5100" w:type="dxa"/>
            <w:vAlign w:val="bottom"/>
          </w:tcPr>
          <w:p>
            <w:pPr>
              <w:ind w:left="180"/>
              <w:spacing w:after="0"/>
              <w:rPr>
                <w:sz w:val="20"/>
                <w:szCs w:val="20"/>
                <w:color w:val="auto"/>
              </w:rPr>
            </w:pPr>
            <w:r>
              <w:rPr>
                <w:rFonts w:ascii="Arial" w:cs="Arial" w:eastAsia="Arial" w:hAnsi="Arial"/>
                <w:sz w:val="17"/>
                <w:szCs w:val="17"/>
                <w:color w:val="auto"/>
              </w:rPr>
              <w:t>Interest income (expense),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3"/>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expense,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(1,407)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(9,677)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(8,270)</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(7,622</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(18,472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ind w:right="300" w:firstLine="341"/>
        <w:spacing w:after="0" w:line="287" w:lineRule="auto"/>
        <w:rPr>
          <w:sz w:val="20"/>
          <w:szCs w:val="20"/>
          <w:color w:val="auto"/>
        </w:rPr>
      </w:pPr>
      <w:r>
        <w:rPr>
          <w:rFonts w:ascii="Arial" w:cs="Arial" w:eastAsia="Arial" w:hAnsi="Arial"/>
          <w:sz w:val="16"/>
          <w:szCs w:val="16"/>
          <w:color w:val="auto"/>
        </w:rPr>
        <w:t>Revenue was $7.5 million for the six months ended June 30, 2015, all of which related to the Genzyme Collaboration. We did not earn any revenue for the six months ended June 30, 2014. In the six months ended June 30, 2015 we recorded $7.5 million in recognition of amounts allocated to research and development services for various programs under the Genzyme Collaboration, which was entered into in February 2015. Generally, the amounts allocated to these programs are expected to be recognized on a straight line basis over the period the services are provided for each program.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Research and development expense increased by $8.5 million from $3.5 million for the six months ended June 30, 2014 to $12.0 million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June 30, 2015. The following table summarizes our research and development expenses, for the six months ended June 30, 2014 and June 30, 2015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ind w:right="198"/>
              <w:spacing w:after="0"/>
              <w:rPr>
                <w:sz w:val="20"/>
                <w:szCs w:val="20"/>
                <w:color w:val="auto"/>
              </w:rPr>
            </w:pPr>
            <w:r>
              <w:rPr>
                <w:rFonts w:ascii="Arial" w:cs="Arial" w:eastAsia="Arial" w:hAnsi="Arial"/>
                <w:sz w:val="13"/>
                <w:szCs w:val="13"/>
                <w:b w:val="1"/>
                <w:bCs w:val="1"/>
                <w:color w:val="auto"/>
              </w:rPr>
              <w:t>Six 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3"/>
                <w:szCs w:val="13"/>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0"/>
              </w:rPr>
              <w:t>Dollar Change</w:t>
            </w:r>
          </w:p>
        </w:tc>
        <w:tc>
          <w:tcPr>
            <w:tcW w:w="18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01"/>
              <w:spacing w:after="0" w:line="138" w:lineRule="exact"/>
              <w:rPr>
                <w:sz w:val="20"/>
                <w:szCs w:val="20"/>
                <w:color w:val="auto"/>
              </w:rPr>
            </w:pPr>
            <w:r>
              <w:rPr>
                <w:rFonts w:ascii="Arial" w:cs="Arial" w:eastAsia="Arial" w:hAnsi="Arial"/>
                <w:sz w:val="13"/>
                <w:szCs w:val="13"/>
                <w:b w:val="1"/>
                <w:bCs w:val="1"/>
                <w:color w:val="auto"/>
                <w:w w:val="96"/>
              </w:rPr>
              <w:t>2014</w:t>
            </w:r>
          </w:p>
        </w:tc>
        <w:tc>
          <w:tcPr>
            <w:tcW w:w="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82"/>
              </w:rPr>
              <w:t>2015</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70"/>
              </w:rPr>
              <w:t>(unaudited)</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Employee and contractor related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Process and platform development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797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6,874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6,077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License fees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Facility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460" w:type="dxa"/>
            <w:vAlign w:val="bottom"/>
          </w:tcPr>
          <w:p>
            <w:pPr>
              <w:ind w:left="180"/>
              <w:spacing w:after="0"/>
              <w:rPr>
                <w:sz w:val="20"/>
                <w:szCs w:val="20"/>
                <w:color w:val="auto"/>
              </w:rPr>
            </w:pPr>
            <w:r>
              <w:rPr>
                <w:rFonts w:ascii="Arial" w:cs="Arial" w:eastAsia="Arial" w:hAnsi="Arial"/>
                <w:sz w:val="17"/>
                <w:szCs w:val="17"/>
                <w:color w:val="auto"/>
              </w:rPr>
              <w:t>Total research and development expenses</w:t>
            </w:r>
          </w:p>
        </w:tc>
        <w:tc>
          <w:tcPr>
            <w:tcW w:w="16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3,539</w:t>
            </w:r>
          </w:p>
        </w:tc>
        <w:tc>
          <w:tcPr>
            <w:tcW w:w="32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11,978</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20" w:type="dxa"/>
            <w:vAlign w:val="bottom"/>
            <w:vMerge w:val="restart"/>
          </w:tcPr>
          <w:p>
            <w:pPr>
              <w:jc w:val="right"/>
              <w:ind w:right="915"/>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research and development expense was primarily attributable to the following:</w:t>
      </w:r>
    </w:p>
    <w:p>
      <w:pPr>
        <w:spacing w:after="0" w:line="237" w:lineRule="exact"/>
        <w:rPr>
          <w:sz w:val="20"/>
          <w:szCs w:val="20"/>
          <w:color w:val="auto"/>
        </w:rPr>
      </w:pPr>
    </w:p>
    <w:p>
      <w:pPr>
        <w:jc w:val="both"/>
        <w:ind w:left="1060" w:right="200" w:hanging="531"/>
        <w:spacing w:after="0" w:line="311" w:lineRule="auto"/>
        <w:tabs>
          <w:tab w:leader="none" w:pos="10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approximately $4.0 million for increased costs of funding research performed by third parties that conduct research and development, preclinical and clinical activities and manufacturing and production design on our behalf and increased purchases of lab supplies and non-capital equipment used in designing, developing and manufacturing preclinical study materials, and an additional expense of approximately $2.1 million attributable to in-kind research and development services incurred by Genzyme and provided to us under the Genzyme Collaboration;</w:t>
      </w:r>
    </w:p>
    <w:p>
      <w:pPr>
        <w:spacing w:after="0" w:line="180" w:lineRule="exact"/>
        <w:rPr>
          <w:rFonts w:ascii="Arial" w:cs="Arial" w:eastAsia="Arial" w:hAnsi="Arial"/>
          <w:sz w:val="15"/>
          <w:szCs w:val="15"/>
          <w:color w:val="auto"/>
        </w:rPr>
      </w:pPr>
    </w:p>
    <w:p>
      <w:pPr>
        <w:ind w:left="1060" w:right="560" w:hanging="531"/>
        <w:spacing w:after="0" w:line="28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approximately $2.7 million for increased research and development employee compensation costs, which were partially offset by a $0.3 million decrease in contractor and consulting fees and expenses;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approximately $0.6 million for increases in facility costs including rent, depreciation, and maintenance expenses;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decrease of approximately $0.7 million related to lower licensing costs.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General and administrative expense increased by $1.6 million from $2.7 million for the six months ended June 30, 2014 to $4.3 million for six months ended June 30, 2015. The increase in general and administrative expense was primarily attributable to the following:</w:t>
      </w:r>
    </w:p>
    <w:p>
      <w:pPr>
        <w:spacing w:after="0" w:line="196" w:lineRule="exact"/>
        <w:rPr>
          <w:sz w:val="20"/>
          <w:szCs w:val="20"/>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approximately $1.0 million for increased consulting and professional services;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approximately $0.6 million related to the increase in administrative function headcount;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approximately $0.3 million for costs related to renting and operating our corporate offices;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these expenses were partially offset by an approximately $0.4 million decrease in the patent related legal fees.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Other expense increased by $8.3 million from $1.4 million for the six months ended June 30, 2014 to $9.7 million for the six months ended June 30, 2015. The increase in expense primarily related to the mark to market adjustments recorded on our Series A Preferred Stock Tranche Right liability during the six months ended June 30, 2015. The increase in value of the Tranche Right liability was a result of the increase in the fair value of our Series A Preferred Stock and the increase in the probability of closing the tranche during the six months ended June 30, 2015. The Tranche Right was settled in February 2015 upon the issuance of the final tranche of Series A Preferred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Period and Year Ended December 31, 2013 and 2014</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table summarizes our results of operations for the period ended December 31, 2013 and the year ended December 31, 2014, respectively, together with the changes in those items in dollars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Period from</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(inception)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2013</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Dollar Change</w:t>
            </w:r>
          </w:p>
        </w:tc>
        <w:tc>
          <w:tcPr>
            <w:tcW w:w="160" w:type="dxa"/>
            <w:vAlign w:val="bottom"/>
          </w:tcPr>
          <w:p>
            <w:pPr>
              <w:spacing w:after="0"/>
              <w:rPr>
                <w:sz w:val="13"/>
                <w:szCs w:val="13"/>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Collaboration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6,582</w:t>
            </w:r>
          </w:p>
        </w:tc>
        <w:tc>
          <w:tcPr>
            <w:tcW w:w="160" w:type="dxa"/>
            <w:vAlign w:val="bottom"/>
            <w:shd w:val="clear" w:color="auto" w:fill="CCEEFF"/>
          </w:tcPr>
          <w:p>
            <w:pPr>
              <w:spacing w:after="0"/>
              <w:rPr>
                <w:sz w:val="18"/>
                <w:szCs w:val="18"/>
                <w:color w:val="auto"/>
              </w:rPr>
            </w:pPr>
          </w:p>
        </w:tc>
      </w:tr>
      <w:tr>
        <w:trPr>
          <w:trHeight w:val="210"/>
        </w:trPr>
        <w:tc>
          <w:tcPr>
            <w:tcW w:w="46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4,019</w:t>
            </w:r>
          </w:p>
        </w:tc>
        <w:tc>
          <w:tcPr>
            <w:tcW w:w="160" w:type="dxa"/>
            <w:vAlign w:val="bottom"/>
          </w:tcPr>
          <w:p>
            <w:pPr>
              <w:spacing w:after="0"/>
              <w:rPr>
                <w:sz w:val="18"/>
                <w:szCs w:val="18"/>
                <w:color w:val="auto"/>
              </w:rPr>
            </w:pPr>
          </w:p>
        </w:tc>
      </w:tr>
      <w:tr>
        <w:trPr>
          <w:trHeight w:val="203"/>
        </w:trPr>
        <w:tc>
          <w:tcPr>
            <w:tcW w:w="4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14,367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10,601</w:t>
            </w:r>
          </w:p>
        </w:tc>
        <w:tc>
          <w:tcPr>
            <w:tcW w:w="160" w:type="dxa"/>
            <w:vAlign w:val="bottom"/>
            <w:shd w:val="clear" w:color="auto" w:fill="CCEEFF"/>
          </w:tcPr>
          <w:p>
            <w:pPr>
              <w:spacing w:after="0"/>
              <w:rPr>
                <w:sz w:val="17"/>
                <w:szCs w:val="17"/>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Other expense,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4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financing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(1,949)</w:t>
            </w:r>
          </w:p>
        </w:tc>
      </w:tr>
      <w:tr>
        <w:trPr>
          <w:trHeight w:val="210"/>
        </w:trPr>
        <w:tc>
          <w:tcPr>
            <w:tcW w:w="4640" w:type="dxa"/>
            <w:vAlign w:val="bottom"/>
          </w:tcPr>
          <w:p>
            <w:pPr>
              <w:ind w:left="180"/>
              <w:spacing w:after="0"/>
              <w:rPr>
                <w:sz w:val="20"/>
                <w:szCs w:val="20"/>
                <w:color w:val="auto"/>
              </w:rPr>
            </w:pPr>
            <w:r>
              <w:rPr>
                <w:rFonts w:ascii="Arial" w:cs="Arial" w:eastAsia="Arial" w:hAnsi="Arial"/>
                <w:sz w:val="17"/>
                <w:szCs w:val="17"/>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expense,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(1,950)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(1,883)</w:t>
            </w:r>
          </w:p>
        </w:tc>
      </w:tr>
      <w:tr>
        <w:trPr>
          <w:trHeight w:val="203"/>
        </w:trPr>
        <w:tc>
          <w:tcPr>
            <w:tcW w:w="4640" w:type="dxa"/>
            <w:vAlign w:val="bottom"/>
          </w:tcPr>
          <w:p>
            <w:pPr>
              <w:spacing w:after="0"/>
              <w:rPr>
                <w:sz w:val="20"/>
                <w:szCs w:val="20"/>
                <w:color w:val="auto"/>
              </w:rPr>
            </w:pPr>
            <w:r>
              <w:rPr>
                <w:rFonts w:ascii="Arial" w:cs="Arial" w:eastAsia="Arial" w:hAnsi="Arial"/>
                <w:sz w:val="17"/>
                <w:szCs w:val="17"/>
                <w:color w:val="auto"/>
              </w:rPr>
              <w:t>Net loss</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(12,484)</w:t>
            </w:r>
          </w:p>
        </w:tc>
        <w:tc>
          <w:tcPr>
            <w:tcW w:w="16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During the period and year ended December 31, 2013 and 2014, respectively, we did not earn any revenue from product sales or from collaboration agreements.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Research and development expense increased by $6.6 million from $2.3 million for the period ended December 31, 2013 to $8.9 million for the year ended December 31, 2014. The following table summarizes our research and development expenses, for the period and year ended December 31, 2013 and December 31, 2014, respectively (in thousands):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4"/>
              <w:spacing w:after="0"/>
              <w:rPr>
                <w:sz w:val="20"/>
                <w:szCs w:val="20"/>
                <w:color w:val="auto"/>
              </w:rPr>
            </w:pPr>
            <w:r>
              <w:rPr>
                <w:rFonts w:ascii="Arial" w:cs="Arial" w:eastAsia="Arial" w:hAnsi="Arial"/>
                <w:sz w:val="13"/>
                <w:szCs w:val="13"/>
                <w:b w:val="1"/>
                <w:bCs w:val="1"/>
                <w:color w:val="auto"/>
                <w:w w:val="93"/>
              </w:rPr>
              <w:t>Period from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4"/>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4"/>
              <w:spacing w:after="0" w:line="144" w:lineRule="exact"/>
              <w:rPr>
                <w:sz w:val="20"/>
                <w:szCs w:val="20"/>
                <w:color w:val="auto"/>
              </w:rPr>
            </w:pPr>
            <w:r>
              <w:rPr>
                <w:rFonts w:ascii="Arial" w:cs="Arial" w:eastAsia="Arial" w:hAnsi="Arial"/>
                <w:sz w:val="13"/>
                <w:szCs w:val="13"/>
                <w:b w:val="1"/>
                <w:bCs w:val="1"/>
                <w:color w:val="auto"/>
                <w:w w:val="89"/>
              </w:rPr>
              <w:t>(inception)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4"/>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
              <w:spacing w:after="0" w:line="144"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Dollar Change</w:t>
            </w:r>
          </w:p>
        </w:tc>
        <w:tc>
          <w:tcPr>
            <w:tcW w:w="160" w:type="dxa"/>
            <w:vAlign w:val="bottom"/>
          </w:tcPr>
          <w:p>
            <w:pPr>
              <w:spacing w:after="0"/>
              <w:rPr>
                <w:sz w:val="13"/>
                <w:szCs w:val="13"/>
                <w:color w:val="auto"/>
              </w:rPr>
            </w:pPr>
          </w:p>
        </w:tc>
      </w:tr>
      <w:tr>
        <w:trPr>
          <w:trHeight w:val="203"/>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Employee and contractor related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160" w:type="dxa"/>
            <w:vAlign w:val="bottom"/>
            <w:shd w:val="clear" w:color="auto" w:fill="CCEEFF"/>
          </w:tcPr>
          <w:p>
            <w:pPr>
              <w:spacing w:after="0"/>
              <w:rPr>
                <w:sz w:val="17"/>
                <w:szCs w:val="17"/>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Process and platform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2,811</w:t>
            </w:r>
          </w:p>
        </w:tc>
        <w:tc>
          <w:tcPr>
            <w:tcW w:w="16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License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16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Facility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60" w:type="dxa"/>
            <w:vAlign w:val="bottom"/>
            <w:shd w:val="clear" w:color="auto" w:fill="CCEEFF"/>
          </w:tcPr>
          <w:p>
            <w:pPr>
              <w:spacing w:after="0"/>
              <w:rPr>
                <w:sz w:val="18"/>
                <w:szCs w:val="18"/>
                <w:color w:val="auto"/>
              </w:rPr>
            </w:pPr>
          </w:p>
        </w:tc>
      </w:tr>
      <w:tr>
        <w:trPr>
          <w:trHeight w:val="203"/>
        </w:trPr>
        <w:tc>
          <w:tcPr>
            <w:tcW w:w="4640" w:type="dxa"/>
            <w:vAlign w:val="bottom"/>
          </w:tcPr>
          <w:p>
            <w:pPr>
              <w:ind w:left="180"/>
              <w:spacing w:after="0"/>
              <w:rPr>
                <w:sz w:val="20"/>
                <w:szCs w:val="20"/>
                <w:color w:val="auto"/>
              </w:rPr>
            </w:pPr>
            <w:r>
              <w:rPr>
                <w:rFonts w:ascii="Arial" w:cs="Arial" w:eastAsia="Arial" w:hAnsi="Arial"/>
                <w:sz w:val="17"/>
                <w:szCs w:val="17"/>
                <w:color w:val="auto"/>
              </w:rPr>
              <w:t>Total research and development expenses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2,316</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8,898</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6,582</w:t>
            </w:r>
          </w:p>
        </w:tc>
        <w:tc>
          <w:tcPr>
            <w:tcW w:w="16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research and development expense was primarily attributable to research and development, and included the following:</w:t>
      </w:r>
    </w:p>
    <w:p>
      <w:pPr>
        <w:spacing w:after="0" w:line="237" w:lineRule="exact"/>
        <w:rPr>
          <w:sz w:val="20"/>
          <w:szCs w:val="20"/>
          <w:color w:val="auto"/>
        </w:rPr>
      </w:pPr>
    </w:p>
    <w:p>
      <w:pPr>
        <w:ind w:left="1060" w:right="14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$2.8 million for increased purchases of lab supplies and non-capital equipment, funding preclinical and research development efforts and process development and design costs;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6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approximately $2.2 million for increased compensation expenses, of which $2.6 million related to increased employee compensation costs, including hiring of personnel during 2014, which were partially offset by a $0.4 million decrease in contractor and consulting fees;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approximately $0.9 million related to acquiring patents and licensing rights;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approximately $0.6 million for increases in facility costs including rent, depreciation, and maintenance expenses;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General and administrative expense increased by $4.0 million from $1.5 million for the period ended December 31, 2013 to $5.5 million for the year ended December 31, 2014. The increase in general and administrative expense was primarily attributable to 12 months of operations being included in 2014 versus the six months of operations during 2013 and included the following:</w:t>
      </w:r>
    </w:p>
    <w:p>
      <w:pPr>
        <w:spacing w:after="0" w:line="192"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approximately $1.5 million for patent-related and other corporate legal fees incurred during 2014;</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approximately $1.0 million for increased employee compensation costs, including hiring of personnel during 2014;</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approximately $0.6 million for renting and operating our corporate facilities;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approximately $0.5 million for administrative consulting and professional services.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Other expense increased by $1.9 million from $0.1 million for the period ended December 31, 2013 to $2.0 million for the year ended December 31, 2014. The increase in expense primarily related to the mark to market adjustments recorded on our Series A Preferred Stock Tranche Right liability during 2014. Additionally, interest expense decreased by $0.1 million for the year ended December 31, 2014 from $0.1 million for the period ended December 31, 2013. The decrease related to the exchange of the convertible promissory notes payable, which were issued during the period ended December 31, 2013, into Series A Preferred Stock in January 2014.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24" w:lineRule="exact"/>
        <w:rPr>
          <w:sz w:val="20"/>
          <w:szCs w:val="20"/>
          <w:color w:val="auto"/>
        </w:rPr>
      </w:pPr>
    </w:p>
    <w:p>
      <w:pPr>
        <w:ind w:right="380" w:firstLine="338"/>
        <w:spacing w:after="0" w:line="270" w:lineRule="auto"/>
        <w:rPr>
          <w:sz w:val="20"/>
          <w:szCs w:val="20"/>
          <w:color w:val="auto"/>
        </w:rPr>
      </w:pPr>
      <w:r>
        <w:rPr>
          <w:rFonts w:ascii="Arial" w:cs="Arial" w:eastAsia="Arial" w:hAnsi="Arial"/>
          <w:sz w:val="17"/>
          <w:szCs w:val="17"/>
          <w:color w:val="auto"/>
        </w:rPr>
        <w:t>We have funded our operations primarily through proceeds from private placements of our convertible preferred stock and convertible promissory notes of $135.0 million and proceeds associated with an up-front payment from the Genzyme Collaboration of $65.0 million. As of June 30, 2015, we had cash, cash equivalents and marketable securities of $168.6 million.</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Cash Flows</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following table provides information regarding our cash flows for the period and year ended December 31, 2013 and 2014 and the six months ended June 30, 2014 and June 30, 2015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Period from</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(Inception) to</w:t>
            </w: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880" w:type="dxa"/>
            <w:vAlign w:val="bottom"/>
            <w:gridSpan w:val="3"/>
          </w:tcPr>
          <w:p>
            <w:pPr>
              <w:jc w:val="center"/>
              <w:ind w:left="345"/>
              <w:spacing w:after="0" w:line="144" w:lineRule="exact"/>
              <w:rPr>
                <w:sz w:val="20"/>
                <w:szCs w:val="20"/>
                <w:color w:val="auto"/>
              </w:rPr>
            </w:pPr>
            <w:r>
              <w:rPr>
                <w:rFonts w:ascii="Arial" w:cs="Arial" w:eastAsia="Arial" w:hAnsi="Arial"/>
                <w:sz w:val="13"/>
                <w:szCs w:val="13"/>
                <w:b w:val="1"/>
                <w:bCs w:val="1"/>
                <w:color w:val="auto"/>
                <w:w w:val="88"/>
              </w:rPr>
              <w:t>June 30,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2"/>
                <w:szCs w:val="2"/>
                <w:color w:val="auto"/>
              </w:rPr>
            </w:pPr>
          </w:p>
        </w:tc>
        <w:tc>
          <w:tcPr>
            <w:tcW w:w="100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96"/>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5"/>
          </w:tcPr>
          <w:p>
            <w:pPr>
              <w:jc w:val="center"/>
              <w:ind w:right="28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(11,918)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(4,797)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57,606</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(3,302)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(84,679)</w:t>
            </w: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2,860</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22,120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9,573</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104,786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77,713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use of cash in all periods resulted primarily from our net losses adjusted for non-cash charges and changes in components of working capital.</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Net cash provided by operating activities was $57.6 million during the six months ended June 30, 2015 compared to $4.8 million of cash used in operating activities during the six months ended June 30, 2014. The increase in cash provided by operating activities was primarily due to the receipt of the $65.0 million upfront payment from Genzyme under the Genzyme Collaboration.</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Net cash used in operating activities was $11.9 million during the year ended December 31, 2014 compared to $2.7 million during the period ended December 31, 2013. The increase in cash used in operating activities was due to an increase in net loss of $12.5 million for the year ended December 31, 2014 as compared to the period ended December 31,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Net cash used in investing activities was $84.7 million during the six months ended June 30, 2015 compared to $1.0 million during the six months ended June 30, 2014. The cash used for investing activities for the six months ended June 30, 2015 was primarily due to purchases of marketable securities partially offset by proceeds from maturities of marketable securities.</w:t>
      </w:r>
    </w:p>
    <w:p>
      <w:pPr>
        <w:spacing w:after="0" w:line="179"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Net cash used in investing activities was $3.3 million during the year ended December 31, 2014. We did not use any cash in investing activities during the period ended December 31, 2013. The increase in cash used in investing activities was due to purchases of property and equipment of $1.7 million, the build-out of our leased facilities under the tenant improvements allowance of $1.3 million, and setting aside $0.3 million in restricted cash as required by our lease agreement and credit card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24" w:lineRule="exact"/>
        <w:rPr>
          <w:sz w:val="20"/>
          <w:szCs w:val="20"/>
          <w:color w:val="auto"/>
        </w:rPr>
      </w:pPr>
    </w:p>
    <w:p>
      <w:pPr>
        <w:jc w:val="both"/>
        <w:ind w:right="180" w:firstLine="341"/>
        <w:spacing w:after="0" w:line="265" w:lineRule="auto"/>
        <w:rPr>
          <w:sz w:val="20"/>
          <w:szCs w:val="20"/>
          <w:color w:val="auto"/>
        </w:rPr>
      </w:pPr>
      <w:r>
        <w:rPr>
          <w:rFonts w:ascii="Arial" w:cs="Arial" w:eastAsia="Arial" w:hAnsi="Arial"/>
          <w:sz w:val="17"/>
          <w:szCs w:val="17"/>
          <w:color w:val="auto"/>
        </w:rPr>
        <w:t>Net cash provided by financing activities was $104.8 million during the six months ended June 30, 2015 compared to $9.6 million during the six months ended June 30, 2014. The increase in cash provided by financing activities was primarily due to the issuance of $20.0 million of Series A Preferred Stock and $90.0 million of Series B Preferred Stock during the six months ended June 30, 2015, of which $5.0 million in proceeds were in excess of the Series B Preferred Stock's fair value and were allocated to deferred revenue.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Net cash provided by financing activities was $22.1 million during the year ended December 31, 2014 compared to $2.9 million during the period ended December 31, 2013. The increase in cash provided by financing activities was primarily due to the closing of the first four Series A Preferred Stock financing rounds for aggregate gross proceeds of $22.0 million during 2014.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Funding Requirements</w:t>
      </w:r>
    </w:p>
    <w:p>
      <w:pPr>
        <w:spacing w:after="0" w:line="22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program candidates, we expect to incur significant commercialization expenses related to program sales, marketing, manufacturing and distribution to the extent that such sales, marketing and distribution are not the responsibility of potential collaborators. Furthermore, upon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90"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We expect our existing cash and cash equivalents will enable us to fund our operating expenses and capital expenditure requirements for at least the next 24 months. Our future capital requirements will depend on many factors, including:</w:t>
      </w:r>
    </w:p>
    <w:p>
      <w:pPr>
        <w:spacing w:after="0" w:line="183"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scope, progress, results and costs of product discovery, preclinical studies and clinical trials for our product candidates;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the Genzyme Collaboration and any other collaboration agreements we obtain;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ability of our collaboration partners to exercise options to extend research and development programs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collaboration agreements, if any;</w:t>
      </w:r>
    </w:p>
    <w:p>
      <w:pPr>
        <w:spacing w:after="0" w:line="261" w:lineRule="exact"/>
        <w:rPr>
          <w:rFonts w:ascii="Arial" w:cs="Arial" w:eastAsia="Arial" w:hAnsi="Arial"/>
          <w:sz w:val="16"/>
          <w:szCs w:val="16"/>
          <w:color w:val="auto"/>
        </w:rPr>
      </w:pPr>
    </w:p>
    <w:p>
      <w:pPr>
        <w:ind w:left="1060" w:right="18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approvals to market our product candidates.</w:t>
      </w:r>
    </w:p>
    <w:p>
      <w:pPr>
        <w:spacing w:after="0" w:line="236"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gene therapies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 December 31, 2014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Less Than</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More than</w:t>
            </w:r>
          </w:p>
        </w:tc>
      </w:tr>
      <w:tr>
        <w:trPr>
          <w:trHeight w:val="157"/>
        </w:trPr>
        <w:tc>
          <w:tcPr>
            <w:tcW w:w="24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2"/>
              </w:rPr>
              <w:t>1 Year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w w:val="84"/>
              </w:rPr>
              <w:t>1 to 3 Years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3 to 5 Years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r>
      <w:tr>
        <w:trPr>
          <w:trHeight w:val="242"/>
        </w:trPr>
        <w:tc>
          <w:tcPr>
            <w:tcW w:w="4580" w:type="dxa"/>
            <w:vAlign w:val="bottom"/>
            <w:gridSpan w:val="2"/>
            <w:shd w:val="clear" w:color="auto" w:fill="CCEEFF"/>
          </w:tcPr>
          <w:p>
            <w:pPr>
              <w:ind w:left="20"/>
              <w:spacing w:after="0" w:line="242"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8"/>
                <w:szCs w:val="28"/>
                <w:color w:val="auto"/>
                <w:vertAlign w:val="superscript"/>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5,877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3,576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105"/>
        </w:trPr>
        <w:tc>
          <w:tcPr>
            <w:tcW w:w="240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tabs>
          <w:tab w:leader="none" w:pos="16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We lease office space at 75 Sidney Street in Cambridge, Massachusetts under a non-cancelable operating lease that expires in December 2019.</w:t>
      </w:r>
    </w:p>
    <w:p>
      <w:pPr>
        <w:spacing w:after="0" w:line="205"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We enter into agreements in the normal course of business with CROs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146" w:lineRule="exact"/>
        <w:rPr>
          <w:sz w:val="20"/>
          <w:szCs w:val="20"/>
          <w:color w:val="auto"/>
        </w:rPr>
      </w:pPr>
    </w:p>
    <w:p>
      <w:pPr>
        <w:ind w:right="140" w:firstLine="341"/>
        <w:spacing w:after="0" w:line="280" w:lineRule="auto"/>
        <w:rPr>
          <w:sz w:val="20"/>
          <w:szCs w:val="20"/>
          <w:color w:val="auto"/>
        </w:rPr>
      </w:pPr>
      <w:r>
        <w:rPr>
          <w:rFonts w:ascii="Arial" w:cs="Arial" w:eastAsia="Arial" w:hAnsi="Arial"/>
          <w:sz w:val="16"/>
          <w:szCs w:val="16"/>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The maximum aggregate potential milestone payments payable by us total approximately $12.0 million. Additionally, under the terms of one agreement, we have options to license intellectual property to be used in the development of therapies for four disease indications. If we exercise all of the options under the agreement, we would be obligated to pay aggregate up-front fees of up to approximately $1.5 million and milestone payments that are contingent upon clinical trial results and regulatory approval of $5.0 million per disease indication, or up to $20.0 million in total. We may also be required to pay to annual maintenance fees or minimum amounts payable ranging from low-four digits to low five-digits depending upon the terms of the applicable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Securities and Exchange Commission rules.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rates, particularly because our investments, including cash equivalents, are in the form of money market fund and marketable securities and are invested in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Treasury and U.S. government agency obligations.</w:t>
      </w:r>
    </w:p>
    <w:p>
      <w:pPr>
        <w:spacing w:after="0" w:line="21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during the period and year ended December 31, 2013 and 2014 and the six months ended June 30, 2014 and June 30, 2015,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April 2012, the JOBS Act, was enacted. Section 107 of the JOBS Act provides that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7"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We are a clinical-stage gene therapy company focused on developing life-changing treatments for patients suffering from severe diseases of the central nervous system, or CNS. We focus on CNS diseases where we believe that an adeno-associated virus, or AAV, gene therapy approach that either increases or decreases the production of a specific protein can slow or reduce the symptoms experienced by patients, and therefore have a clinically meaningful impact. We have created a product engine that enables us to engineer, optimize, manufacture and deliver our AAV-based therapies that have the potential to provide durable efficacy following a single administration directly to the CNS. Our product engine has rapidly generated programs for five CNS indications, including advanced Parkinson's disease; a monogenic form of amyotrophic lateral sclerosis, or a form of the disease caused by a single gene mutation; Friedreich's ataxia; Huntington's disease; and spinal muscular atrophy. Our most advanced clinical candidate, VY-AADC01, is being evaluated for the treatment of advanced Parkinson's disease in an open-label, Phase 1b clinical trial with the goal of generating human proof-of-concept data in the second half of 2016. Our founders and members of our management team have extensive experience in drug discovery and development and have pioneered significant advances within the fields of AAV gene therapy and neuroscience.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AAV gene therapy is a particularly attractive treatment approach for CNS diseases that are caused by well-defined genetic mutations. CNS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diseases are a leading driver of global disease burden and represent the single largest biopharmaceutical market with estimated worldwide annual sales of over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$125 billion in 2013, with the five CNS indications that we are currently targeting representing only a portion of this market. Due to the limited treatment options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available for many CNS diseases, there remains a significant unmet medical need and an opportunity for AAV gene therapy to transform the lives of many patients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with severe CNS diseases. Based upon clinical data generated to date, we believe that durable gene expression is achievable following a single administration of AAV</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gene therapy. Recent advances in delivery techniques allow for targeted delivery of AAV vectors, which are modified, non-replicating versions of AAV, to discrete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regions of the CNS. In addition, AAV is believed to be safe, as no vector-related serious adverse events, or SAEs, have been reported in the more than 1,300 patients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that we estimate have been treated with AAV gene therapy to date, including 200 patients treated for CNS indications.</w:t>
      </w:r>
    </w:p>
    <w:p>
      <w:pPr>
        <w:spacing w:after="0" w:line="218"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We have built a product engine that we believe positions us to be the leading company at the intersection of AAV gene therapy and severe CNS diseases. Our team of experts in the fields of AAV gene therapy and neuroscience first identifies and selects severe CNS diseases that are well-suited for treatment using AAV gene therapy. We then engineer and optimize AAV vectors for delivery to the targeted tissue or cells. Our manufacturing process employs an established system to enable production of high quality AAV vectors at commercial-scale. Finally, we leverage established routes of administration and advances in dosing techniques to optimize delivery of our AAV gene therapies directly to discrete regions of the brain or more broadly to the spinal cord region.</w:t>
      </w:r>
    </w:p>
    <w:p>
      <w:pPr>
        <w:spacing w:after="0" w:line="174"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Our most advanced clinical candidate, VY-AADC01, is being evaluated for the treatment of advanced Parkinson's disease. The overall goal of treatment with VY-AADC01 is to restore advanced Parkinson's disease patients' responsiveness to levodopa, or L-Dopa, the longtime standard of care for controlling patients' symptoms at early stages of the disease. Human proof-of-concept data is being generated for VY-AADC01 in an open-label, Phase 1b clinical trial being conducted by our collaborators at the University of California, San Francisco, or UCSF. The main goals of this dose-escalation trial are to optimize vector delivery and dose, as well as to obtain further information on the safety profile of the treatment. Enrollment in the Phase 1b clinical trial is ongoing and eight patients have been treated to date, including five patients in the first cohort and three patients in the second cohort. No SAEs were seen in seven of the eight patients treated to date. The seventh patient treated in the trial experienced two SAEs that were determined to be related to the surgical procedure,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not VY-AADC01. As of September 25, 2015, the patient's symptoms associated with the SAEs had completely resolved, subject to continued monitoring and treatment with an anti-coagulent, which may be discontinued within one month.</w:t>
      </w:r>
    </w:p>
    <w:p>
      <w:pPr>
        <w:spacing w:after="0" w:line="17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Our four preclinical programs target severe CNS indications where loss or abnormal expression of a specific gene has been identified as the cause of the disease. Furthermore, based on preclinical data, we believe that we can successfully deliver the target gene to the appropriate tissue and cells in the CNS in order to increase or decrease expression of the target protein, as required for therapeutic efficacy. Several of our product candidates may be eligible for orphan drug designation or breakthrough therapy designation.</w:t>
      </w:r>
    </w:p>
    <w:p>
      <w:pPr>
        <w:spacing w:after="0" w:line="185" w:lineRule="exact"/>
        <w:rPr>
          <w:sz w:val="20"/>
          <w:szCs w:val="20"/>
          <w:color w:val="auto"/>
        </w:rPr>
      </w:pPr>
    </w:p>
    <w:p>
      <w:pPr>
        <w:ind w:right="180" w:firstLine="341"/>
        <w:spacing w:after="0" w:line="265" w:lineRule="auto"/>
        <w:rPr>
          <w:sz w:val="20"/>
          <w:szCs w:val="20"/>
          <w:color w:val="auto"/>
        </w:rPr>
      </w:pPr>
      <w:r>
        <w:rPr>
          <w:rFonts w:ascii="Arial" w:cs="Arial" w:eastAsia="Arial" w:hAnsi="Arial"/>
          <w:sz w:val="17"/>
          <w:szCs w:val="17"/>
          <w:color w:val="auto"/>
        </w:rPr>
        <w:t>In February 2015, we entered into a strategic collaboration with Genzyme Corporation, a Sanofi company, or Genzyme, to leverage our combined expertise and assets to develop AAV gene therapies for severe CNS diseases. Under the agreement, we received $65.0 million in upfront cash, a $30.0 million upfront equity investment and an in-kind commitment of $5.0 million, totalling $100 million. Additionally, we are eligible to receive up to $745 million in option and milestone payments while retaining U.S. commercial rights to most programs.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pipeline of AAV gene therapy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147955</wp:posOffset>
            </wp:positionV>
            <wp:extent cx="5643880" cy="3704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3880"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Mission and Strategy</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Our mission is to become the world leader in AAV gene therapy for treating severe CNS diseases by developing transformative therapies. Our strategy to achieve this mission is to:</w:t>
      </w:r>
    </w:p>
    <w:p>
      <w:pPr>
        <w:spacing w:after="0" w:line="183" w:lineRule="exact"/>
        <w:rPr>
          <w:sz w:val="20"/>
          <w:szCs w:val="20"/>
          <w:color w:val="auto"/>
        </w:rPr>
      </w:pPr>
    </w:p>
    <w:p>
      <w:pPr>
        <w:ind w:left="1060" w:right="260" w:hanging="531"/>
        <w:spacing w:after="0" w:line="315"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Continually invest in our AAV product engine. </w:t>
      </w:r>
      <w:r>
        <w:rPr>
          <w:rFonts w:ascii="Arial" w:cs="Arial" w:eastAsia="Arial" w:hAnsi="Arial"/>
          <w:sz w:val="16"/>
          <w:szCs w:val="16"/>
          <w:color w:val="auto"/>
        </w:rPr>
        <w:t>We intend to further develop and enhance our product engine by focusing on (i) vector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optimization; (ii) manufacturing; and (iii) dosing and delivery techniques. We plan to continue generating novel AAV vectors by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20"/>
        <w:spacing w:after="0" w:line="265" w:lineRule="auto"/>
        <w:rPr>
          <w:sz w:val="20"/>
          <w:szCs w:val="20"/>
          <w:color w:val="auto"/>
        </w:rPr>
      </w:pPr>
      <w:r>
        <w:rPr>
          <w:rFonts w:ascii="Arial" w:cs="Arial" w:eastAsia="Arial" w:hAnsi="Arial"/>
          <w:sz w:val="17"/>
          <w:szCs w:val="17"/>
          <w:color w:val="auto"/>
        </w:rPr>
        <w:t>engineering and optimizing vectors best suited to a targeted disease. We are building an onsite, state-of-the-art process research and development facility to enable the manufacturing of high quality AAV gene therapies. We expect to utilize established and novel techniques for dosing and delivery of our AAV gene therapies to the CNS. We plan to continually invest in our product engine to maintain our leadership in AAV gene therapy for CNS diseases.</w:t>
      </w:r>
    </w:p>
    <w:p>
      <w:pPr>
        <w:spacing w:after="0" w:line="199" w:lineRule="exact"/>
        <w:rPr>
          <w:sz w:val="20"/>
          <w:szCs w:val="20"/>
          <w:color w:val="auto"/>
        </w:rPr>
      </w:pPr>
    </w:p>
    <w:p>
      <w:pPr>
        <w:ind w:left="1060" w:right="20" w:hanging="531"/>
        <w:spacing w:after="0" w:line="279"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a leadership position in commercial-scale, high quality AAV manufacturing. </w:t>
      </w:r>
      <w:r>
        <w:rPr>
          <w:rFonts w:ascii="Arial" w:cs="Arial" w:eastAsia="Arial" w:hAnsi="Arial"/>
          <w:sz w:val="16"/>
          <w:szCs w:val="16"/>
          <w:color w:val="auto"/>
        </w:rPr>
        <w:t>We believe that manufacturing capacity and expertise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successfully treating patients using gene therapy, and we are committed to building a system with commercial capacity. Through our collaboration with MassBiologics, a U.S. Food and Drug Administration, or FDA, licensed manufacturer affiliated with the University of Massachusetts Medical School, we are establishing a commercial-scale current good manufacturing practice, or cGMP, compliant manufacturing capability. We believe that we will have a cGMP manufacturing capability by early 2016. We are using the baculovirus AAV production system, a technology for producing AAV vectors at scale in insect-derived cells, originally invented and developed by several members of our current production team while at the National Institutes of Health, or NIH, which we continue to improve upon. We believe that having oversight over our own commercial manufacturing process is critical to ensuring quality product with commercial yields.</w:t>
      </w:r>
    </w:p>
    <w:p>
      <w:pPr>
        <w:spacing w:after="0" w:line="202" w:lineRule="exact"/>
        <w:rPr>
          <w:rFonts w:ascii="Arial" w:cs="Arial" w:eastAsia="Arial" w:hAnsi="Arial"/>
          <w:sz w:val="16"/>
          <w:szCs w:val="16"/>
          <w:color w:val="auto"/>
        </w:rPr>
      </w:pPr>
    </w:p>
    <w:p>
      <w:pPr>
        <w:ind w:left="1060" w:right="100" w:hanging="531"/>
        <w:spacing w:after="0" w:line="280"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advance VY-AADC01 for the treatment of advanced Parkinson's disease. </w:t>
      </w:r>
      <w:r>
        <w:rPr>
          <w:rFonts w:ascii="Arial" w:cs="Arial" w:eastAsia="Arial" w:hAnsi="Arial"/>
          <w:sz w:val="16"/>
          <w:szCs w:val="16"/>
          <w:color w:val="auto"/>
        </w:rPr>
        <w:t>Human proof-of-concept data is being generated for VY-AADC01 in an open-label, Phase 1b dose-escalation trial being conducted by our collaborators at UCSF. Enrollment in the Phase 1b clinical trial is ongoing and eight patients have been treated to date, including five patients in the first cohort and three patients in the second cohort. In the second cohort, we have increased the infusion volume to improve the coverage level achieved. The main goals of this trial are to optimize vector delivery and dosing, as well as to obtain further information on the safety profile of the treatment. More specifically, we are seeking to identify the infusion volume required to achieve effective coverage of the putamen, particularly the posterior putamen, the targeted region within the brain. Once we optimize for coverage, we expect to escalate the dose of VY-AADC01 to optimize for clinical benefit.</w:t>
      </w:r>
    </w:p>
    <w:p>
      <w:pPr>
        <w:spacing w:after="0" w:line="188" w:lineRule="exact"/>
        <w:rPr>
          <w:rFonts w:ascii="Arial" w:cs="Arial" w:eastAsia="Arial" w:hAnsi="Arial"/>
          <w:sz w:val="16"/>
          <w:szCs w:val="16"/>
          <w:color w:val="auto"/>
        </w:rPr>
      </w:pPr>
    </w:p>
    <w:p>
      <w:pPr>
        <w:ind w:left="1060" w:right="20" w:hanging="531"/>
        <w:spacing w:after="0" w:line="26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build a pipeline of gene therapy programs focused on severe CNS diseases. </w:t>
      </w:r>
      <w:r>
        <w:rPr>
          <w:rFonts w:ascii="Arial" w:cs="Arial" w:eastAsia="Arial" w:hAnsi="Arial"/>
          <w:sz w:val="17"/>
          <w:szCs w:val="17"/>
          <w:color w:val="auto"/>
        </w:rPr>
        <w:t>Beyond our clinical-stage program for advanced Parkinson's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we have a deep and promising pipeline of AAV gene therapy programs in various stages of preclinical development. Our goal is to add at least one new pipeline program in early 2016 and submit an Investigational New Drug Application, or IND, for one of our existing preclinical programs in 2017. We believe that our leadership position in AAV gene therapy for CNS diseases and our product engine provide us with the necessary capabilities to evaluate and capitalize on external opportunities. As such, we plan to opportunistically expand our pipeline through acquisition, in-licensing or other strategic transactions.</w:t>
      </w:r>
    </w:p>
    <w:p>
      <w:pPr>
        <w:spacing w:after="0" w:line="201" w:lineRule="exact"/>
        <w:rPr>
          <w:rFonts w:ascii="Arial" w:cs="Arial" w:eastAsia="Arial" w:hAnsi="Arial"/>
          <w:sz w:val="17"/>
          <w:szCs w:val="17"/>
          <w:color w:val="auto"/>
        </w:rPr>
      </w:pPr>
    </w:p>
    <w:p>
      <w:pPr>
        <w:ind w:left="1060" w:right="540" w:hanging="531"/>
        <w:spacing w:after="0" w:line="322" w:lineRule="auto"/>
        <w:tabs>
          <w:tab w:leader="none" w:pos="1060" w:val="left"/>
        </w:tabs>
        <w:numPr>
          <w:ilvl w:val="0"/>
          <w:numId w:val="6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Maintain and maximize the value of our commercialization rights. </w:t>
      </w:r>
      <w:r>
        <w:rPr>
          <w:rFonts w:ascii="Arial" w:cs="Arial" w:eastAsia="Arial" w:hAnsi="Arial"/>
          <w:sz w:val="15"/>
          <w:szCs w:val="15"/>
          <w:color w:val="auto"/>
        </w:rPr>
        <w:t>Under our collaboration with Genzyme, we have retained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commercialization rights. As we advance clinical development of our product candidates and programs, we expect to continue to explore value-maximizing avenues, including building our own sales and marketing infrastructure or partnering with third parties, for commercialization.</w:t>
      </w:r>
    </w:p>
    <w:p>
      <w:pPr>
        <w:spacing w:after="0" w:line="170" w:lineRule="exact"/>
        <w:rPr>
          <w:rFonts w:ascii="Arial" w:cs="Arial" w:eastAsia="Arial" w:hAnsi="Arial"/>
          <w:sz w:val="15"/>
          <w:szCs w:val="15"/>
          <w:color w:val="auto"/>
        </w:rPr>
      </w:pPr>
    </w:p>
    <w:p>
      <w:pPr>
        <w:ind w:left="1060" w:hanging="531"/>
        <w:spacing w:after="0" w:line="265"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expand our intellectual property portfolio. </w:t>
      </w:r>
      <w:r>
        <w:rPr>
          <w:rFonts w:ascii="Arial" w:cs="Arial" w:eastAsia="Arial" w:hAnsi="Arial"/>
          <w:sz w:val="17"/>
          <w:szCs w:val="17"/>
          <w:color w:val="auto"/>
        </w:rPr>
        <w:t>We seek to have an industry leading intellectual property portfolio. To that end, we seek patent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for various aspects of our programs, including vector engineering and construct design, our production process, and all features of our clinical products including compositions and methods of delivery. We expect to continue to expand our intellectual property portfolio by aggressively seeking patent rights for promising aspects of our product engine and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AAV Gene Therapy for CNS Diseases</w:t>
      </w:r>
    </w:p>
    <w:p>
      <w:pPr>
        <w:spacing w:after="0" w:line="228"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123"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While AAV gene therapy can potentially be harnessed for multiple treatment methods, we are currently focused on gene replacement and gene knockdown approaches. Gene replacement is intended to restore the expression of a protein that is not expressed, expressed at abnormally low levels or functionally mutated with loss of function. Gene knockdown is intended to reduce the expression of a pathologically mutated protein that has detrimental effects.</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Overview of AAV-Based Therapeutic Methods Currently Being Pursued by Voyager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150495</wp:posOffset>
            </wp:positionV>
            <wp:extent cx="5619115" cy="23723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19115"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gene therapy approach uses AAV vectors which we believe are ideal vectors for gene therapy for several reasons:</w:t>
      </w:r>
    </w:p>
    <w:p>
      <w:pPr>
        <w:spacing w:after="0" w:line="233"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Broad Applicability. </w:t>
      </w:r>
      <w:r>
        <w:rPr>
          <w:rFonts w:ascii="Arial" w:cs="Arial" w:eastAsia="Arial" w:hAnsi="Arial"/>
          <w:sz w:val="17"/>
          <w:szCs w:val="17"/>
          <w:color w:val="auto"/>
        </w:rPr>
        <w:t>AAV is able to transduce, or transfer a therapeutic gene, into numerous cell types including target cells in the CNS.</w:t>
      </w:r>
    </w:p>
    <w:p>
      <w:pPr>
        <w:spacing w:after="0" w:line="250" w:lineRule="exact"/>
        <w:rPr>
          <w:rFonts w:ascii="Arial" w:cs="Arial" w:eastAsia="Arial" w:hAnsi="Arial"/>
          <w:sz w:val="17"/>
          <w:szCs w:val="17"/>
          <w:color w:val="auto"/>
        </w:rPr>
      </w:pPr>
    </w:p>
    <w:p>
      <w:pPr>
        <w:ind w:left="1060" w:right="380" w:hanging="531"/>
        <w:spacing w:after="0" w:line="287"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Safety. </w:t>
      </w:r>
      <w:r>
        <w:rPr>
          <w:rFonts w:ascii="Arial" w:cs="Arial" w:eastAsia="Arial" w:hAnsi="Arial"/>
          <w:sz w:val="17"/>
          <w:szCs w:val="17"/>
          <w:color w:val="auto"/>
        </w:rPr>
        <w:t>AAV is believed to be safe and is not known to cause any disease in humans. No vector-related SAEs have been reported in the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1,300 patients, including over 200 patients for CNS indications, treated with AAV gene therapy to date.</w:t>
      </w:r>
    </w:p>
    <w:p>
      <w:pPr>
        <w:spacing w:after="0" w:line="174" w:lineRule="exact"/>
        <w:rPr>
          <w:rFonts w:ascii="Arial" w:cs="Arial" w:eastAsia="Arial" w:hAnsi="Arial"/>
          <w:sz w:val="17"/>
          <w:szCs w:val="17"/>
          <w:color w:val="auto"/>
        </w:rPr>
      </w:pPr>
    </w:p>
    <w:p>
      <w:pPr>
        <w:ind w:left="1060" w:hanging="531"/>
        <w:spacing w:after="0" w:line="287"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Does Not Readily Integrate. </w:t>
      </w:r>
      <w:r>
        <w:rPr>
          <w:rFonts w:ascii="Arial" w:cs="Arial" w:eastAsia="Arial" w:hAnsi="Arial"/>
          <w:sz w:val="17"/>
          <w:szCs w:val="17"/>
          <w:color w:val="auto"/>
        </w:rPr>
        <w:t>AAV does not readily integrate into the genome of the target cell, reducing the potential for oncogenesis, or the induction</w:t>
      </w:r>
      <w:r>
        <w:rPr>
          <w:rFonts w:ascii="Arial" w:cs="Arial" w:eastAsia="Arial" w:hAnsi="Arial"/>
          <w:sz w:val="17"/>
          <w:szCs w:val="17"/>
          <w:b w:val="1"/>
          <w:bCs w:val="1"/>
          <w:color w:val="auto"/>
        </w:rPr>
        <w:t xml:space="preserve"> </w:t>
      </w:r>
      <w:r>
        <w:rPr>
          <w:rFonts w:ascii="Arial" w:cs="Arial" w:eastAsia="Arial" w:hAnsi="Arial"/>
          <w:sz w:val="17"/>
          <w:szCs w:val="17"/>
          <w:color w:val="auto"/>
        </w:rPr>
        <w:t>of cancer.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several important reasons why we believe that CNS diseases are well-suited for treatment with AAV gene therapy, including the following:</w:t>
      </w:r>
    </w:p>
    <w:p>
      <w:pPr>
        <w:spacing w:after="0" w:line="245" w:lineRule="exact"/>
        <w:rPr>
          <w:sz w:val="20"/>
          <w:szCs w:val="20"/>
          <w:color w:val="auto"/>
        </w:rPr>
      </w:pPr>
    </w:p>
    <w:p>
      <w:pPr>
        <w:ind w:left="1060" w:right="40" w:hanging="531"/>
        <w:spacing w:after="0" w:line="287"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Validated Targets. </w:t>
      </w:r>
      <w:r>
        <w:rPr>
          <w:rFonts w:ascii="Arial" w:cs="Arial" w:eastAsia="Arial" w:hAnsi="Arial"/>
          <w:sz w:val="17"/>
          <w:szCs w:val="17"/>
          <w:color w:val="auto"/>
        </w:rPr>
        <w:t>Many CNS diseases are caused by well-defined mutations in genes and these genes represent genetically validated drug targets for</w:t>
      </w:r>
      <w:r>
        <w:rPr>
          <w:rFonts w:ascii="Arial" w:cs="Arial" w:eastAsia="Arial" w:hAnsi="Arial"/>
          <w:sz w:val="17"/>
          <w:szCs w:val="17"/>
          <w:b w:val="1"/>
          <w:bCs w:val="1"/>
          <w:color w:val="auto"/>
        </w:rPr>
        <w:t xml:space="preserve"> </w:t>
      </w:r>
      <w:r>
        <w:rPr>
          <w:rFonts w:ascii="Arial" w:cs="Arial" w:eastAsia="Arial" w:hAnsi="Arial"/>
          <w:sz w:val="17"/>
          <w:szCs w:val="17"/>
          <w:color w:val="auto"/>
        </w:rPr>
        <w:t>AAV gene therapy.</w:t>
      </w:r>
    </w:p>
    <w:p>
      <w:pPr>
        <w:spacing w:after="0" w:line="187" w:lineRule="exact"/>
        <w:rPr>
          <w:rFonts w:ascii="Arial" w:cs="Arial" w:eastAsia="Arial" w:hAnsi="Arial"/>
          <w:sz w:val="17"/>
          <w:szCs w:val="17"/>
          <w:color w:val="auto"/>
        </w:rPr>
      </w:pPr>
    </w:p>
    <w:p>
      <w:pPr>
        <w:ind w:left="1060" w:right="460" w:hanging="531"/>
        <w:spacing w:after="0" w:line="287"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Targeted Delivery. </w:t>
      </w:r>
      <w:r>
        <w:rPr>
          <w:rFonts w:ascii="Arial" w:cs="Arial" w:eastAsia="Arial" w:hAnsi="Arial"/>
          <w:sz w:val="17"/>
          <w:szCs w:val="17"/>
          <w:color w:val="auto"/>
        </w:rPr>
        <w:t>Advances in delivery techniques allow for direct delivery of AAV vectors to discrete regions in the brain or broader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throughout the spinal cord via the cerebrospinal fluid, or CSF.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3" w:lineRule="exact"/>
        <w:rPr>
          <w:sz w:val="20"/>
          <w:szCs w:val="20"/>
          <w:color w:val="auto"/>
        </w:rPr>
      </w:pPr>
    </w:p>
    <w:p>
      <w:pPr>
        <w:ind w:left="1060" w:right="60" w:hanging="531"/>
        <w:spacing w:after="0" w:line="267"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Durable Expression. </w:t>
      </w:r>
      <w:r>
        <w:rPr>
          <w:rFonts w:ascii="Arial" w:cs="Arial" w:eastAsia="Arial" w:hAnsi="Arial"/>
          <w:sz w:val="17"/>
          <w:szCs w:val="17"/>
          <w:color w:val="auto"/>
        </w:rPr>
        <w:t>Long-term gene expression may be achievable in the CNS following one-time dosing and transfer of the therapeutic gene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 AAV vector. Cells in the CNS are terminally differentiated, or no longer divide, eliminating the potential for cell division to dilute expression of the therapeutic gene. Repeated or continual dosing with direct injection of drugs into the CNS is complex, therefore a one-time AAV gene therapy has significant advantages.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Immune Privileged Site. </w:t>
      </w:r>
      <w:r>
        <w:rPr>
          <w:rFonts w:ascii="Arial" w:cs="Arial" w:eastAsia="Arial" w:hAnsi="Arial"/>
          <w:sz w:val="17"/>
          <w:szCs w:val="17"/>
          <w:color w:val="auto"/>
        </w:rPr>
        <w:t>There is a reduced risk of harmful immune response due to localized delivery in a self-contained system.</w:t>
      </w:r>
    </w:p>
    <w:p>
      <w:pPr>
        <w:spacing w:after="0" w:line="228" w:lineRule="exact"/>
        <w:rPr>
          <w:sz w:val="20"/>
          <w:szCs w:val="20"/>
          <w:color w:val="auto"/>
        </w:rPr>
      </w:pPr>
    </w:p>
    <w:p>
      <w:pPr>
        <w:ind w:right="40" w:firstLine="338"/>
        <w:spacing w:after="0" w:line="352" w:lineRule="auto"/>
        <w:rPr>
          <w:sz w:val="20"/>
          <w:szCs w:val="20"/>
          <w:color w:val="auto"/>
        </w:rPr>
      </w:pPr>
      <w:r>
        <w:rPr>
          <w:rFonts w:ascii="Arial" w:cs="Arial" w:eastAsia="Arial" w:hAnsi="Arial"/>
          <w:sz w:val="15"/>
          <w:szCs w:val="15"/>
          <w:color w:val="auto"/>
        </w:rPr>
        <w:t>While we are currently focused on gene replacement and gene knockdown approaches, we are also actively exploring additional potential treatment methods that can utilize an AAV vector, including the direct delivery of monoclonal antibodies to the CNS, as well as gene editing to correct or delete a gene in the cell genome.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Voyager Product Engine</w:t>
      </w:r>
    </w:p>
    <w:p>
      <w:pPr>
        <w:spacing w:after="0" w:line="228"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We have built a product engine that we believe positions us to be the leading company at the intersection of AAV gene therapy and severe CNS diseases. Our team of experts in the fields of AAV gene therapy and neuroscience first identifies and selects severe CNS diseases that are well-suited for treatment using AAV gene therapy. We then apply our expertise in AAV vector engineering and optimization, process research and development, manufacturing, dosing and direct CNS delivery to generate a specific AAV gene therapy for a target disease. We believe that optimizing each of these parameters is a key factor for overall program success. We expect that our current and future pipeline programs will make use of technological advances generated with our product engine.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Disease Selection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assess potential product programs based upon the following criteria:</w:t>
      </w:r>
    </w:p>
    <w:p>
      <w:pPr>
        <w:spacing w:after="0" w:line="233"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Unmet Need. </w:t>
      </w:r>
      <w:r>
        <w:rPr>
          <w:rFonts w:ascii="Arial" w:cs="Arial" w:eastAsia="Arial" w:hAnsi="Arial"/>
          <w:sz w:val="17"/>
          <w:szCs w:val="17"/>
          <w:color w:val="auto"/>
        </w:rPr>
        <w:t>There is a significant unmet medical need for the indication and substantial commercial potential.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Target Validation. </w:t>
      </w:r>
      <w:r>
        <w:rPr>
          <w:rFonts w:ascii="Arial" w:cs="Arial" w:eastAsia="Arial" w:hAnsi="Arial"/>
          <w:sz w:val="17"/>
          <w:szCs w:val="17"/>
          <w:color w:val="auto"/>
        </w:rPr>
        <w:t>There is strong evidence that expression of a specific gene, or lack thereof, is causing, or critical to, the disease state.</w:t>
      </w:r>
    </w:p>
    <w:p>
      <w:pPr>
        <w:spacing w:after="0" w:line="250" w:lineRule="exact"/>
        <w:rPr>
          <w:rFonts w:ascii="Arial" w:cs="Arial" w:eastAsia="Arial" w:hAnsi="Arial"/>
          <w:sz w:val="17"/>
          <w:szCs w:val="17"/>
          <w:color w:val="auto"/>
        </w:rPr>
      </w:pPr>
    </w:p>
    <w:p>
      <w:pPr>
        <w:ind w:left="1060" w:right="180" w:hanging="531"/>
        <w:spacing w:after="0" w:line="287"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Delivery Using AAV. </w:t>
      </w:r>
      <w:r>
        <w:rPr>
          <w:rFonts w:ascii="Arial" w:cs="Arial" w:eastAsia="Arial" w:hAnsi="Arial"/>
          <w:sz w:val="17"/>
          <w:szCs w:val="17"/>
          <w:color w:val="auto"/>
        </w:rPr>
        <w:t>There is strong evidence supporting the ability to target the relevant tissue and cells using an AAV vector to achieve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target gene expression.</w:t>
      </w:r>
    </w:p>
    <w:p>
      <w:pPr>
        <w:spacing w:after="0" w:line="174" w:lineRule="exact"/>
        <w:rPr>
          <w:rFonts w:ascii="Arial" w:cs="Arial" w:eastAsia="Arial" w:hAnsi="Arial"/>
          <w:sz w:val="17"/>
          <w:szCs w:val="17"/>
          <w:color w:val="auto"/>
        </w:rPr>
      </w:pPr>
    </w:p>
    <w:p>
      <w:pPr>
        <w:ind w:left="1060" w:right="140" w:hanging="531"/>
        <w:spacing w:after="0" w:line="287"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Clinical Readouts. </w:t>
      </w:r>
      <w:r>
        <w:rPr>
          <w:rFonts w:ascii="Arial" w:cs="Arial" w:eastAsia="Arial" w:hAnsi="Arial"/>
          <w:sz w:val="17"/>
          <w:szCs w:val="17"/>
          <w:color w:val="auto"/>
        </w:rPr>
        <w:t>The clinical impact of an AAV gene therapy can be clearly measured, including through well-accepted clinical endpoints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use of both existing and novel biomarkers.</w:t>
      </w:r>
    </w:p>
    <w:p>
      <w:pPr>
        <w:spacing w:after="0" w:line="174"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Scalability of Manufacturing. </w:t>
      </w:r>
      <w:r>
        <w:rPr>
          <w:rFonts w:ascii="Arial" w:cs="Arial" w:eastAsia="Arial" w:hAnsi="Arial"/>
          <w:sz w:val="16"/>
          <w:szCs w:val="16"/>
          <w:color w:val="auto"/>
        </w:rPr>
        <w:t>Sufficient AAV vector to supply late-stage clinical development and commercialization can be manufactured.</w:t>
      </w:r>
    </w:p>
    <w:p>
      <w:pPr>
        <w:spacing w:after="0" w:line="240"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to the criteria above, we also look for groups of diseases where our knowledge can be transferred. For instance, we believe that some of the delivery parameters and imaging techniques that are employed in our VY-AADC01 program can be applied to AAV gene therapy delivery for Huntington's disease or other diseases where direct, targeted delivery to the brain is warranted. Likewise, we anticipate that our programs for a monogenic form of amyotrophic lateral sclerosis, or ALS, Friedreich's ataxia and spinal muscular atrophy, or SMA, will all utilize injection into the CSF within the spinal column to achieve broad transgene expression in and around the spinal cord.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Vector Engineering and Optimization</w:t>
      </w:r>
    </w:p>
    <w:p>
      <w:pPr>
        <w:spacing w:after="0" w:line="224" w:lineRule="exact"/>
        <w:rPr>
          <w:sz w:val="20"/>
          <w:szCs w:val="20"/>
          <w:color w:val="auto"/>
        </w:rPr>
      </w:pPr>
    </w:p>
    <w:p>
      <w:pPr>
        <w:jc w:val="both"/>
        <w:ind w:right="140" w:firstLine="338"/>
        <w:spacing w:after="0" w:line="270" w:lineRule="auto"/>
        <w:rPr>
          <w:sz w:val="20"/>
          <w:szCs w:val="20"/>
          <w:color w:val="auto"/>
        </w:rPr>
      </w:pPr>
      <w:r>
        <w:rPr>
          <w:rFonts w:ascii="Arial" w:cs="Arial" w:eastAsia="Arial" w:hAnsi="Arial"/>
          <w:sz w:val="17"/>
          <w:szCs w:val="17"/>
          <w:color w:val="auto"/>
        </w:rPr>
        <w:t>We are engineering and optimizing AAV vectors that we believe are best suited for each of our programs. The key components of an AAV vector include: (i) the capsid, or the outer viral protein shell that encloses the target DNA, which includes the promoter and the therapeutic gene; (ii) the therapeutic gene, or transgene; and (iii) the promoter, or the DNA sequence that drives the expression of the transgene.</w:t>
      </w:r>
    </w:p>
    <w:p>
      <w:pPr>
        <w:spacing w:after="0" w:line="179"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Members of our team have co-discovered many of the known naturally occurring AAV capsids and have also created promising genetically engineered AAV capsids. Genetically engineered capsids have yielded vectors with desirable properties, such as higher biological potency and enhanced tissue specificity. We believe that there is an opportunity to further optimize AAV capsids to confer desired characteristics relating to properties such as tissue specificity and immunogenicity. We have a significant effort dedicated to designing and screening for novel AAV capsids using a number of different scientific approaches. We believe that the information generated by this work will enhance our ability to rationally design AAV capsids with specific properties for particular therapeutic applications.</w:t>
      </w:r>
    </w:p>
    <w:p>
      <w:pPr>
        <w:spacing w:after="0" w:line="159"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We completed a non-human primate study that directly compared transgene expression and distribution in the spinal cord across seven different AAV capsids. The capsids were delivered via injection into the CSF within the spinal column and the specific transgene delivered by all the capsids was FXN. Levels of FXN expression were measured at multiple regions of the spinal cord, including the cervical, thoracic and lumbar regions. As shown in the figure below, meaningful differences in the level and distribution of FXN expression were seen across the AAV capsids that were compared. In this study, the levels of FXN expression were highest with AAV2, AAV5 and AAVDJ, and lowest with AAV9. Additionally, FXN expression was normalized as a fold increase relative to FXN expression in a human brain reference sample. Fold increase is a measure describing how much a quantity increases from a baseline value to a final value. For example, a baseline value of 30 and a final value of 60 corresponds to a fold change of two, or a two-fold increase. Fold increase is used as a reporting measure to emphasize the increase itself as opposed to the absolute values.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Capsid Comparison Study Showed Substantial Differences in Transgene Expression</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 the Spinal Cord of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143510</wp:posOffset>
            </wp:positionV>
            <wp:extent cx="5602605" cy="3304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2605" cy="330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20" w:firstLine="338"/>
        <w:spacing w:after="0" w:line="352" w:lineRule="auto"/>
        <w:rPr>
          <w:sz w:val="20"/>
          <w:szCs w:val="20"/>
          <w:color w:val="auto"/>
        </w:rPr>
      </w:pPr>
      <w:r>
        <w:rPr>
          <w:rFonts w:ascii="Arial" w:cs="Arial" w:eastAsia="Arial" w:hAnsi="Arial"/>
          <w:sz w:val="15"/>
          <w:szCs w:val="15"/>
          <w:color w:val="auto"/>
        </w:rPr>
        <w:t>With respect to the target DNA delivered through AAV gene therapy, we are selecting promoters that we believe have the appropriate activity and tissue selectively for our specific gene therapy programs. We are also designing transgenes to provide optimal expression once delivered to the targeted cells.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Manufacturing at Commercial Quality and Scale</w:t>
      </w:r>
    </w:p>
    <w:p>
      <w:pPr>
        <w:spacing w:after="0" w:line="224"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 ability to produce high quality AAV vectors at commercial-scale is a critical success factor in AAV gene therapy. While at the NIH, Robert Kotin, Ph.D., our Vice President of Production, and other members of our current production team invented and developed a baculovirus AAV production system, which we use and have continued to improve. This system has a number of attributes that enable high quality commercial-scale manufacturing, including:</w:t>
      </w:r>
    </w:p>
    <w:p>
      <w:pPr>
        <w:spacing w:after="0" w:line="172"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High Yield. </w:t>
      </w:r>
      <w:r>
        <w:rPr>
          <w:rFonts w:ascii="Arial" w:cs="Arial" w:eastAsia="Arial" w:hAnsi="Arial"/>
          <w:sz w:val="17"/>
          <w:szCs w:val="17"/>
          <w:color w:val="auto"/>
        </w:rPr>
        <w:t>A single manufacturing run at 500-liter scale can yield many thousands of doses of an AAV gene therapy.</w:t>
      </w:r>
    </w:p>
    <w:p>
      <w:pPr>
        <w:spacing w:after="0" w:line="250" w:lineRule="exact"/>
        <w:rPr>
          <w:rFonts w:ascii="Arial" w:cs="Arial" w:eastAsia="Arial" w:hAnsi="Arial"/>
          <w:sz w:val="17"/>
          <w:szCs w:val="17"/>
          <w:color w:val="auto"/>
        </w:rPr>
      </w:pPr>
    </w:p>
    <w:p>
      <w:pPr>
        <w:ind w:left="1060" w:right="480" w:hanging="531"/>
        <w:spacing w:after="0" w:line="357" w:lineRule="auto"/>
        <w:tabs>
          <w:tab w:leader="none" w:pos="1060"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 xml:space="preserve">High Purity. </w:t>
      </w:r>
      <w:r>
        <w:rPr>
          <w:rFonts w:ascii="Arial" w:cs="Arial" w:eastAsia="Arial" w:hAnsi="Arial"/>
          <w:sz w:val="15"/>
          <w:szCs w:val="15"/>
          <w:color w:val="auto"/>
        </w:rPr>
        <w:t>A relatively high percentage of AAV vectors contain the therapeutic DNA, reducing the number of empty capsids compared to</w:t>
      </w:r>
      <w:r>
        <w:rPr>
          <w:rFonts w:ascii="Arial" w:cs="Arial" w:eastAsia="Arial" w:hAnsi="Arial"/>
          <w:sz w:val="15"/>
          <w:szCs w:val="15"/>
          <w:b w:val="1"/>
          <w:bCs w:val="1"/>
          <w:color w:val="auto"/>
        </w:rPr>
        <w:t xml:space="preserve"> </w:t>
      </w:r>
      <w:r>
        <w:rPr>
          <w:rFonts w:ascii="Arial" w:cs="Arial" w:eastAsia="Arial" w:hAnsi="Arial"/>
          <w:sz w:val="15"/>
          <w:szCs w:val="15"/>
          <w:color w:val="auto"/>
        </w:rPr>
        <w:t>alternative manufacturing approaches. In addition, the baculovirus system eliminates the risk of introducing mammalian cell derived impurities.</w:t>
      </w:r>
    </w:p>
    <w:p>
      <w:pPr>
        <w:spacing w:after="0" w:line="129" w:lineRule="exact"/>
        <w:rPr>
          <w:rFonts w:ascii="Arial" w:cs="Arial" w:eastAsia="Arial" w:hAnsi="Arial"/>
          <w:sz w:val="15"/>
          <w:szCs w:val="15"/>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This process is reproducible at volumes ranging from 0.02 liters to 500 liters.</w:t>
      </w:r>
    </w:p>
    <w:p>
      <w:pPr>
        <w:spacing w:after="0" w:line="237" w:lineRule="exact"/>
        <w:rPr>
          <w:rFonts w:ascii="Arial" w:cs="Arial" w:eastAsia="Arial" w:hAnsi="Arial"/>
          <w:sz w:val="17"/>
          <w:szCs w:val="17"/>
          <w:color w:val="auto"/>
        </w:rPr>
      </w:pPr>
    </w:p>
    <w:p>
      <w:pPr>
        <w:ind w:left="1060" w:right="140" w:hanging="531"/>
        <w:spacing w:after="0" w:line="357" w:lineRule="auto"/>
        <w:tabs>
          <w:tab w:leader="none" w:pos="1060"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 xml:space="preserve">Promising Regulatory Framework. </w:t>
      </w:r>
      <w:r>
        <w:rPr>
          <w:rFonts w:ascii="Arial" w:cs="Arial" w:eastAsia="Arial" w:hAnsi="Arial"/>
          <w:sz w:val="15"/>
          <w:szCs w:val="15"/>
          <w:color w:val="auto"/>
        </w:rPr>
        <w:t>Although to date no gene therapy product has been approved in the United States, products manufactured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baculovirus system include the AAV gene therapy, Glybera, which is approved in Europe, and the marketed vaccines Flublok and Cervarix.</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We are building a state-of-the-art process research and development production facility for manufacturing research-grade AAV vectors onsite at our Cambridge, Massachusetts headquarters and a cGMP, commercial-scale AAV manufacturing capability through our collaboration with MassBiologics, in Fall River, Massachusetts, both of which will employ our baculovirus production system.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Optimized Delivery and Route of Administration</w:t>
      </w:r>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develop clinically feasible protocols that yield reproducible results across patients. For our current pipeline programs, we are either pursuing direct injection into the brain, called intraparenchymal injection (advanced Parkinson's disease and Huntington's disease) or injection into the CSF within the cerebrospinal space, called intrathecal injection (Friedreich's ataxia, SMA and a monogenic form of ALS).</w:t>
      </w:r>
    </w:p>
    <w:p>
      <w:pPr>
        <w:spacing w:after="0" w:line="197" w:lineRule="exact"/>
        <w:rPr>
          <w:sz w:val="20"/>
          <w:szCs w:val="20"/>
          <w:color w:val="auto"/>
        </w:rPr>
      </w:pPr>
    </w:p>
    <w:p>
      <w:pPr>
        <w:ind w:left="1060" w:hanging="531"/>
        <w:spacing w:after="0" w:line="281"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Intraparenchymal Injection to the Brain. </w:t>
      </w:r>
      <w:r>
        <w:rPr>
          <w:rFonts w:ascii="Arial" w:cs="Arial" w:eastAsia="Arial" w:hAnsi="Arial"/>
          <w:sz w:val="16"/>
          <w:szCs w:val="16"/>
          <w:color w:val="auto"/>
        </w:rPr>
        <w:t>In the development of VY-AADC01 for the treatment of advanced Parkinson's disease, we are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ClearPoint System to provide real-time, intra-operative, magnetic resonance imaging, or MRI, as well as state-of-the-art infusion technologies. The ClearPoint System assists the physician in visualizing the delivery of VY-AADC01 to the putamen and to avoid specific blood vessels during the surgical procedure, with the goal of reducing the risk of hemorrhages. The surgical approach that we are using is similar to the approach used for deep brain stimulation, or DBS, a marketed device-based treatment for advanced Parkinson's disease. In multiple clinical trials to date, a similar delivery technique was used to successfully deliver AAV gene therapy to the brains of patients with Parkinson's disease. We believe that the delivery knowledge gained from our VY-AADC01 program can be applied to AAV gene therapy delivery for Huntington's disease.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of Intraparenchymal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6243320" cy="2297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433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Courtesy of: Okinawa Institute of Science and Technology.</w:t>
      </w:r>
    </w:p>
    <w:p>
      <w:pPr>
        <w:spacing w:after="0" w:line="227" w:lineRule="exact"/>
        <w:rPr>
          <w:sz w:val="20"/>
          <w:szCs w:val="20"/>
          <w:color w:val="auto"/>
        </w:rPr>
      </w:pPr>
    </w:p>
    <w:p>
      <w:pPr>
        <w:ind w:left="1060" w:right="180" w:hanging="531"/>
        <w:spacing w:after="0" w:line="267"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Intrathecal Injection to the Spinal Cord. </w:t>
      </w:r>
      <w:r>
        <w:rPr>
          <w:rFonts w:ascii="Arial" w:cs="Arial" w:eastAsia="Arial" w:hAnsi="Arial"/>
          <w:sz w:val="17"/>
          <w:szCs w:val="17"/>
          <w:color w:val="auto"/>
        </w:rPr>
        <w:t>For spinal cord disorders, including monogenic ALS, Friedreich's ataxia and SMA, we believe that</w:t>
      </w:r>
      <w:r>
        <w:rPr>
          <w:rFonts w:ascii="Arial" w:cs="Arial" w:eastAsia="Arial" w:hAnsi="Arial"/>
          <w:sz w:val="17"/>
          <w:szCs w:val="17"/>
          <w:b w:val="1"/>
          <w:bCs w:val="1"/>
          <w:color w:val="auto"/>
        </w:rPr>
        <w:t xml:space="preserve"> </w:t>
      </w:r>
      <w:r>
        <w:rPr>
          <w:rFonts w:ascii="Arial" w:cs="Arial" w:eastAsia="Arial" w:hAnsi="Arial"/>
          <w:sz w:val="17"/>
          <w:szCs w:val="17"/>
          <w:color w:val="auto"/>
        </w:rPr>
        <w:t>intrathecal injection is the optimal route of administration to achieve broad transgene expression throughout the relevant cells in the spinal cord and sensory pathways. Preclinical studies completed by us and others have demonstrated that intrathecal delivery of AAV vectors can effectively transfer the therapeutic genes to relevant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00"/>
        <w:spacing w:after="0" w:line="282" w:lineRule="auto"/>
        <w:rPr>
          <w:sz w:val="20"/>
          <w:szCs w:val="20"/>
          <w:color w:val="auto"/>
        </w:rPr>
      </w:pPr>
      <w:r>
        <w:rPr>
          <w:rFonts w:ascii="Arial" w:cs="Arial" w:eastAsia="Arial" w:hAnsi="Arial"/>
          <w:sz w:val="17"/>
          <w:szCs w:val="17"/>
          <w:color w:val="auto"/>
        </w:rPr>
        <w:t>cells in all regions of the spinal cord, as well as in the sensory pathways. Currently, intrathecal injection is commonly used for the delivery of various types of medications, including those to treat pain and infections.</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Overview of Intrathecal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150495</wp:posOffset>
            </wp:positionV>
            <wp:extent cx="3421380" cy="2280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138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Our Pipeline</w:t>
      </w:r>
    </w:p>
    <w:p>
      <w:pPr>
        <w:spacing w:after="0" w:line="228" w:lineRule="exact"/>
        <w:rPr>
          <w:sz w:val="20"/>
          <w:szCs w:val="20"/>
          <w:color w:val="auto"/>
        </w:rPr>
      </w:pPr>
    </w:p>
    <w:p>
      <w:pPr>
        <w:ind w:right="180" w:firstLine="338"/>
        <w:spacing w:after="0" w:line="287" w:lineRule="auto"/>
        <w:rPr>
          <w:sz w:val="20"/>
          <w:szCs w:val="20"/>
          <w:color w:val="auto"/>
        </w:rPr>
      </w:pPr>
      <w:r>
        <w:rPr>
          <w:rFonts w:ascii="Arial" w:cs="Arial" w:eastAsia="Arial" w:hAnsi="Arial"/>
          <w:sz w:val="16"/>
          <w:szCs w:val="16"/>
          <w:color w:val="auto"/>
        </w:rPr>
        <w:t>We have leveraged our product engine to assemble a pipeline of novel AAV gene therapies for the treatment of severe CNS diseases with high unmet medical need. Depending on the disease, our current AAV gene therapies will use either a gene replacement or gene knockdown approach. Our goal is to address the underlying cause or the predominant manifestations of a specific disease by significantly increasing or decreasing expression of the relevant proteins at targeted sites within the CNS. Several of our product candidates may be eligible for orphan drug designation or breakthrough therapy designation.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Program</w:t>
            </w:r>
          </w:p>
        </w:tc>
        <w:tc>
          <w:tcPr>
            <w:tcW w:w="2600" w:type="dxa"/>
            <w:vAlign w:val="bottom"/>
            <w:tcBorders>
              <w:bottom w:val="single" w:sz="8" w:color="auto"/>
            </w:tcBorders>
          </w:tcPr>
          <w:p>
            <w:pPr>
              <w:ind w:left="1020"/>
              <w:spacing w:after="0"/>
              <w:rPr>
                <w:sz w:val="20"/>
                <w:szCs w:val="20"/>
                <w:color w:val="auto"/>
              </w:rPr>
            </w:pPr>
            <w:r>
              <w:rPr>
                <w:rFonts w:ascii="Arial" w:cs="Arial" w:eastAsia="Arial" w:hAnsi="Arial"/>
                <w:sz w:val="17"/>
                <w:szCs w:val="17"/>
                <w:b w:val="1"/>
                <w:bCs w:val="1"/>
                <w:color w:val="auto"/>
              </w:rPr>
              <w:t>Indication</w:t>
            </w: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Target</w:t>
            </w: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Method</w:t>
            </w:r>
          </w:p>
        </w:tc>
        <w:tc>
          <w:tcPr>
            <w:tcW w:w="5060" w:type="dxa"/>
            <w:vAlign w:val="bottom"/>
            <w:tcBorders>
              <w:bottom w:val="single" w:sz="8" w:color="auto"/>
            </w:tcBorders>
          </w:tcPr>
          <w:p>
            <w:pPr>
              <w:ind w:left="1720"/>
              <w:spacing w:after="0"/>
              <w:rPr>
                <w:sz w:val="20"/>
                <w:szCs w:val="20"/>
                <w:color w:val="auto"/>
              </w:rPr>
            </w:pPr>
            <w:r>
              <w:rPr>
                <w:rFonts w:ascii="Arial" w:cs="Arial" w:eastAsia="Arial" w:hAnsi="Arial"/>
                <w:sz w:val="17"/>
                <w:szCs w:val="17"/>
                <w:b w:val="1"/>
                <w:bCs w:val="1"/>
                <w:color w:val="auto"/>
              </w:rPr>
              <w:t>Route of Administration</w:t>
            </w:r>
          </w:p>
        </w:tc>
      </w:tr>
      <w:tr>
        <w:trPr>
          <w:trHeight w:val="204"/>
        </w:trPr>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VY-AADC01</w:t>
            </w:r>
          </w:p>
        </w:tc>
        <w:tc>
          <w:tcPr>
            <w:tcW w:w="26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7"/>
              </w:rPr>
              <w:t>Advanced Parkinson's Disease</w:t>
            </w: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AADC</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98"/>
              </w:rPr>
              <w:t>Gene replacement</w:t>
            </w:r>
          </w:p>
        </w:tc>
        <w:tc>
          <w:tcPr>
            <w:tcW w:w="5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Intraparenchymal injection</w:t>
            </w:r>
          </w:p>
        </w:tc>
      </w:tr>
      <w:tr>
        <w:trPr>
          <w:trHeight w:val="209"/>
        </w:trPr>
        <w:tc>
          <w:tcPr>
            <w:tcW w:w="1360" w:type="dxa"/>
            <w:vAlign w:val="bottom"/>
          </w:tcPr>
          <w:p>
            <w:pPr>
              <w:ind w:left="100"/>
              <w:spacing w:after="0"/>
              <w:rPr>
                <w:sz w:val="20"/>
                <w:szCs w:val="20"/>
                <w:color w:val="auto"/>
              </w:rPr>
            </w:pPr>
            <w:r>
              <w:rPr>
                <w:rFonts w:ascii="Arial" w:cs="Arial" w:eastAsia="Arial" w:hAnsi="Arial"/>
                <w:sz w:val="17"/>
                <w:szCs w:val="17"/>
                <w:color w:val="auto"/>
              </w:rPr>
              <w:t>VY-SOD101</w:t>
            </w:r>
          </w:p>
        </w:tc>
        <w:tc>
          <w:tcPr>
            <w:tcW w:w="2600" w:type="dxa"/>
            <w:vAlign w:val="bottom"/>
          </w:tcPr>
          <w:p>
            <w:pPr>
              <w:ind w:left="300"/>
              <w:spacing w:after="0"/>
              <w:rPr>
                <w:sz w:val="20"/>
                <w:szCs w:val="20"/>
                <w:color w:val="auto"/>
              </w:rPr>
            </w:pPr>
            <w:r>
              <w:rPr>
                <w:rFonts w:ascii="Arial" w:cs="Arial" w:eastAsia="Arial" w:hAnsi="Arial"/>
                <w:sz w:val="17"/>
                <w:szCs w:val="17"/>
                <w:color w:val="auto"/>
              </w:rPr>
              <w:t>Monogenic ALS</w:t>
            </w:r>
          </w:p>
        </w:tc>
        <w:tc>
          <w:tcPr>
            <w:tcW w:w="840" w:type="dxa"/>
            <w:vAlign w:val="bottom"/>
          </w:tcPr>
          <w:p>
            <w:pPr>
              <w:ind w:left="200"/>
              <w:spacing w:after="0"/>
              <w:rPr>
                <w:sz w:val="20"/>
                <w:szCs w:val="20"/>
                <w:color w:val="auto"/>
              </w:rPr>
            </w:pPr>
            <w:r>
              <w:rPr>
                <w:rFonts w:ascii="Arial" w:cs="Arial" w:eastAsia="Arial" w:hAnsi="Arial"/>
                <w:sz w:val="17"/>
                <w:szCs w:val="17"/>
                <w:color w:val="auto"/>
              </w:rPr>
              <w:t>SOD1</w:t>
            </w:r>
          </w:p>
        </w:tc>
        <w:tc>
          <w:tcPr>
            <w:tcW w:w="1560" w:type="dxa"/>
            <w:vAlign w:val="bottom"/>
          </w:tcPr>
          <w:p>
            <w:pPr>
              <w:ind w:left="160"/>
              <w:spacing w:after="0"/>
              <w:rPr>
                <w:sz w:val="20"/>
                <w:szCs w:val="20"/>
                <w:color w:val="auto"/>
              </w:rPr>
            </w:pPr>
            <w:r>
              <w:rPr>
                <w:rFonts w:ascii="Arial" w:cs="Arial" w:eastAsia="Arial" w:hAnsi="Arial"/>
                <w:sz w:val="17"/>
                <w:szCs w:val="17"/>
                <w:color w:val="auto"/>
              </w:rPr>
              <w:t>Gene knockdown</w:t>
            </w:r>
          </w:p>
        </w:tc>
        <w:tc>
          <w:tcPr>
            <w:tcW w:w="5060" w:type="dxa"/>
            <w:vAlign w:val="bottom"/>
          </w:tcPr>
          <w:p>
            <w:pPr>
              <w:ind w:left="140"/>
              <w:spacing w:after="0"/>
              <w:rPr>
                <w:sz w:val="20"/>
                <w:szCs w:val="20"/>
                <w:color w:val="auto"/>
              </w:rPr>
            </w:pPr>
            <w:r>
              <w:rPr>
                <w:rFonts w:ascii="Arial" w:cs="Arial" w:eastAsia="Arial" w:hAnsi="Arial"/>
                <w:sz w:val="17"/>
                <w:szCs w:val="17"/>
                <w:color w:val="auto"/>
              </w:rPr>
              <w:t>Intrathecal injection</w:t>
            </w:r>
          </w:p>
        </w:tc>
      </w:tr>
      <w:tr>
        <w:trPr>
          <w:trHeight w:val="440"/>
        </w:trPr>
        <w:tc>
          <w:tcPr>
            <w:tcW w:w="1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209"/>
        </w:trPr>
        <w:tc>
          <w:tcPr>
            <w:tcW w:w="1360" w:type="dxa"/>
            <w:vAlign w:val="bottom"/>
          </w:tcPr>
          <w:p>
            <w:pPr>
              <w:ind w:left="100"/>
              <w:spacing w:after="0"/>
              <w:rPr>
                <w:sz w:val="20"/>
                <w:szCs w:val="20"/>
                <w:color w:val="auto"/>
              </w:rPr>
            </w:pPr>
            <w:r>
              <w:rPr>
                <w:rFonts w:ascii="Arial" w:cs="Arial" w:eastAsia="Arial" w:hAnsi="Arial"/>
                <w:sz w:val="17"/>
                <w:szCs w:val="17"/>
                <w:color w:val="auto"/>
              </w:rPr>
              <w:t>VY-FXN01</w:t>
            </w:r>
          </w:p>
        </w:tc>
        <w:tc>
          <w:tcPr>
            <w:tcW w:w="2600" w:type="dxa"/>
            <w:vAlign w:val="bottom"/>
          </w:tcPr>
          <w:p>
            <w:pPr>
              <w:ind w:left="300"/>
              <w:spacing w:after="0"/>
              <w:rPr>
                <w:sz w:val="20"/>
                <w:szCs w:val="20"/>
                <w:color w:val="auto"/>
              </w:rPr>
            </w:pPr>
            <w:r>
              <w:rPr>
                <w:rFonts w:ascii="Arial" w:cs="Arial" w:eastAsia="Arial" w:hAnsi="Arial"/>
                <w:sz w:val="17"/>
                <w:szCs w:val="17"/>
                <w:color w:val="auto"/>
              </w:rPr>
              <w:t>Friedreich's Ataxia</w:t>
            </w:r>
          </w:p>
        </w:tc>
        <w:tc>
          <w:tcPr>
            <w:tcW w:w="840" w:type="dxa"/>
            <w:vAlign w:val="bottom"/>
          </w:tcPr>
          <w:p>
            <w:pPr>
              <w:ind w:left="200"/>
              <w:spacing w:after="0"/>
              <w:rPr>
                <w:sz w:val="20"/>
                <w:szCs w:val="20"/>
                <w:color w:val="auto"/>
              </w:rPr>
            </w:pPr>
            <w:r>
              <w:rPr>
                <w:rFonts w:ascii="Arial" w:cs="Arial" w:eastAsia="Arial" w:hAnsi="Arial"/>
                <w:sz w:val="17"/>
                <w:szCs w:val="17"/>
                <w:color w:val="auto"/>
              </w:rPr>
              <w:t>FXN</w:t>
            </w:r>
          </w:p>
        </w:tc>
        <w:tc>
          <w:tcPr>
            <w:tcW w:w="1560" w:type="dxa"/>
            <w:vAlign w:val="bottom"/>
          </w:tcPr>
          <w:p>
            <w:pPr>
              <w:ind w:left="160"/>
              <w:spacing w:after="0"/>
              <w:rPr>
                <w:sz w:val="20"/>
                <w:szCs w:val="20"/>
                <w:color w:val="auto"/>
              </w:rPr>
            </w:pPr>
            <w:r>
              <w:rPr>
                <w:rFonts w:ascii="Arial" w:cs="Arial" w:eastAsia="Arial" w:hAnsi="Arial"/>
                <w:sz w:val="17"/>
                <w:szCs w:val="17"/>
                <w:color w:val="auto"/>
                <w:w w:val="98"/>
              </w:rPr>
              <w:t>Gene replacement</w:t>
            </w:r>
          </w:p>
        </w:tc>
        <w:tc>
          <w:tcPr>
            <w:tcW w:w="5060" w:type="dxa"/>
            <w:vAlign w:val="bottom"/>
          </w:tcPr>
          <w:p>
            <w:pPr>
              <w:ind w:left="140"/>
              <w:spacing w:after="0"/>
              <w:rPr>
                <w:sz w:val="20"/>
                <w:szCs w:val="20"/>
                <w:color w:val="auto"/>
              </w:rPr>
            </w:pPr>
            <w:r>
              <w:rPr>
                <w:rFonts w:ascii="Arial" w:cs="Arial" w:eastAsia="Arial" w:hAnsi="Arial"/>
                <w:sz w:val="17"/>
                <w:szCs w:val="17"/>
                <w:color w:val="auto"/>
              </w:rPr>
              <w:t>Intrathecal injection</w:t>
            </w:r>
          </w:p>
        </w:tc>
      </w:tr>
      <w:tr>
        <w:trPr>
          <w:trHeight w:val="440"/>
        </w:trPr>
        <w:tc>
          <w:tcPr>
            <w:tcW w:w="1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209"/>
        </w:trPr>
        <w:tc>
          <w:tcPr>
            <w:tcW w:w="1360" w:type="dxa"/>
            <w:vAlign w:val="bottom"/>
          </w:tcPr>
          <w:p>
            <w:pPr>
              <w:ind w:left="100"/>
              <w:spacing w:after="0"/>
              <w:rPr>
                <w:sz w:val="20"/>
                <w:szCs w:val="20"/>
                <w:color w:val="auto"/>
              </w:rPr>
            </w:pPr>
            <w:r>
              <w:rPr>
                <w:rFonts w:ascii="Arial" w:cs="Arial" w:eastAsia="Arial" w:hAnsi="Arial"/>
                <w:sz w:val="17"/>
                <w:szCs w:val="17"/>
                <w:color w:val="auto"/>
              </w:rPr>
              <w:t>VY-HTT01</w:t>
            </w:r>
          </w:p>
        </w:tc>
        <w:tc>
          <w:tcPr>
            <w:tcW w:w="2600" w:type="dxa"/>
            <w:vAlign w:val="bottom"/>
          </w:tcPr>
          <w:p>
            <w:pPr>
              <w:ind w:left="300"/>
              <w:spacing w:after="0"/>
              <w:rPr>
                <w:sz w:val="20"/>
                <w:szCs w:val="20"/>
                <w:color w:val="auto"/>
              </w:rPr>
            </w:pPr>
            <w:r>
              <w:rPr>
                <w:rFonts w:ascii="Arial" w:cs="Arial" w:eastAsia="Arial" w:hAnsi="Arial"/>
                <w:sz w:val="17"/>
                <w:szCs w:val="17"/>
                <w:color w:val="auto"/>
              </w:rPr>
              <w:t>Huntington's Disease</w:t>
            </w:r>
          </w:p>
        </w:tc>
        <w:tc>
          <w:tcPr>
            <w:tcW w:w="840" w:type="dxa"/>
            <w:vAlign w:val="bottom"/>
          </w:tcPr>
          <w:p>
            <w:pPr>
              <w:ind w:left="200"/>
              <w:spacing w:after="0"/>
              <w:rPr>
                <w:sz w:val="20"/>
                <w:szCs w:val="20"/>
                <w:color w:val="auto"/>
              </w:rPr>
            </w:pPr>
            <w:r>
              <w:rPr>
                <w:rFonts w:ascii="Arial" w:cs="Arial" w:eastAsia="Arial" w:hAnsi="Arial"/>
                <w:sz w:val="17"/>
                <w:szCs w:val="17"/>
                <w:color w:val="auto"/>
              </w:rPr>
              <w:t>HTT</w:t>
            </w:r>
          </w:p>
        </w:tc>
        <w:tc>
          <w:tcPr>
            <w:tcW w:w="1560" w:type="dxa"/>
            <w:vAlign w:val="bottom"/>
          </w:tcPr>
          <w:p>
            <w:pPr>
              <w:ind w:left="160"/>
              <w:spacing w:after="0"/>
              <w:rPr>
                <w:sz w:val="20"/>
                <w:szCs w:val="20"/>
                <w:color w:val="auto"/>
              </w:rPr>
            </w:pPr>
            <w:r>
              <w:rPr>
                <w:rFonts w:ascii="Arial" w:cs="Arial" w:eastAsia="Arial" w:hAnsi="Arial"/>
                <w:sz w:val="17"/>
                <w:szCs w:val="17"/>
                <w:color w:val="auto"/>
              </w:rPr>
              <w:t>Gene knockdown</w:t>
            </w:r>
          </w:p>
        </w:tc>
        <w:tc>
          <w:tcPr>
            <w:tcW w:w="5060" w:type="dxa"/>
            <w:vAlign w:val="bottom"/>
          </w:tcPr>
          <w:p>
            <w:pPr>
              <w:ind w:left="140"/>
              <w:spacing w:after="0"/>
              <w:rPr>
                <w:sz w:val="20"/>
                <w:szCs w:val="20"/>
                <w:color w:val="auto"/>
              </w:rPr>
            </w:pPr>
            <w:r>
              <w:rPr>
                <w:rFonts w:ascii="Arial" w:cs="Arial" w:eastAsia="Arial" w:hAnsi="Arial"/>
                <w:sz w:val="17"/>
                <w:szCs w:val="17"/>
                <w:color w:val="auto"/>
              </w:rPr>
              <w:t>Intraparenchymal injection (with or without intrathecal injection)</w:t>
            </w:r>
          </w:p>
        </w:tc>
      </w:tr>
      <w:tr>
        <w:trPr>
          <w:trHeight w:val="440"/>
        </w:trPr>
        <w:tc>
          <w:tcPr>
            <w:tcW w:w="1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209"/>
        </w:trPr>
        <w:tc>
          <w:tcPr>
            <w:tcW w:w="1360" w:type="dxa"/>
            <w:vAlign w:val="bottom"/>
          </w:tcPr>
          <w:p>
            <w:pPr>
              <w:ind w:left="100"/>
              <w:spacing w:after="0"/>
              <w:rPr>
                <w:sz w:val="20"/>
                <w:szCs w:val="20"/>
                <w:color w:val="auto"/>
              </w:rPr>
            </w:pPr>
            <w:r>
              <w:rPr>
                <w:rFonts w:ascii="Arial" w:cs="Arial" w:eastAsia="Arial" w:hAnsi="Arial"/>
                <w:sz w:val="17"/>
                <w:szCs w:val="17"/>
                <w:color w:val="auto"/>
              </w:rPr>
              <w:t>VY-SMN101</w:t>
            </w:r>
          </w:p>
        </w:tc>
        <w:tc>
          <w:tcPr>
            <w:tcW w:w="2600" w:type="dxa"/>
            <w:vAlign w:val="bottom"/>
          </w:tcPr>
          <w:p>
            <w:pPr>
              <w:ind w:left="300"/>
              <w:spacing w:after="0"/>
              <w:rPr>
                <w:sz w:val="20"/>
                <w:szCs w:val="20"/>
                <w:color w:val="auto"/>
              </w:rPr>
            </w:pPr>
            <w:r>
              <w:rPr>
                <w:rFonts w:ascii="Arial" w:cs="Arial" w:eastAsia="Arial" w:hAnsi="Arial"/>
                <w:sz w:val="17"/>
                <w:szCs w:val="17"/>
                <w:color w:val="auto"/>
              </w:rPr>
              <w:t>SMA</w:t>
            </w:r>
          </w:p>
        </w:tc>
        <w:tc>
          <w:tcPr>
            <w:tcW w:w="840" w:type="dxa"/>
            <w:vAlign w:val="bottom"/>
          </w:tcPr>
          <w:p>
            <w:pPr>
              <w:ind w:left="200"/>
              <w:spacing w:after="0"/>
              <w:rPr>
                <w:sz w:val="20"/>
                <w:szCs w:val="20"/>
                <w:color w:val="auto"/>
              </w:rPr>
            </w:pPr>
            <w:r>
              <w:rPr>
                <w:rFonts w:ascii="Arial" w:cs="Arial" w:eastAsia="Arial" w:hAnsi="Arial"/>
                <w:sz w:val="17"/>
                <w:szCs w:val="17"/>
                <w:color w:val="auto"/>
              </w:rPr>
              <w:t>SMN1</w:t>
            </w:r>
          </w:p>
        </w:tc>
        <w:tc>
          <w:tcPr>
            <w:tcW w:w="1560" w:type="dxa"/>
            <w:vAlign w:val="bottom"/>
          </w:tcPr>
          <w:p>
            <w:pPr>
              <w:ind w:left="160"/>
              <w:spacing w:after="0"/>
              <w:rPr>
                <w:sz w:val="20"/>
                <w:szCs w:val="20"/>
                <w:color w:val="auto"/>
              </w:rPr>
            </w:pPr>
            <w:r>
              <w:rPr>
                <w:rFonts w:ascii="Arial" w:cs="Arial" w:eastAsia="Arial" w:hAnsi="Arial"/>
                <w:sz w:val="17"/>
                <w:szCs w:val="17"/>
                <w:color w:val="auto"/>
                <w:w w:val="98"/>
              </w:rPr>
              <w:t>Gene replacement</w:t>
            </w:r>
          </w:p>
        </w:tc>
        <w:tc>
          <w:tcPr>
            <w:tcW w:w="5060" w:type="dxa"/>
            <w:vAlign w:val="bottom"/>
          </w:tcPr>
          <w:p>
            <w:pPr>
              <w:ind w:left="140"/>
              <w:spacing w:after="0"/>
              <w:rPr>
                <w:sz w:val="20"/>
                <w:szCs w:val="20"/>
                <w:color w:val="auto"/>
              </w:rPr>
            </w:pPr>
            <w:r>
              <w:rPr>
                <w:rFonts w:ascii="Arial" w:cs="Arial" w:eastAsia="Arial" w:hAnsi="Arial"/>
                <w:sz w:val="17"/>
                <w:szCs w:val="17"/>
                <w:color w:val="auto"/>
              </w:rPr>
              <w:t>Intrathecal injection</w:t>
            </w:r>
          </w:p>
        </w:tc>
      </w:tr>
      <w:tr>
        <w:trPr>
          <w:trHeight w:val="411"/>
        </w:trPr>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ind w:left="820"/>
              <w:spacing w:after="0"/>
              <w:rPr>
                <w:sz w:val="20"/>
                <w:szCs w:val="20"/>
                <w:color w:val="auto"/>
              </w:rPr>
            </w:pPr>
            <w:r>
              <w:rPr>
                <w:rFonts w:ascii="Arial" w:cs="Arial" w:eastAsia="Arial" w:hAnsi="Arial"/>
                <w:sz w:val="17"/>
                <w:szCs w:val="17"/>
                <w:color w:val="auto"/>
              </w:rPr>
              <w:t>97</w:t>
            </w:r>
          </w:p>
        </w:tc>
        <w:tc>
          <w:tcPr>
            <w:tcW w:w="5060" w:type="dxa"/>
            <w:vAlign w:val="bottom"/>
          </w:tcPr>
          <w:p>
            <w:pPr>
              <w:spacing w:after="0"/>
              <w:rPr>
                <w:sz w:val="24"/>
                <w:szCs w:val="24"/>
                <w:color w:val="auto"/>
              </w:rPr>
            </w:pPr>
          </w:p>
        </w:tc>
      </w:tr>
      <w:tr>
        <w:trPr>
          <w:trHeight w:val="222"/>
        </w:trPr>
        <w:tc>
          <w:tcPr>
            <w:tcW w:w="136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Parkinson's Disease Program: VY-AADC01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Disease Overview</w:t>
      </w:r>
    </w:p>
    <w:p>
      <w:pPr>
        <w:spacing w:after="0" w:line="224"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 xml:space="preserve">Parkinson's disease is a progressive and debilitating adult-onset neurodegenerative disorder. Individuals who develop the disease are on average over 60 years of age. The cardinal clinical features of Parkinson's disease include bradykinesia, or slow movements, rigidity, rest tremor and loss of balance. While the underlying cause of Parkinson's disease is unknown, the depletion of the neurotransmitter dopamine in the region of the brain called the putamen leads to the debilitating motor symptoms associated with the disease. The prevalence of Parkinson's disease is estimated to be 700,000 patients in the United States and 7 to 10 million patients worldwide according to a 2010 article from </w:t>
      </w:r>
      <w:r>
        <w:rPr>
          <w:rFonts w:ascii="Arial" w:cs="Arial" w:eastAsia="Arial" w:hAnsi="Arial"/>
          <w:sz w:val="15"/>
          <w:szCs w:val="15"/>
          <w:i w:val="1"/>
          <w:iCs w:val="1"/>
          <w:color w:val="auto"/>
        </w:rPr>
        <w:t>Neuroepidemiology</w:t>
      </w:r>
      <w:r>
        <w:rPr>
          <w:rFonts w:ascii="Arial" w:cs="Arial" w:eastAsia="Arial" w:hAnsi="Arial"/>
          <w:sz w:val="15"/>
          <w:szCs w:val="15"/>
          <w:color w:val="auto"/>
        </w:rPr>
        <w:t xml:space="preserve"> and the Parkinson's Disease Foundation, respectively. Due to the aging of the population in the developed world, we believe that the prevalence of Parkinson's disease will increase. It is estimated that up to 15% of the prevalent population with Parkinson's disease, or approximately 100,000 patients in the United States, have motor fluctuations that are refractory, or not well-controlled, with L-Dopa, the current mainstay of therapy, and thus may be candidates for gene therapy. These are typically patients who have progressed to an advanced stage of the disease.</w:t>
      </w:r>
    </w:p>
    <w:p>
      <w:pPr>
        <w:spacing w:after="0" w:line="163"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progressive motor symptoms of Parkinson's disease are due to the death of neurons in the substantia nigra region of the brain. Neurons in the substantia nigra express the enzyme aromatic L-amino acid decarboxylase, or AADC, which is responsible for the conversion of L-Dopa into dopamine, and are also responsible for the release of dopamine into the putamen, particularly the posterior putamen, which is a region of the brain that plays a significant role in motor function and control. While Parkinson's disease causes neurons in the substantia nigra to die, the neurons in the putamen remain intact, but do not normally express AADC. We believe that an AAV gene therapy approach that allows for the delivery of AADC directly to the neurons in the putamen, enabling the targeted neurons to convert L-Dopa into dopamine, is an attractive therapeutic strategy for advanced Parkinson's disease.</w:t>
      </w:r>
    </w:p>
    <w:p>
      <w:pPr>
        <w:spacing w:after="0" w:line="176"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While symptomatic treatments exist, there are currently no therapies that effectively slow or reverse the progression of Parkinson's disease. The beneficial effects of L-Dopa on the symptoms of Parkinson's disease were discovered over 50 years ago and treatment with L-Dopa remains the standard of care for patients today. In the first several years after patients' diagnosis, sometimes referred to as the honeymoon period, patients' motor symptoms are generally well-controlled with L-Dopa treatment. However, as the disease progresses, patients become less responsive to L-Dopa. Despite increases in the amount and frequency of dosing of L-Dopa, patients with advanced forms of the disease experience longer periods of reduced mobility, termed off time, when their medication is ineffective, increased episodes of dyskinesias, or involuntary muscle movements, due to too much drug and shorter periods of on time when their medication is effective. These motor fluctuations and increased periods of off time are associated with disability and a dramatically reduced quality of life. As shown in the figure below, on time decreases, while off time and dyskinesias increase as patients progress from the honeymoon period into later stages of Parkinson's disease.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Overview of Progression of Parkinson's Disease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150495</wp:posOffset>
            </wp:positionV>
            <wp:extent cx="4845050" cy="2929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4505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While L-Dopa and other pharmacological approaches to augmenting dopamine provide symptomatic benefit during early stages of Parkinson's disease, there are relatively limited treatment options for patients with advanced Parkinson's disease. There are two FDA approved therapies used to specifically treat advanced Parkinson's disease patients with medically refractive motor fluctuations. The first, DBS, requires the implantation of an electrical stimulation device in the body, which is connected to electrodes that are placed into the brain. The second, marketed as DUODOPA in Europe and DUOPA in the United States, requires the surgical placement of a tube into the intestine so that medication is delivered by a pump that resides outside the body, which patients must carry with them.</w:t>
      </w:r>
    </w:p>
    <w:p>
      <w:pPr>
        <w:spacing w:after="0" w:line="159"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Only a relatively small portion of eligible Parkinson's disease patients receive DBS or DUODOPA/DUOPA. In 2014, we estimate that only approximately 6,000 patients worldwide received DBS and approximately 3,500 patients in Europe received DUODOPA/DUOPA. DUOPA received FDA approval in early 2015. We believe that the need for indwelling hardware and the maintenance associated with each of these approaches are significant deterrents for many potential patients. Given the size of the addressable patient population with advanced Parkinson's disease and the limitations of the currently available treatment options for these patients, we believe that a significant unmet medical need exists for new treatment options.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Treatment Approach: Turn Back the Clock</w:t>
      </w:r>
    </w:p>
    <w:p>
      <w:pPr>
        <w:spacing w:after="0" w:line="224"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We are developing VY-AADC01, an AAV gene therapy product candidate, for the treatment of advanced Parkinson's disease. VY-AADC01 is comprised of the AAV2 capsid, which has been used in multiple AAV gene therapy clinical trials for a number of different diseases, and the cytomegalovirus promoter that drives expression of the AADC transgene. VY-AADC01 is intended to deliver the AADC gene directly into the putamen. Our approach bypasses the dying neurons of the substantia nigra, allowing for the conversion of L-Dopa into dopamine within the putamen. We believe that our approach has the potential to provide patients with clinically meaningful improvements in motor symptoms following a single administration.</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41"/>
        <w:spacing w:after="0" w:line="262" w:lineRule="auto"/>
        <w:rPr>
          <w:sz w:val="20"/>
          <w:szCs w:val="20"/>
          <w:color w:val="auto"/>
        </w:rPr>
      </w:pPr>
      <w:r>
        <w:rPr>
          <w:rFonts w:ascii="Arial" w:cs="Arial" w:eastAsia="Arial" w:hAnsi="Arial"/>
          <w:sz w:val="17"/>
          <w:szCs w:val="17"/>
          <w:color w:val="auto"/>
        </w:rPr>
        <w:t>Our goal is to restore patients' responsiveness to L-Dopa following treatment with VY-AADC01 to "turn back the clock" on their disease such that the patients' motor symptoms are returned to a well-controlled state, consistent with the level of symptomatic benefit achieved from L-Dopa during the honeymoon period. Following treatment with VY-AADC01, patients with advanced Parkinson's disease will continue to take L-Dopa, but we believe that the required dose will be reduced. The continued administration of L-Dopa will provide a means to titrate dopamine production to further optimize symptomatic control. We believe our approach will increase the conversion of dopamine from L-Dopa in the putamen, resulting in a clinically meaningful improvement in motor symptoms following a single administration.</w:t>
      </w:r>
    </w:p>
    <w:p>
      <w:pPr>
        <w:spacing w:after="0" w:line="188" w:lineRule="exact"/>
        <w:rPr>
          <w:sz w:val="20"/>
          <w:szCs w:val="20"/>
          <w:color w:val="auto"/>
        </w:rPr>
      </w:pPr>
    </w:p>
    <w:p>
      <w:pPr>
        <w:ind w:right="340" w:firstLine="341"/>
        <w:spacing w:after="0" w:line="315" w:lineRule="auto"/>
        <w:rPr>
          <w:sz w:val="20"/>
          <w:szCs w:val="20"/>
          <w:color w:val="auto"/>
        </w:rPr>
      </w:pPr>
      <w:r>
        <w:rPr>
          <w:rFonts w:ascii="Arial" w:cs="Arial" w:eastAsia="Arial" w:hAnsi="Arial"/>
          <w:sz w:val="16"/>
          <w:szCs w:val="16"/>
          <w:color w:val="auto"/>
        </w:rPr>
        <w:t>Based upon VY-AADC01's proposed mechanism of action, we believe that if and when it is well-established as a safe and effective therapy for patients with advanced Parkinson's disease, there is the possibility that it could be evaluated as a treatment for patients with less advanced forms of the disease.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w:t>
      </w:r>
    </w:p>
    <w:p>
      <w:pPr>
        <w:spacing w:after="0" w:line="224" w:lineRule="exact"/>
        <w:rPr>
          <w:sz w:val="20"/>
          <w:szCs w:val="20"/>
          <w:color w:val="auto"/>
        </w:rPr>
      </w:pPr>
    </w:p>
    <w:p>
      <w:pPr>
        <w:ind w:right="460" w:firstLine="341"/>
        <w:spacing w:after="0" w:line="294" w:lineRule="auto"/>
        <w:rPr>
          <w:sz w:val="20"/>
          <w:szCs w:val="20"/>
          <w:color w:val="auto"/>
        </w:rPr>
      </w:pPr>
      <w:r>
        <w:rPr>
          <w:rFonts w:ascii="Arial" w:cs="Arial" w:eastAsia="Arial" w:hAnsi="Arial"/>
          <w:sz w:val="16"/>
          <w:szCs w:val="16"/>
          <w:color w:val="auto"/>
        </w:rPr>
        <w:t>Preclinical studies conducted by Krystof Bankiewicz, M.D., Ph.D., one of our co-founders, and his colleagues at UCSF evaluated the safety, efficacy and pharmacological activity of AAV2-AADC gene therapy, a gene therapy substantially similar to VY-AADC01, delivered directly to the putamen in a non-human primate model of Parkinson's disease. Overall, the procedure and vector were well-tolerated with no serious toxicity issues.</w:t>
      </w:r>
    </w:p>
    <w:p>
      <w:pPr>
        <w:spacing w:after="0" w:line="163"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Positron emission tomography, or PET, imaging with tracers specific for AADC activity demonstrated a significant and sustained increase of activity in the brain region where the vector had been delivered. Increased responsiveness to L-Dopa was also evidenced by significant behavioral improvements observed pre- and post-treatment with the gene therapy. In five animals, the mean improvement in behavior was determined at various doses of L-Dopa both one month before treatment, as a baseline measure for comparison purposes, and then again six months after treatment. A strong PET signal was observed in all five animals following treatment, confirming delivery of AADC into the putamen. Animals were significantly more sensitive to L-Dopa six months following treatment with the gene therapy when compared to baseline, as shown below.</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Behavioral Response to Various Doses of L-Dopa Pre- and Post-Treatment with AAV2-AADC in Non-Human Primates</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5352415" cy="2938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52415" cy="293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right="140" w:hanging="515"/>
        <w:spacing w:after="0" w:line="256" w:lineRule="auto"/>
        <w:tabs>
          <w:tab w:leader="none" w:pos="5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Adapted by permission from Macmillan Publishers Ltd; Forsayeth et al, </w:t>
      </w:r>
      <w:r>
        <w:rPr>
          <w:rFonts w:ascii="Arial" w:cs="Arial" w:eastAsia="Arial" w:hAnsi="Arial"/>
          <w:sz w:val="13"/>
          <w:szCs w:val="13"/>
          <w:i w:val="1"/>
          <w:iCs w:val="1"/>
          <w:color w:val="auto"/>
        </w:rPr>
        <w:t>Molecular Therapy</w:t>
      </w:r>
      <w:r>
        <w:rPr>
          <w:rFonts w:ascii="Arial" w:cs="Arial" w:eastAsia="Arial" w:hAnsi="Arial"/>
          <w:sz w:val="13"/>
          <w:szCs w:val="13"/>
          <w:color w:val="auto"/>
        </w:rPr>
        <w:t xml:space="preserve"> (2006), 14 (4); 571-577, copyright 2006. Blue line represents base line measurements and yellow line represents six months post-treatment measurements.</w:t>
      </w:r>
    </w:p>
    <w:p>
      <w:pPr>
        <w:spacing w:after="0" w:line="166" w:lineRule="exact"/>
        <w:rPr>
          <w:sz w:val="20"/>
          <w:szCs w:val="20"/>
          <w:color w:val="auto"/>
        </w:rPr>
      </w:pPr>
    </w:p>
    <w:p>
      <w:pPr>
        <w:ind w:left="520" w:right="100" w:hanging="515"/>
        <w:spacing w:after="0" w:line="243" w:lineRule="auto"/>
        <w:tabs>
          <w:tab w:leader="none" w:pos="5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"p-value," which represents the probability that chance caused the result (e.g., a p-value = 0.001 means that there is a 0.1% or less probability that the difference between the control group and the treatment group is purely due to random chance).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these results provide evidence that AADC is active and being expressed at levels sufficient to measure a clinical benefit.</w:t>
      </w:r>
    </w:p>
    <w:p>
      <w:pPr>
        <w:spacing w:after="0" w:line="224"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Two animals from this cohort were followed for up to eight years following a single administration of the gene therapy and sustained PET imaging signals for AADC and behavioral signs of efficacy were observed in these animals.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these preclinical studies provided support for the initiation of clinical trials.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Clinical Trials</w:t>
      </w:r>
    </w:p>
    <w:p>
      <w:pPr>
        <w:spacing w:after="0" w:line="224"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a completed open-label Phase 1 clinical trial conducted at UCSF, VY-AADC01 was delivered directly to the putamen of Parkinson's disease patients. The primary endpoints of this trial were safety and tolerability of VY-AADC01. These endpoints were met as VY-AADC01 was well-tolerated and no treatment related SAEs were reported. Furthermore, pharmacologic activity of VY-AADC01 was observed. This trial was completed prior to our involvement in the program, but used a version of VY-AADC01 that is also currently being used in the ongoing Phase 1b clinical trial. We are currently evaluating whether to use the same version of VY-AADC01 used in the ongoing Phase 1b clinical trial in future clinical trials, or to use a slightly modified version of VY-AADC01, which we believe will be found to be substantially similar to the version of VY-AADC01 being used in the ongoing Phase 1b trial. Based on our discussions with the FDA, we believe that we have a good understanding of what preclinical studies we will need to demonstrate comparability between the current version and the modified version of VY-AADC01.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right="60" w:firstLine="338"/>
        <w:spacing w:after="0" w:line="262" w:lineRule="auto"/>
        <w:rPr>
          <w:sz w:val="20"/>
          <w:szCs w:val="20"/>
          <w:color w:val="auto"/>
        </w:rPr>
      </w:pPr>
      <w:r>
        <w:rPr>
          <w:rFonts w:ascii="Arial" w:cs="Arial" w:eastAsia="Arial" w:hAnsi="Arial"/>
          <w:sz w:val="15"/>
          <w:szCs w:val="15"/>
          <w:color w:val="auto"/>
        </w:rPr>
        <w:t>The Phase 1 clinical trial was conducted in a total of 10 patients with advanced Parkinson's disease. Two doses of VY-AADC01 were tested, 9 × 10</w:t>
      </w:r>
      <w:r>
        <w:rPr>
          <w:rFonts w:ascii="Arial" w:cs="Arial" w:eastAsia="Arial" w:hAnsi="Arial"/>
          <w:sz w:val="24"/>
          <w:szCs w:val="24"/>
          <w:color w:val="auto"/>
          <w:vertAlign w:val="superscript"/>
        </w:rPr>
        <w:t>10</w:t>
      </w:r>
      <w:r>
        <w:rPr>
          <w:rFonts w:ascii="Arial" w:cs="Arial" w:eastAsia="Arial" w:hAnsi="Arial"/>
          <w:sz w:val="15"/>
          <w:szCs w:val="15"/>
          <w:color w:val="auto"/>
        </w:rPr>
        <w:t xml:space="preserve"> vector genomes, or vg, and 3 × 10</w:t>
      </w:r>
      <w:r>
        <w:rPr>
          <w:rFonts w:ascii="Arial" w:cs="Arial" w:eastAsia="Arial" w:hAnsi="Arial"/>
          <w:sz w:val="24"/>
          <w:szCs w:val="24"/>
          <w:color w:val="auto"/>
          <w:vertAlign w:val="superscript"/>
        </w:rPr>
        <w:t>11</w:t>
      </w:r>
      <w:r>
        <w:rPr>
          <w:rFonts w:ascii="Arial" w:cs="Arial" w:eastAsia="Arial" w:hAnsi="Arial"/>
          <w:sz w:val="15"/>
          <w:szCs w:val="15"/>
          <w:color w:val="auto"/>
        </w:rPr>
        <w:t xml:space="preserve"> vg, with five patients per dose cohort. The infusion volume was 100µl per putamen, or 200µl per patient. Patients in both cohorts treated with VY-AADC01 showed modest improvements in motor fluctuations. At six months following treatment, off-time was observed to be reduced by an average of approximately three hours and a corresponding increase in on-time without dyskinesias was also observed. In addition, at six months following treatment, an approximately 30% improvement in on- and off-time measures using the Total Unified Parkinson's Disease Rating Scale, or UPDRS, a widely used rating scale that evaluates cognitive, functional, and motor deficits, as well as medication-related complications, was observed, as shown in the table below.</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Summary of UPDRS Results from Phase 1 Trial</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6417945" cy="1623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7945" cy="162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 w:right="20" w:hanging="515"/>
        <w:spacing w:after="0" w:line="235" w:lineRule="auto"/>
        <w:tabs>
          <w:tab w:leader="none" w:pos="5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Christine et al, </w:t>
      </w:r>
      <w:r>
        <w:rPr>
          <w:rFonts w:ascii="Arial" w:cs="Arial" w:eastAsia="Arial" w:hAnsi="Arial"/>
          <w:sz w:val="12"/>
          <w:szCs w:val="12"/>
          <w:i w:val="1"/>
          <w:iCs w:val="1"/>
          <w:color w:val="auto"/>
        </w:rPr>
        <w:t>Neurology</w:t>
      </w:r>
      <w:r>
        <w:rPr>
          <w:rFonts w:ascii="Arial" w:cs="Arial" w:eastAsia="Arial" w:hAnsi="Arial"/>
          <w:sz w:val="12"/>
          <w:szCs w:val="12"/>
          <w:color w:val="auto"/>
        </w:rPr>
        <w:t xml:space="preserve"> (2009), 73: 1662-1669. The row titled "Low-dose cohort" represents data from the five patients treated with 9 X 10</w:t>
      </w:r>
      <w:r>
        <w:rPr>
          <w:rFonts w:ascii="Arial" w:cs="Arial" w:eastAsia="Arial" w:hAnsi="Arial"/>
          <w:sz w:val="19"/>
          <w:szCs w:val="19"/>
          <w:color w:val="auto"/>
          <w:vertAlign w:val="superscript"/>
        </w:rPr>
        <w:t>10</w:t>
      </w:r>
      <w:r>
        <w:rPr>
          <w:rFonts w:ascii="Arial" w:cs="Arial" w:eastAsia="Arial" w:hAnsi="Arial"/>
          <w:sz w:val="12"/>
          <w:szCs w:val="12"/>
          <w:color w:val="auto"/>
        </w:rPr>
        <w:t xml:space="preserve"> vg of VY-AADC01. The row titled "High-dose cohort" represents data from the five patients treated with 3 X 10</w:t>
      </w:r>
      <w:r>
        <w:rPr>
          <w:rFonts w:ascii="Arial" w:cs="Arial" w:eastAsia="Arial" w:hAnsi="Arial"/>
          <w:sz w:val="19"/>
          <w:szCs w:val="19"/>
          <w:color w:val="auto"/>
          <w:vertAlign w:val="superscript"/>
        </w:rPr>
        <w:t>11</w:t>
      </w:r>
      <w:r>
        <w:rPr>
          <w:rFonts w:ascii="Arial" w:cs="Arial" w:eastAsia="Arial" w:hAnsi="Arial"/>
          <w:sz w:val="12"/>
          <w:szCs w:val="12"/>
          <w:color w:val="auto"/>
        </w:rPr>
        <w:t xml:space="preserve"> vg of VY-AADC01. The row titled "Combined cohorts" represents data from all ten patients treated with VY-AADC01. The data in the columns under the header "Off medications" represents periods during which patients' medications were not working as measured by a patient's total UPDRS score at baseline, before treatment with VY-AADC01, and at six months following treatment with VY-AADC01, along with percent change from baseline to six months and the corresponding p-value. The data in the columns under the header "On medications" represents periods during which patients' medications were working as measured by a patient's total UPDRS score at baseline, before treatment with VY-AADC01 and at six months following treatment with VY-AADC01, along with percent change from baseline to six months and the corresponding p-value. 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"p-value," which represents the probability that chance caused the result (e.g., a p-value = 0.001 means that there is a 0.1% or less probability that the difference between the control group and the treatment group is purely due to random chance). Because of the small size of this trial, the p-values may not be reliable or repeatable, and may not be duplicated in future trials.</w:t>
      </w:r>
    </w:p>
    <w:p>
      <w:pPr>
        <w:spacing w:after="0" w:line="191"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While no gene therapy related SAEs were reported, three patients experienced minor hemorrhages related to the surgical procedure. Two of the hemorrhages were asymptomatic, noticed only on imaging, and one was symptomatic with the patient making an almost complete recovery. Nevertheless, the stereotactic injection protocol used in the surgical procedure was modified to avoid specific blood vessels and no further hemorrhages were reported. The implementation of real-time, intra-operative MRI guidance in the ongoing Phase 1b clinical trial is a significant advancement in vector delivery.</w:t>
      </w:r>
    </w:p>
    <w:p>
      <w:pPr>
        <w:spacing w:after="0" w:line="169" w:lineRule="exact"/>
        <w:rPr>
          <w:sz w:val="20"/>
          <w:szCs w:val="20"/>
          <w:color w:val="auto"/>
        </w:rPr>
      </w:pPr>
    </w:p>
    <w:p>
      <w:pPr>
        <w:ind w:right="260" w:firstLine="338"/>
        <w:spacing w:after="0" w:line="252" w:lineRule="auto"/>
        <w:rPr>
          <w:sz w:val="20"/>
          <w:szCs w:val="20"/>
          <w:color w:val="auto"/>
        </w:rPr>
      </w:pPr>
      <w:r>
        <w:rPr>
          <w:rFonts w:ascii="Arial" w:cs="Arial" w:eastAsia="Arial" w:hAnsi="Arial"/>
          <w:sz w:val="16"/>
          <w:szCs w:val="16"/>
          <w:color w:val="auto"/>
        </w:rPr>
        <w:t xml:space="preserve">The 10 patients were assessed clinically for up to four years after treatment and a durable, dose-dependent expression of AADC was observed. Patients treated with the low dose gene therapy were observed to have an increased PET signal, or uptake of the </w:t>
      </w:r>
      <w:r>
        <w:rPr>
          <w:rFonts w:ascii="Arial" w:cs="Arial" w:eastAsia="Arial" w:hAnsi="Arial"/>
          <w:sz w:val="26"/>
          <w:szCs w:val="26"/>
          <w:color w:val="auto"/>
          <w:vertAlign w:val="superscript"/>
        </w:rPr>
        <w:t>18</w:t>
      </w:r>
      <w:r>
        <w:rPr>
          <w:rFonts w:ascii="Arial" w:cs="Arial" w:eastAsia="Arial" w:hAnsi="Arial"/>
          <w:sz w:val="16"/>
          <w:szCs w:val="16"/>
          <w:color w:val="auto"/>
        </w:rPr>
        <w:t xml:space="preserve"> fluoro-meta-tyrosine tracer, or </w:t>
      </w:r>
      <w:r>
        <w:rPr>
          <w:rFonts w:ascii="Arial" w:cs="Arial" w:eastAsia="Arial" w:hAnsi="Arial"/>
          <w:sz w:val="26"/>
          <w:szCs w:val="26"/>
          <w:color w:val="auto"/>
          <w:vertAlign w:val="superscript"/>
        </w:rPr>
        <w:t>18</w:t>
      </w:r>
      <w:r>
        <w:rPr>
          <w:rFonts w:ascii="Arial" w:cs="Arial" w:eastAsia="Arial" w:hAnsi="Arial"/>
          <w:sz w:val="16"/>
          <w:szCs w:val="16"/>
          <w:color w:val="auto"/>
        </w:rPr>
        <w:t xml:space="preserve"> FMT, indicative of AADC expression and activity that persisted for up to four years. Patients treated with the high dose gene therapy were observed to have an increased PET signal that was greater on average when compared to the low dose cohort, which also persisted for up to four years.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left="280" w:right="220"/>
        <w:spacing w:after="0" w:line="290" w:lineRule="auto"/>
        <w:rPr>
          <w:sz w:val="20"/>
          <w:szCs w:val="20"/>
          <w:color w:val="auto"/>
        </w:rPr>
      </w:pPr>
      <w:r>
        <w:rPr>
          <w:rFonts w:ascii="Arial" w:cs="Arial" w:eastAsia="Arial" w:hAnsi="Arial"/>
          <w:sz w:val="17"/>
          <w:szCs w:val="17"/>
          <w:b w:val="1"/>
          <w:bCs w:val="1"/>
          <w:color w:val="auto"/>
        </w:rPr>
        <w:t>Long-Term AADC Expression as Measured by PET Imaging in Patients Treated with High and Low Doses of AAV Gene Therapy in a Phase 1 Clinical Trial</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5260975" cy="2788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60975" cy="278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260" w:hanging="515"/>
        <w:spacing w:after="0" w:line="256" w:lineRule="auto"/>
        <w:tabs>
          <w:tab w:leader="none" w:pos="5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Mittermeyer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(2012), 23: 377-381. The publisher for this copyrighted material is Mary Ann Liebert, Inc. publishers. Blue lines represent patients treated with the low dose and yellow lines represent patients treated with the high dose.</w:t>
      </w:r>
    </w:p>
    <w:p>
      <w:pPr>
        <w:spacing w:after="0" w:line="180" w:lineRule="exact"/>
        <w:rPr>
          <w:sz w:val="20"/>
          <w:szCs w:val="20"/>
          <w:color w:val="auto"/>
        </w:rPr>
      </w:pPr>
    </w:p>
    <w:p>
      <w:pPr>
        <w:ind w:right="140" w:firstLine="332"/>
        <w:spacing w:after="0" w:line="306" w:lineRule="auto"/>
        <w:rPr>
          <w:sz w:val="20"/>
          <w:szCs w:val="20"/>
          <w:color w:val="auto"/>
        </w:rPr>
      </w:pPr>
      <w:r>
        <w:rPr>
          <w:rFonts w:ascii="Arial" w:cs="Arial" w:eastAsia="Arial" w:hAnsi="Arial"/>
          <w:sz w:val="15"/>
          <w:szCs w:val="15"/>
          <w:color w:val="auto"/>
        </w:rPr>
        <w:t>A similar Phase 1 clinical trial was conducted at Jichi Medical University, or JMU, in Japan using the same vector that was used in the UCSF trial. The primary endpoints of this trial were safety and tolerability of the treatment. These endpoints were met as the treatment was well-tolerated and no treatment related SAEs were reported. Six patients were treated in this trial and an enhanced PET signal was observed in a subset of patients monitored 96 weeks following treatment. An open-label Phase 1/2 trial is currently being conducted at JMU. The primary endpoints of this trial are safety and tolerability of the treatment. This trial is using lower infusion volumes and doses compared to the ongoing Phase 1b trial at UCSF. Importantly, the JMU trial is not using real-time, intra-operative MRI guidance.</w:t>
      </w:r>
    </w:p>
    <w:p>
      <w:pPr>
        <w:spacing w:after="0" w:line="159"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While the prior UCSF and JMU clinical results were encouraging and provided evidence of long-term AADC expression, the magnitude of the clinical benefits observed did not exceed placebo effects observed in previous surgical therapy trials in Parkinson's disease patients, and the UCSF and JMU trials were not blinded. Further, based on post-operative imaging and our current work using real-time, intra-operative MRI monitoring, we estimate that less than 10% of the putamen volume was covered by the infusion in these trials, which reflects suboptimal distribution of VY-AADC01 in the putamen. We believe that there is an opportunity to further optimize the delivery, dose and infusion volume of VY-AADC01 to substantially increase the coverage of the putamen in order to achieve a more substantial clinical benefit.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 Status</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In 2014, UCSF initiated an open-label Phase 1b clinical trial to optimize the development of VY-AADC01. The IND for the Phase 1b trial was filed by UCSF in July 2013 and was transferred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in October 2015. The primary endpoints of this trial are safety and tolerability of the treatment. This trial incorporates three key design features:</w:t>
      </w:r>
    </w:p>
    <w:p>
      <w:pPr>
        <w:spacing w:after="0" w:line="237" w:lineRule="exact"/>
        <w:rPr>
          <w:sz w:val="20"/>
          <w:szCs w:val="20"/>
          <w:color w:val="auto"/>
        </w:rPr>
      </w:pPr>
    </w:p>
    <w:p>
      <w:pPr>
        <w:ind w:left="1060" w:right="620" w:hanging="531"/>
        <w:spacing w:after="0" w:line="352"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Use of the Clearpoint System to provide real-time, intra-operative MRI during surgery to assist the physician in visualizing the delivery of VY-AADC01 to the putamen and to avoid specific blood vessels during the surgical procedure, with the goal of reducing the risk of hemorrhages.</w:t>
      </w:r>
    </w:p>
    <w:p>
      <w:pPr>
        <w:spacing w:after="0" w:line="149" w:lineRule="exact"/>
        <w:rPr>
          <w:rFonts w:ascii="Arial" w:cs="Arial" w:eastAsia="Arial" w:hAnsi="Arial"/>
          <w:sz w:val="15"/>
          <w:szCs w:val="15"/>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Larger infusion volumes designed to increase coverage of the putamen with VY-AADC01.</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Higher doses of VY-AADC01 compared to the previously completed Phase 1 trial.</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Secondary endpoints of this trial, which will be used to assess the potential pharmacologic activity of VY-AADC01, include UPDRS, AADC PET imaging and a behavioral test using intravenous L-Dopa treatment to measure changes in a patients' sensitivity to L-Dopa.</w:t>
      </w:r>
    </w:p>
    <w:p>
      <w:pPr>
        <w:spacing w:after="0" w:line="170" w:lineRule="exact"/>
        <w:rPr>
          <w:sz w:val="20"/>
          <w:szCs w:val="20"/>
          <w:color w:val="auto"/>
        </w:rPr>
      </w:pPr>
    </w:p>
    <w:p>
      <w:pPr>
        <w:ind w:firstLine="341"/>
        <w:spacing w:after="0" w:line="266" w:lineRule="auto"/>
        <w:rPr>
          <w:sz w:val="20"/>
          <w:szCs w:val="20"/>
          <w:color w:val="auto"/>
        </w:rPr>
      </w:pPr>
      <w:r>
        <w:rPr>
          <w:rFonts w:ascii="Arial" w:cs="Arial" w:eastAsia="Arial" w:hAnsi="Arial"/>
          <w:sz w:val="16"/>
          <w:szCs w:val="16"/>
          <w:color w:val="auto"/>
        </w:rPr>
        <w:t>In this Phase 1b trial, up to 20 patients with advanced Parkinson's disease are expected be treated with VY-AADC01. A total of five patients in the first dose cohort, or Cohort 1, have been treated with a VY-AADC01 concentration of 0.83 × 10</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vg per milliliter or 7.5 × 10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vg dose using a 450µl infusion volume per putamen, or 900µl per patient, and no SAEs have been observed to date in Cohort 1 patients. As shown below, the average coverage of the overall putamen achieved in the first cohort was approximately 21% and the average coverage of the posterior putamen, which is reduced in dopamine content early on in Parkinson's disease, was approximately 20%. In the portion of the putamen covered by VY-AADC01, as determined by MRI, there was approximately a 30% average increase in the PET signal at six months after surgery compared to the baseline PET signal measured prior to surgery. An increased PET signal is indicative of increased AADC expression and activity. Importantly, the PET results from Cohort 1 confirmed the overlap of the MRI and PET signals seen in previous non-human primate studies. This data supports our hypothesis that AADC is expressed post-treatment in the same region of the brain where VY-AADC01 was visualized through the use of MRI during surgery. While the coverage in Cohort 1 improved relative to the below 10% coverage of the putamen that we estimated was achieved in the prior UCSF Phase 1 trial, we believe that the coverage needs to be further increased. No meaningful signals of efficacy have been observed in these patients to date. We are continuing to monitor the patients from Cohort 1.</w:t>
      </w:r>
    </w:p>
    <w:p>
      <w:pPr>
        <w:spacing w:after="0" w:line="186" w:lineRule="exact"/>
        <w:rPr>
          <w:sz w:val="20"/>
          <w:szCs w:val="20"/>
          <w:color w:val="auto"/>
        </w:rPr>
      </w:pPr>
    </w:p>
    <w:p>
      <w:pPr>
        <w:ind w:right="420" w:firstLine="341"/>
        <w:spacing w:after="0" w:line="296" w:lineRule="auto"/>
        <w:rPr>
          <w:sz w:val="20"/>
          <w:szCs w:val="20"/>
          <w:color w:val="auto"/>
        </w:rPr>
      </w:pPr>
      <w:r>
        <w:rPr>
          <w:rFonts w:ascii="Arial" w:cs="Arial" w:eastAsia="Arial" w:hAnsi="Arial"/>
          <w:sz w:val="15"/>
          <w:szCs w:val="15"/>
          <w:color w:val="auto"/>
        </w:rPr>
        <w:t>Prior to the initiation of the second cohort, or Cohort 2, a protocol amendment was submitted and approved by the FDA, which included an increase in the infusion volume to up to 900µl per putamen, or 1,800µl per patient, with the overall goal of further increasing coverage of the putamen, particularly the posterior</w:t>
      </w:r>
    </w:p>
    <w:p>
      <w:pPr>
        <w:ind w:right="60"/>
        <w:spacing w:after="0" w:line="265" w:lineRule="auto"/>
        <w:rPr>
          <w:sz w:val="20"/>
          <w:szCs w:val="20"/>
          <w:color w:val="auto"/>
        </w:rPr>
      </w:pPr>
      <w:r>
        <w:rPr>
          <w:rFonts w:ascii="Arial" w:cs="Arial" w:eastAsia="Arial" w:hAnsi="Arial"/>
          <w:sz w:val="16"/>
          <w:szCs w:val="16"/>
          <w:color w:val="auto"/>
        </w:rPr>
        <w:t>putamen. Patients in Cohort 2 are being treated with a VY-AADC01 concentration of 0.83 × 10</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vg per milliliter or 1.5 × 10</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vg. The first patient, or Patient #6 overall, in Cohort 2 was treated in June 2015 and the coverage achieved in this patient was meaningfully improved relative to Cohort 1. The average coverage of the overall putamen achieved in Patient #6 was approximately 36% and the average coverage of the posterior putamen was approximately 46%. No SAEs were seen in Patient #6. The second patient in Cohort 2, Patient #7, was treated in July 2015. The coverage achieved in this patient was suboptimal due, we believe, to an exceptionally complex vasculature and resulting perivascular leakage, or leakage into the tissue surrounding the blood vessels. The average coverage of the overall putamen achieved in Patient #7 was approximately 25% and the average coverage of the posterior putamen was approximately 22%. Prolonged immobilization during surgery resulted in Patient #7 experiencing two SAEs, a pulmonary embolism, or blood clot in the lungs, and related heart arrhythmia, or irregular heartbeat. It was determined that these SAEs were related to the surgical procedure, not VY-AADC01. As of September 25, 2015, the patient's symptoms associated with the SAEs had completely resolved, subject to continued monitoring and treatment with an anti-coagulent, which may be discontinued within one month. Patient #8 was treated in October 2015 and was the third patient treated in Cohort 2. The average coverage of the overall putamen achieved in Patient #8 was approximately 38% and the average coverage of the posterior putamen was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approximately 32%. Enrollment in the Phase 1b trial is ongoing and UCSF is mitigating the risk of future pulmonary emboli by using a lower limb sequential compression device on all patients, in order to prevent deep vein thrombosis, which can lead to pulmonary emboli. Patient #8 was the first to be treated with a lower limb sequential compression device during the surgical procedure.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Summary of Coverage of Putamen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5702300" cy="3488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2300" cy="348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Note:</w:t>
      </w:r>
      <w:r>
        <w:rPr>
          <w:sz w:val="20"/>
          <w:szCs w:val="20"/>
          <w:color w:val="auto"/>
        </w:rPr>
        <w:tab/>
      </w:r>
      <w:r>
        <w:rPr>
          <w:rFonts w:ascii="Arial" w:cs="Arial" w:eastAsia="Arial" w:hAnsi="Arial"/>
          <w:sz w:val="11"/>
          <w:szCs w:val="11"/>
          <w:color w:val="auto"/>
        </w:rPr>
        <w:t>Average coverage percentages for Phase 1b include average coverage achieved in left and right putamen per patient.</w:t>
      </w:r>
    </w:p>
    <w:p>
      <w:pPr>
        <w:spacing w:after="0" w:line="205"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As anticipated given the increased volume administered, the coverage of the putamen achieved in Patient #6 was meaningfully better when compared to the coverage achieved in the five patients treated as part of Cohort 1 in the ongoing Phase 1b trial. A scheduled interim evaluation of Patient #6 was completed three months after treatment by a Parkinson's disease specialist. During this interim evaluation, a subset of efficacy measures were evaluated via patient diary and clinical exam, and were compared to the relevant baseline measures taken prior to treatment. As shown in the figure below, at three months following treatment, Patient #6 demonstrated an approximately four hour reduction in off-time with corresponding increases in on-time and sleep, as well as an approximately 11 point reduction, or 69% improvement, in UPDRS III score, the clinician-scored motor evaluation portion of UPDRS, while the patient was on L-Dopa. This compares to an average off-time reduction of two hours and an approximately 11% average improvement in UPDRS III score seen in Cohort 1 patients at three months after treatment. Furthermore, there was a nine point reduction, or an approximately 30% improvement, in UPDRS III score while Patient #6 was off L-Dopa. These improvements coincided with an approximately 50% reduction in Patient #6's daily L-Dopa dose. While these interim results are clinically meaningful, they should be interpreted cautiously given that they are taken from a single patient at a relatively early time point from a non-placebo-controlled, open-label trial, and may not be consistent with the results obtained for all of Cohort 2 or the trial more generally.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Clinical Efficacy Measures for Patient #6 Pre-Treatment and Three Months Post-Treatment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149860</wp:posOffset>
            </wp:positionV>
            <wp:extent cx="5527675" cy="15817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27675" cy="158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Once we are able to optimize for vector delivery and coverage, we then intend to increase and optimize the dose and concentration of VY-AADC01 used in this trial. We anticipate opening a second clinical trial site before the end of 2015 to facilitate enrollment in this trial.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ALS Program: VY-SOD101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Disease Overview</w:t>
      </w:r>
    </w:p>
    <w:p>
      <w:pPr>
        <w:spacing w:after="0" w:line="224"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 xml:space="preserve">ALS is a fatal neurodegenerative disease that leads to muscle weakness and loss of mobility as well as impaired speech, swallowing and breathing, with many patients requiring ventilator support as the disease progresses. The age of onset of ALS is typically around 50 years. However, most ALS patients only live an average of three years after initial symptoms appear, and it is estimated that as many as 30,000 patients in the United States are living with the disease according to the ALS Association. Familial, or inherited, ALS accounts for approximately 10% of ALS cases according to a 2006 article published in </w:t>
      </w:r>
      <w:r>
        <w:rPr>
          <w:rFonts w:ascii="Arial" w:cs="Arial" w:eastAsia="Arial" w:hAnsi="Arial"/>
          <w:sz w:val="16"/>
          <w:szCs w:val="16"/>
          <w:i w:val="1"/>
          <w:iCs w:val="1"/>
          <w:color w:val="auto"/>
        </w:rPr>
        <w:t>Neuron</w:t>
      </w:r>
      <w:r>
        <w:rPr>
          <w:rFonts w:ascii="Arial" w:cs="Arial" w:eastAsia="Arial" w:hAnsi="Arial"/>
          <w:sz w:val="16"/>
          <w:szCs w:val="16"/>
          <w:color w:val="auto"/>
        </w:rPr>
        <w:t xml:space="preserve">, and an estimated 20% of familial ALS is caused by mutations in the superoxide dismutase 1, or SOD1, gene according to a study published in the </w:t>
      </w:r>
      <w:r>
        <w:rPr>
          <w:rFonts w:ascii="Arial" w:cs="Arial" w:eastAsia="Arial" w:hAnsi="Arial"/>
          <w:sz w:val="16"/>
          <w:szCs w:val="16"/>
          <w:i w:val="1"/>
          <w:iCs w:val="1"/>
          <w:color w:val="auto"/>
        </w:rPr>
        <w:t>European Neurological Journal</w:t>
      </w:r>
      <w:r>
        <w:rPr>
          <w:rFonts w:ascii="Arial" w:cs="Arial" w:eastAsia="Arial" w:hAnsi="Arial"/>
          <w:sz w:val="16"/>
          <w:szCs w:val="16"/>
          <w:color w:val="auto"/>
        </w:rPr>
        <w:t>. Therefore, there are an estimated 600 patients in the United States with ALS caused by mutations in the SOD1 gene.</w:t>
      </w:r>
    </w:p>
    <w:p>
      <w:pPr>
        <w:spacing w:after="0" w:line="176"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normal function of the SOD1 protein is to break down toxic molecules. Mutations in SOD1 have been shown to lead to the formation of toxic aggregates of the mutated protein, resulting in the death of motor neurons. Patients with familial ALS caused by certain mutations in the SOD1 gene progress more rapidly than patients with other forms of ALS, although the reason for this more rapid progression is unknown.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There is currently only one FDA-approved treatment for ALS, riluzole, which has been shown to have only modest efficacy, prolonging life by just a few months.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Treatment Approach</w:t>
      </w:r>
    </w:p>
    <w:p>
      <w:pPr>
        <w:spacing w:after="0" w:line="224" w:lineRule="exact"/>
        <w:rPr>
          <w:sz w:val="20"/>
          <w:szCs w:val="20"/>
          <w:color w:val="auto"/>
        </w:rPr>
      </w:pPr>
    </w:p>
    <w:p>
      <w:pPr>
        <w:ind w:right="100" w:firstLine="338"/>
        <w:spacing w:after="0" w:line="262" w:lineRule="auto"/>
        <w:rPr>
          <w:sz w:val="20"/>
          <w:szCs w:val="20"/>
          <w:color w:val="auto"/>
        </w:rPr>
      </w:pPr>
      <w:r>
        <w:rPr>
          <w:rFonts w:ascii="Arial" w:cs="Arial" w:eastAsia="Arial" w:hAnsi="Arial"/>
          <w:sz w:val="17"/>
          <w:szCs w:val="17"/>
          <w:color w:val="auto"/>
        </w:rPr>
        <w:t>We believe that AAV gene therapy is an attractive approach to treat monogenic ALS. Since the SOD1 gene mutations that cause ALS are toxic gain-of-function mutations that result in the overexpression of toxic versions of the protein, we believe that we can employ an AAV gene therapy approach that targets the knockdown of SOD1. In addition, the target cells, motor neurons and astrocytes, or cells supporting the neurons, reside within and surrounding the spinal cord and brain stem, which we believe can be effectively targeted with AAV gene therapy through intrathecal injection. The goal of VY-SOD101 is to knock down expression of SOD1, thereby reducing the level of mutated protein in the target cells in the spinal cord and brain stem to preserve motor neurons, slow the progression of the disease and prolong ventilator-independent survival.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there is also the potential to leverage our approach for the treatment of other genetically defined forms of ALS.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 Targeting SOD1 for Monogenic ALS</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Results from preclinical studies conducted at The Ohio State University support targeting mutant SOD1 for the treatment of monogenic ALS. In a non-human primate model, significant knockdown of SOD1 expression was observed following intrathecal injection of an AAV vector carrying target DNA designed to inhibit SOD1 expression. As shown in the figure below, SOD1 protein levels were successfully knocked down by greater than 80%, on average, in three non-human primates. SOD1 protein levels were normalized in this study to ß-actin as a control. In addition, SOD1 expression in motor neurons was observed to be knocked down by 95%, on average, in this cohort compared to a control group. No side effects from the treatment were reported.</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Knockdown of SOD1 Using AAV-Mediated Delivery in Non-Human Primates</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4453890" cy="19977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5389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Reprinted by permission from Macmillan Publishers Ltd: Foust et al, </w:t>
      </w:r>
      <w:r>
        <w:rPr>
          <w:rFonts w:ascii="Arial" w:cs="Arial" w:eastAsia="Arial" w:hAnsi="Arial"/>
          <w:sz w:val="13"/>
          <w:szCs w:val="13"/>
          <w:i w:val="1"/>
          <w:iCs w:val="1"/>
          <w:color w:val="auto"/>
        </w:rPr>
        <w:t>Molecular Therapy</w:t>
      </w:r>
      <w:r>
        <w:rPr>
          <w:rFonts w:ascii="Arial" w:cs="Arial" w:eastAsia="Arial" w:hAnsi="Arial"/>
          <w:sz w:val="13"/>
          <w:szCs w:val="13"/>
          <w:color w:val="auto"/>
        </w:rPr>
        <w:t xml:space="preserve"> (2013), 21 (12); 2148-2159, copyright (2013).</w:t>
      </w:r>
    </w:p>
    <w:p>
      <w:pPr>
        <w:spacing w:after="0" w:line="205" w:lineRule="exact"/>
        <w:rPr>
          <w:sz w:val="20"/>
          <w:szCs w:val="20"/>
          <w:color w:val="auto"/>
        </w:rPr>
      </w:pPr>
    </w:p>
    <w:p>
      <w:pPr>
        <w:ind w:right="160" w:firstLine="338"/>
        <w:spacing w:after="0" w:line="352" w:lineRule="auto"/>
        <w:rPr>
          <w:sz w:val="20"/>
          <w:szCs w:val="20"/>
          <w:color w:val="auto"/>
        </w:rPr>
      </w:pPr>
      <w:r>
        <w:rPr>
          <w:rFonts w:ascii="Arial" w:cs="Arial" w:eastAsia="Arial" w:hAnsi="Arial"/>
          <w:sz w:val="15"/>
          <w:szCs w:val="15"/>
          <w:color w:val="auto"/>
        </w:rPr>
        <w:t>The knockdown of SOD1 has also been observed to provide a significant survival benefit in an animal model. As shown below, mice with a SOD1 mutation treated with an AAV vector to knock down expression of the SOD1 gene achieved median survival of 87 days longer compared to mice treated with a control vector.</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Improved Survival Post Knockdown of SOD1</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5060950" cy="1964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60950"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right="20" w:hanging="515"/>
        <w:spacing w:after="0" w:line="256" w:lineRule="auto"/>
        <w:tabs>
          <w:tab w:leader="none" w:pos="5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Reprinted by permission from Macmillan Publishers Ltd: Foust et al, </w:t>
      </w:r>
      <w:r>
        <w:rPr>
          <w:rFonts w:ascii="Arial" w:cs="Arial" w:eastAsia="Arial" w:hAnsi="Arial"/>
          <w:sz w:val="13"/>
          <w:szCs w:val="13"/>
          <w:i w:val="1"/>
          <w:iCs w:val="1"/>
          <w:color w:val="auto"/>
        </w:rPr>
        <w:t>Molecular Therapy</w:t>
      </w:r>
      <w:r>
        <w:rPr>
          <w:rFonts w:ascii="Arial" w:cs="Arial" w:eastAsia="Arial" w:hAnsi="Arial"/>
          <w:sz w:val="13"/>
          <w:szCs w:val="13"/>
          <w:color w:val="auto"/>
        </w:rPr>
        <w:t xml:space="preserve"> (2013), 21 (12); 2148-2159, copyright (2013). Purple line represents mice treated with AAV gene therapy, while gray line represents control mice.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We believe the viability of our proposed delivery approach for VY-SOD101 is supported by our proof-of-principle work demonstrating successful AAV gene therapy delivery to the spinal cord of non-human primates through intrathecal injection.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 Status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VY-SOD101 is in preclinical development. We are optimizing the transgene, the promoter, the capsid and the dosing paradigm for this program.</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Through our product engine efforts, we are constructing and optimizing the transgene, including the microRNA, or miRNA, cassette that will be inserted into an AAV vector to achieve targeted knockdown of SOD1 expression with RNA interference, or RNAi, a biological process in which RNA molecules inhibit gene expression. The miRNA cassette is being optimized with respect to a number of characteristics that affect specificity for the SOD1 target gene and knockdown potency. Beyond the miRNA cassette sequence, we are optimizing other design aspects of the transgene to improve the overall effectiveness of our approach. We have screened more than 100 RNAi sequences, each represented by a bar in the graph below, and have successfully identified multiple, highly-potent RNAi sequences targeting SOD1, as highlighted by the yellow bars in the figure below: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 of miRNA Target Sequences for Knockdown of SOD1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149860</wp:posOffset>
            </wp:positionV>
            <wp:extent cx="5677535" cy="1922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77535"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We are in the process of completing a number of AAV capsid screening experiments to identify the capsid that we believe is optimal for the VY-SOD101 program. We are screening capsids in non-human primates following intrathecal injection, and are evaluating capsids based upon multiple criteria, including safety, overall level of transgene expression achieved, distribution of transgene expression and specific cell types transduced.</w:t>
      </w:r>
    </w:p>
    <w:p>
      <w:pPr>
        <w:spacing w:after="0" w:line="179"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In addition, we are evaluating intrathecal dosing paradigms for the best distribution and delivery to the relevant regions of the spinal cord and brain stem. We are studying parameters such as site of intrathecal administration, volume of administration and rate of infusion to identify the dosing paradigm that we believe will translate into an effective therapy in patients.</w:t>
      </w:r>
    </w:p>
    <w:p>
      <w:pPr>
        <w:spacing w:after="0" w:line="179"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expect to use relevant animal models to select our lead candidate for this program. Once a lead candidate and intrathecal dosing paradigm are identified, we plan to complete a number of preclinical studies to evaluate the safety and pharmacology of our lead candidate, including IND-enabling studies. We expect that the first clinical trial of VY-SOD101 will enroll ALS patients with relevant mutations in the SOD1 gene, bypassing the more traditional approach of enrolling healthy volunteers.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Friedreich's Ataxia Program: VY-FXN01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Disease Overview</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 According to the Friedreich's Ataxia Research Alliance, there are approximately 6,400 patients living with the disease in the United States and there are currently no FDA-approved treatments for the disease.</w:t>
      </w:r>
    </w:p>
    <w:p>
      <w:pPr>
        <w:spacing w:after="0" w:line="187"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believe that this will provide the approximate level of gene replacement necessary for successful treatment with an AAV gene therapy.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Treatment Approach</w:t>
      </w:r>
    </w:p>
    <w:p>
      <w:pPr>
        <w:spacing w:after="0" w:line="224" w:lineRule="exact"/>
        <w:rPr>
          <w:sz w:val="20"/>
          <w:szCs w:val="20"/>
          <w:color w:val="auto"/>
        </w:rPr>
      </w:pPr>
    </w:p>
    <w:p>
      <w:pPr>
        <w:ind w:right="20" w:firstLine="338"/>
        <w:spacing w:after="0" w:line="311" w:lineRule="auto"/>
        <w:rPr>
          <w:sz w:val="20"/>
          <w:szCs w:val="20"/>
          <w:color w:val="auto"/>
        </w:rPr>
      </w:pPr>
      <w:r>
        <w:rPr>
          <w:rFonts w:ascii="Arial" w:cs="Arial" w:eastAsia="Arial" w:hAnsi="Arial"/>
          <w:sz w:val="15"/>
          <w:szCs w:val="15"/>
          <w:color w:val="auto"/>
        </w:rPr>
        <w:t>We believe that an AAV gene therapy approach that delivers a functional version of the FXN gene to the sensory pathways through intrathecal injection has the potential to improve the balance, ability to walk, sensory capability, coordination, strength and functional capacity of Friedreich's ataxia patients. Unlike in many genetic disorders, most Friedreich's ataxia patients normally produce very low levels of the frataxin protein, which although insufficient to prevent the disease, exposes the patient's immune system to frataxin. This reduces the likelihood that the FXN gene delivered with AAV gene therapy will trigger harmful immune response.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w:t>
      </w:r>
    </w:p>
    <w:p>
      <w:pPr>
        <w:spacing w:after="0" w:line="224"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We conducted preclinical studies in non-human primates and achieved high FXN expression levels within the target sensory ganglia, or clusters of neurons, along the entire length of the spinal region following intrathecal injection. As depicted in the figure below, FXN expression was normalized as a fold increase relative to FXN expression in a human brain reference sample. The levels of FXN expression observed using an AAVrh10 vector were, on average, greater than FXN levels present in normal human brain tissue. The increased levels of FXN were achieved across the entire length of the spinal region including the cervical, thoracic, lumbar and sacral levels. Relatively low, but measurable, levels of FXN expression were also observed in the cerebellar dentate nucleus, another area of the CNS that is often affected in Friedreich's ataxia, and that is often considered difficult to target therapeutically.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FXN Expression in Sensory Ganglia Following Intrathecal Delivery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150495</wp:posOffset>
            </wp:positionV>
            <wp:extent cx="5127625" cy="24720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27625" cy="247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 Status</w:t>
      </w:r>
    </w:p>
    <w:p>
      <w:pPr>
        <w:spacing w:after="0" w:line="224" w:lineRule="exact"/>
        <w:rPr>
          <w:sz w:val="20"/>
          <w:szCs w:val="20"/>
          <w:color w:val="auto"/>
        </w:rPr>
      </w:pPr>
    </w:p>
    <w:p>
      <w:pPr>
        <w:ind w:right="120" w:firstLine="338"/>
        <w:spacing w:after="0" w:line="306" w:lineRule="auto"/>
        <w:rPr>
          <w:sz w:val="20"/>
          <w:szCs w:val="20"/>
          <w:color w:val="auto"/>
        </w:rPr>
      </w:pPr>
      <w:r>
        <w:rPr>
          <w:rFonts w:ascii="Arial" w:cs="Arial" w:eastAsia="Arial" w:hAnsi="Arial"/>
          <w:sz w:val="15"/>
          <w:szCs w:val="15"/>
          <w:color w:val="auto"/>
        </w:rPr>
        <w:t>VY-FXN01 is currently in preclinical development. We are in the process of completing a number of AAV capsid screening experiments to identify the capsid that we believe is optimal for the VY-FXN01 program. We are comparing capsids in non-human primates following intrathecal injection, and we are evaluating these capsids based upon multiple criteria including safety, overall level of transgene expression achieved, distribution of transgene expression and the specific cell types transduced. In addition, we are optimizing the promoter and specific characteristics of the FXN transgene that we expect to use for VY-FXN01. We also have a significant effort focused on better understanding the clinical course of Friedreich's ataxia and identifying potential clinical endpoints for future clinical trials.</w:t>
      </w:r>
    </w:p>
    <w:p>
      <w:pPr>
        <w:spacing w:after="0" w:line="159"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Once we identify a lead candidate for this program, we plan to complete a number of preclinical studies to evaluate the safety and efficacy of our lead candidate, including studies in relevant animal models of Friedreich's ataxia and IND-enabling studies. We expect that the first clinical trial of VY-FXN01 will enroll Friedreich's ataxia patients, bypassing the more traditional approach of enrolling healthy volunteers.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Huntington's Disease Program: VY-HTT01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Disease Overview</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Huntington's disease is a fatal, inherited neurodegenerative disorder that results in the progressive decline of motor and cognitive functions and a range of behavioral and psychiatric disturbances, including depression. The average age of onset is 40, with patients typically dying approximately 17 to 20 years following diagnosis. According to Huntington's Disease Society of America, Huntington's disease affects approximately 30,000 patients in the United States. Huntington's disease is caused by mutations in the huntingtin, or HTT, gene. Huntington's disease is an autosomal dominant disorder, which means that an individual is at risk of inheriting the disease if only one parent is affected. While the exact function of the HTT gene in healthy individuals is unknown, it is essential for normal development before birth and mutations in the HTT gene ultimately lead to the production of abnormal intracellular huntingtin protein aggregates that cause neuronal cell death. Currently, there are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40"/>
        <w:spacing w:after="0" w:line="282" w:lineRule="auto"/>
        <w:rPr>
          <w:sz w:val="20"/>
          <w:szCs w:val="20"/>
          <w:color w:val="auto"/>
        </w:rPr>
      </w:pPr>
      <w:r>
        <w:rPr>
          <w:rFonts w:ascii="Arial" w:cs="Arial" w:eastAsia="Arial" w:hAnsi="Arial"/>
          <w:sz w:val="17"/>
          <w:szCs w:val="17"/>
          <w:color w:val="auto"/>
        </w:rPr>
        <w:t>no approved treatments targeting the underlying cause of the disease and only one drug, tetrabenazine, has been approved for the treatment of the specific motor symptoms of Huntington's disease.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Treatment Approach</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believe that AAV gene therapy is an attractive approach to treat Huntington's disease. Since HTT mutations that cause Huntington's disease are toxic gain-of-function mutations, we believe that we can employ an AAV gene therapy approach designed to knock down expression of the HTT gene. In addition, the targeted cells for treatment primarily reside in discrete regions of the brain, the striatum and the cortex, that can be targeted with AAV gene therapy delivered directly to these site-specific regions. The goal of VY-HTT01 is to knock down expression of the HTT gene, thereby reducing the level of mutated HTT protein in these brain regions and slowing the progression of the cognitive and motor symptoms associated with Huntington's disease. We believe that we can use the same surgical approach for this program that has been used for VY-AADC01 delivery to the brain, allowing us to leverage prior clinical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w:t>
      </w:r>
    </w:p>
    <w:p>
      <w:pPr>
        <w:spacing w:after="0" w:line="224"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color w:val="auto"/>
        </w:rPr>
        <w:t>Our collaborators at Genzyme have completed significant preclinical work focused on AAV gene therapy for Huntington's disease. Genzyme's preclinical studies in a mouse model of Huntington's disease demonstrated the safety and efficacy of AAV gene therapy targeting the knockdown of the HTT gene in the CNS.</w:t>
      </w:r>
    </w:p>
    <w:p>
      <w:pPr>
        <w:spacing w:after="0" w:line="123" w:lineRule="exact"/>
        <w:rPr>
          <w:sz w:val="20"/>
          <w:szCs w:val="20"/>
          <w:color w:val="auto"/>
        </w:rPr>
      </w:pPr>
    </w:p>
    <w:p>
      <w:pPr>
        <w:ind w:right="40" w:firstLine="332"/>
        <w:spacing w:after="0" w:line="352" w:lineRule="auto"/>
        <w:rPr>
          <w:sz w:val="20"/>
          <w:szCs w:val="20"/>
          <w:color w:val="auto"/>
        </w:rPr>
      </w:pPr>
      <w:r>
        <w:rPr>
          <w:rFonts w:ascii="Arial" w:cs="Arial" w:eastAsia="Arial" w:hAnsi="Arial"/>
          <w:sz w:val="15"/>
          <w:szCs w:val="15"/>
          <w:color w:val="auto"/>
        </w:rPr>
        <w:t>As shown in the figure below, using an AAV vector delivered directly to the CNS, HTT gene expression was observed to be reduced by over 50%, on average, in the treatment group as compared to the control group. HTT protein levels were normalized in this study to b-Tubulin as a control. No signs of toxicity were reported.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Knockdown of HTT Following AAV Delivery</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4878070" cy="17151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7807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right="3620" w:hanging="515"/>
        <w:spacing w:after="0" w:line="568" w:lineRule="auto"/>
        <w:tabs>
          <w:tab w:leader="none" w:pos="5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Stanek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(2014); 25; 461-474. The publisher for this copyrighted material is Mary Ann Liebert, Inc. publishers. *p&lt;0.05</w:t>
      </w:r>
    </w:p>
    <w:p>
      <w:pPr>
        <w:spacing w:after="0" w:line="1"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In addition, a significant functional benefit was observed in the treatment group, as measured by the Porsolt Swim Test, which is commonly used to measure depressive behavior in mice. In the figure below, both normal, or wild type mice, and mice with the mutation, or YAC128, were evaluated following treatment with either an AAV vector targeting the knockdown of the HTT gene, labeled as AAV2/1-miRNA-Htt below, or a negative control vector, labeled as AAV2/1-Null below. As expected, knocking down HTT in the control mice was observed to have no functional impact.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Motor Deficit Reduction in an Animal Model of Huntington's Disease</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4770120" cy="22390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70120" cy="223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right="3660" w:hanging="515"/>
        <w:spacing w:after="0" w:line="568" w:lineRule="auto"/>
        <w:tabs>
          <w:tab w:leader="none" w:pos="5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Stanek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(2014); 25; 461-474. The publisher for this copyrighted material is Mary Ann Liebert, Inc. publishers. *p&lt;0.05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 Status</w:t>
      </w:r>
    </w:p>
    <w:p>
      <w:pPr>
        <w:spacing w:after="0" w:line="224" w:lineRule="exact"/>
        <w:rPr>
          <w:sz w:val="20"/>
          <w:szCs w:val="20"/>
          <w:color w:val="auto"/>
        </w:rPr>
      </w:pPr>
    </w:p>
    <w:p>
      <w:pPr>
        <w:ind w:right="360" w:firstLine="338"/>
        <w:spacing w:after="0" w:line="315" w:lineRule="auto"/>
        <w:rPr>
          <w:sz w:val="20"/>
          <w:szCs w:val="20"/>
          <w:color w:val="auto"/>
        </w:rPr>
      </w:pPr>
      <w:r>
        <w:rPr>
          <w:rFonts w:ascii="Arial" w:cs="Arial" w:eastAsia="Arial" w:hAnsi="Arial"/>
          <w:sz w:val="16"/>
          <w:szCs w:val="16"/>
          <w:color w:val="auto"/>
        </w:rPr>
        <w:t>VY-HTT01 is currently in preclinical development. Genzyme's Huntington's disease gene therapy program was combined with our efforts in connection with entering into our collaboration agreement in February 2015. We are optimizing the transgene, the capsid and the dosing paradigm for this program.</w:t>
      </w:r>
    </w:p>
    <w:p>
      <w:pPr>
        <w:spacing w:after="0" w:line="146"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Through our product engine efforts, we are constructing and optimizing the transgene, including the miRNA cassette that will be inserted into an AAV vector to achieve targeted knockdown of HTT expression with RNAi. We are optimizing the miRNA cassette with respect to a number of characteristics that affect specificity for the HTT target gene and knockdown potency. Beyond the miRNA cassette sequence, we are optimizing other design aspects of the transgene to improve the overall effectiveness of our approach. This work leverages the learnings from the VY-SOD101 program, as the miRNA cassettes designed are anticipated to be applicable to the VY-HTT01 program. We are also optimizing the promoter that we expect to use for VY-HTT01.</w:t>
      </w:r>
    </w:p>
    <w:p>
      <w:pPr>
        <w:spacing w:after="0" w:line="174" w:lineRule="exact"/>
        <w:rPr>
          <w:sz w:val="20"/>
          <w:szCs w:val="20"/>
          <w:color w:val="auto"/>
        </w:rPr>
      </w:pPr>
    </w:p>
    <w:p>
      <w:pPr>
        <w:ind w:right="340" w:firstLine="341"/>
        <w:spacing w:after="0" w:line="294" w:lineRule="auto"/>
        <w:rPr>
          <w:sz w:val="20"/>
          <w:szCs w:val="20"/>
          <w:color w:val="auto"/>
        </w:rPr>
      </w:pPr>
      <w:r>
        <w:rPr>
          <w:rFonts w:ascii="Arial" w:cs="Arial" w:eastAsia="Arial" w:hAnsi="Arial"/>
          <w:sz w:val="16"/>
          <w:szCs w:val="16"/>
          <w:color w:val="auto"/>
        </w:rPr>
        <w:t>In addition, we are in the process of confirming in non-human primate studies that the current lead capsid is optimal for the VY-HTT01 program. Capsids are being compared in non-human primates following direct injection into the striatum or intrathecal injection, and are being evaluated based upon multiple criteria, including safety, overall level of transgene expression achieved, distribution of transgene expression and the specific cell types transduced.</w:t>
      </w:r>
    </w:p>
    <w:p>
      <w:pPr>
        <w:spacing w:after="0" w:line="163"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We are evaluating direct injection into the striatum and intrathecal dosing paradigms for the best distribution and delivery to the relevant regions of the brain, the striatum and cortex. Parameters such as site of administration, volume of administration and rate of infusion are being studied to identify the dosing paradigm that we believe will translate into an effective therapy in patients.</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Once we identify a lead candidate and dosing paradigm for this program, we plan to complete a number of preclinical studies to evaluate the safety, pharmacology and efficacy of our lead candidate, including studies in relevant animal models and IND-enabling studies. We expect that the first clinical trial of VY-HTT01 will enroll Huntington's disease patients, bypassing the more traditional approach of enrolling healthy volunteers.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SMA Program: VY-SMN101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Disease Overview</w:t>
      </w:r>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SMA is an inherited neuromuscular disease that results in progressive muscle weakness and paralysis. It is estimated that SMA affects approximately 10,000 patients in the United States according to the SMA Foundation. Patients with SMA may have difficulty sitting, standing, walking, eating and breathing, depending upon the severity of the disease. There are four primary types of SMA, with SMA type I being the most severe. SMA type I is the leading genetic cause of death in infancy and early childhood in the United States and accounts for approximately 50% of all SMA cases. Infants affected by SMA type I never sit or stand and usually die of respiratory failure before two years of age. SMA type II is of intermediate severity, with onset at approximately seven to 18 months of age and a slower progression compared to type I. Children with SMA type II will generally sit, but never stand. SMA type III is less severe, presenting at 18 months of age or later, and SMA type IV is a mild adult subtype generally presenting in patients between 20 and 30 years of age. There are currently no approved treatments for any type of SMA.</w:t>
      </w:r>
    </w:p>
    <w:p>
      <w:pPr>
        <w:spacing w:after="0" w:line="18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SMA is caused primarily by mutations of the SMN1 gene, which eliminate full-length protein expression of the SMN1 gene. Clinical severity is related to the number of copies of the SMN2 gene, which is able to produce small amounts of functional protein. The precise role of the SMN protein in the pathogenesis of SMA is unknown. SMA is an autosomal recessive disorder. One healthy copy of the SMN1 gene, or 50% of normal SMN1 protein levels, is sufficient to prevent the disease phenotype. We believe this will provide the approximate level of gene replacement necessary for successful treatment with an AAV gene therapy.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Treatment Approach</w:t>
      </w:r>
    </w:p>
    <w:p>
      <w:pPr>
        <w:spacing w:after="0" w:line="224"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We believe that an AAV gene therapy that delivers a functional version of the SMN1 gene to the spinal cord and brainstem through intrathecal injection has the potential to prolong survival, increase the amount of time of independent respiration and improve clinical and electrophysiological measures of motor function in severe SMA patients. Unlike many genetic disorders, most SMA patients normally produce very low levels of the SMN1 protein, which although insufficient to prevent the disease, exposes the patient's immune system to the SMN1 protein. This reduces the likelihood that the SMN1 gene delivered with AAV gene therapy will trigger a harmful immune response.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Preclinical Studies</w:t>
      </w:r>
    </w:p>
    <w:p>
      <w:pPr>
        <w:spacing w:after="0" w:line="224" w:lineRule="exact"/>
        <w:rPr>
          <w:sz w:val="20"/>
          <w:szCs w:val="20"/>
          <w:color w:val="auto"/>
        </w:rPr>
      </w:pPr>
    </w:p>
    <w:p>
      <w:pPr>
        <w:ind w:right="880" w:firstLine="341"/>
        <w:spacing w:after="0" w:line="282" w:lineRule="auto"/>
        <w:rPr>
          <w:sz w:val="20"/>
          <w:szCs w:val="20"/>
          <w:color w:val="auto"/>
        </w:rPr>
      </w:pPr>
      <w:r>
        <w:rPr>
          <w:rFonts w:ascii="Arial" w:cs="Arial" w:eastAsia="Arial" w:hAnsi="Arial"/>
          <w:sz w:val="17"/>
          <w:szCs w:val="17"/>
          <w:color w:val="auto"/>
        </w:rPr>
        <w:t>Our collaborators at Genzyme have completed significant preclinical work focused on AAV gene therapy for SMA. Preclinical animal model studies demonstrated the safety and efficacy of SMN1 gene replacement delivered directly into the CNS.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Studies completed in a transgenic mouse model of SMA demonstrated that the SMN1 gene could be successfully delivered to the spinal cord in a vector dose-</w:t>
      </w:r>
    </w:p>
    <w:p>
      <w:pPr>
        <w:spacing w:after="0" w:line="43" w:lineRule="exact"/>
        <w:rPr>
          <w:sz w:val="20"/>
          <w:szCs w:val="20"/>
          <w:color w:val="auto"/>
        </w:rPr>
      </w:pPr>
    </w:p>
    <w:p>
      <w:pPr>
        <w:ind w:right="420"/>
        <w:spacing w:after="0" w:line="212" w:lineRule="auto"/>
        <w:rPr>
          <w:sz w:val="20"/>
          <w:szCs w:val="20"/>
          <w:color w:val="auto"/>
        </w:rPr>
      </w:pPr>
      <w:r>
        <w:rPr>
          <w:rFonts w:ascii="Arial" w:cs="Arial" w:eastAsia="Arial" w:hAnsi="Arial"/>
          <w:sz w:val="17"/>
          <w:szCs w:val="17"/>
          <w:color w:val="auto"/>
        </w:rPr>
        <w:t>dependent fashion, as shown in the figure below. At the highest AAV dose tested, 5 × 10</w:t>
      </w:r>
      <w:r>
        <w:rPr>
          <w:rFonts w:ascii="Arial" w:cs="Arial" w:eastAsia="Arial" w:hAnsi="Arial"/>
          <w:sz w:val="28"/>
          <w:szCs w:val="28"/>
          <w:color w:val="auto"/>
          <w:vertAlign w:val="superscript"/>
        </w:rPr>
        <w:t>10</w:t>
      </w:r>
      <w:r>
        <w:rPr>
          <w:rFonts w:ascii="Arial" w:cs="Arial" w:eastAsia="Arial" w:hAnsi="Arial"/>
          <w:sz w:val="17"/>
          <w:szCs w:val="17"/>
          <w:color w:val="auto"/>
        </w:rPr>
        <w:t xml:space="preserve"> vg, or 5e10 vg, the average SMN1 expression observed in the lumbar region of the spinal cords of the treatment group was approximately 150% of the control group.</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Replacement of SMN1 Using AAV Gene Therapy</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5019675" cy="2197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19675" cy="219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right="380" w:hanging="515"/>
        <w:spacing w:after="0" w:line="256" w:lineRule="auto"/>
        <w:tabs>
          <w:tab w:leader="none" w:pos="5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Passini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(2014); 25; 619-630. The publisher for this copyrighted material is Mary Ann Liebert, Inc. publishers. SMN levels in control SMA mice vs. SMA mice treated with escalating doses of AAV9-hSMN1.</w:t>
      </w:r>
    </w:p>
    <w:p>
      <w:pPr>
        <w:spacing w:after="0" w:line="179"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**p&lt;0.01 ***p&lt;0.001</w:t>
      </w:r>
    </w:p>
    <w:p>
      <w:pPr>
        <w:spacing w:after="0" w:line="205"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In the same transgenic mouse model, replacement of the SMN1 gene using AAV gene therapy was delivered directly to the CNS demonstrated an improvement in survival in the treatment groups compared to the control group, as shown in the figure below. The median survival benefit at the highest dose tested, represented by the square line below, was 136 days longer than the median survival benefit for the control group, represented by the circle line below.</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Survival Post Replacement of SMN1 Using AAV Gene Therapy</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5277485" cy="2439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77485"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 w:right="180" w:hanging="515"/>
        <w:spacing w:after="0" w:line="256" w:lineRule="auto"/>
        <w:tabs>
          <w:tab w:leader="none" w:pos="5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Passini et al, </w:t>
      </w:r>
      <w:r>
        <w:rPr>
          <w:rFonts w:ascii="Arial" w:cs="Arial" w:eastAsia="Arial" w:hAnsi="Arial"/>
          <w:sz w:val="13"/>
          <w:szCs w:val="13"/>
          <w:i w:val="1"/>
          <w:iCs w:val="1"/>
          <w:color w:val="auto"/>
        </w:rPr>
        <w:t>Human Gene Therapy</w:t>
      </w:r>
      <w:r>
        <w:rPr>
          <w:rFonts w:ascii="Arial" w:cs="Arial" w:eastAsia="Arial" w:hAnsi="Arial"/>
          <w:sz w:val="13"/>
          <w:szCs w:val="13"/>
          <w:color w:val="auto"/>
        </w:rPr>
        <w:t xml:space="preserve"> (2014); 25; 619-630. The publisher for this copyrighted material is Mary Ann Liebert, Inc. publishers. Overall survival post treatment with: saline (circle); or escalating doses of AAV9-hSMN1 (triangle, diamond, square).</w:t>
      </w:r>
    </w:p>
    <w:p>
      <w:pPr>
        <w:spacing w:after="0" w:line="180"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We believe the viability of our proposed delivery approach for VY-SMN101 is supported by our proof-of-principle work demonstrating successful AAV gene therapy delivery to the spinal cord of non-human primates through intrathecal injection.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Program Status</w:t>
      </w:r>
    </w:p>
    <w:p>
      <w:pPr>
        <w:spacing w:after="0" w:line="224" w:lineRule="exact"/>
        <w:rPr>
          <w:sz w:val="20"/>
          <w:szCs w:val="20"/>
          <w:color w:val="auto"/>
        </w:rPr>
      </w:pPr>
    </w:p>
    <w:p>
      <w:pPr>
        <w:ind w:right="720" w:firstLine="338"/>
        <w:spacing w:after="0" w:line="282" w:lineRule="auto"/>
        <w:rPr>
          <w:sz w:val="20"/>
          <w:szCs w:val="20"/>
          <w:color w:val="auto"/>
        </w:rPr>
      </w:pPr>
      <w:r>
        <w:rPr>
          <w:rFonts w:ascii="Arial" w:cs="Arial" w:eastAsia="Arial" w:hAnsi="Arial"/>
          <w:sz w:val="17"/>
          <w:szCs w:val="17"/>
          <w:color w:val="auto"/>
        </w:rPr>
        <w:t>VY-SMN101 is currently in preclinical development. Genzyme's SMA gene therapy program was contributed to us in connection with entering into our collaboration agreement in February 2015.</w:t>
      </w:r>
    </w:p>
    <w:p>
      <w:pPr>
        <w:spacing w:after="0" w:line="170" w:lineRule="exact"/>
        <w:rPr>
          <w:sz w:val="20"/>
          <w:szCs w:val="20"/>
          <w:color w:val="auto"/>
        </w:rPr>
      </w:pPr>
    </w:p>
    <w:p>
      <w:pPr>
        <w:ind w:right="200" w:firstLine="338"/>
        <w:spacing w:after="0" w:line="265" w:lineRule="auto"/>
        <w:rPr>
          <w:sz w:val="20"/>
          <w:szCs w:val="20"/>
          <w:color w:val="auto"/>
        </w:rPr>
      </w:pPr>
      <w:r>
        <w:rPr>
          <w:rFonts w:ascii="Arial" w:cs="Arial" w:eastAsia="Arial" w:hAnsi="Arial"/>
          <w:sz w:val="17"/>
          <w:szCs w:val="17"/>
          <w:color w:val="auto"/>
        </w:rPr>
        <w:t>We are in the process of completing a number of AAV capsid screening experiments to identify the capsid that we believe is optimal for the VY-SMN101 program. We are screening capsids in non-human primates following intrathecal injection, and are evaluating based upon multiple criteria, including safety, overall level of transgene expression achieved, distribution of transgene expression and the specific cell types transduced. Genzyme has already optimized the promoter and transgene for VY-SMN101.</w:t>
      </w:r>
    </w:p>
    <w:p>
      <w:pPr>
        <w:spacing w:after="0" w:line="185"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Once we identify a lead candidate and dosing paradigm for this program, we plan to complete a number of preclinical studies to evaluate the safety, pharmacology and efficacy of our lead candidate, including studies in relevant animal models and IND-enabling studies. We expect that the first clinical trial of VY-SMN101 will enroll SMA patients, bypassing the more traditional approach of enrolling healthy volunteers.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Programs</w:t>
      </w:r>
    </w:p>
    <w:p>
      <w:pPr>
        <w:spacing w:after="0" w:line="228" w:lineRule="exact"/>
        <w:rPr>
          <w:sz w:val="20"/>
          <w:szCs w:val="20"/>
          <w:color w:val="auto"/>
        </w:rPr>
      </w:pPr>
    </w:p>
    <w:p>
      <w:pPr>
        <w:ind w:right="180" w:firstLine="338"/>
        <w:spacing w:after="0" w:line="263" w:lineRule="auto"/>
        <w:rPr>
          <w:sz w:val="20"/>
          <w:szCs w:val="20"/>
          <w:color w:val="auto"/>
        </w:rPr>
      </w:pPr>
      <w:r>
        <w:rPr>
          <w:rFonts w:ascii="Arial" w:cs="Arial" w:eastAsia="Arial" w:hAnsi="Arial"/>
          <w:sz w:val="17"/>
          <w:szCs w:val="17"/>
          <w:color w:val="auto"/>
        </w:rPr>
        <w:t>We are evaluating additional severe CNS diseases that could be treated using AAV gene therapy through application of either a gene replacement or a gene knockdown approach. Beyond these approaches, we are also actively exploring additional potential treatment methods that can utilize an AAV vector, including the direct delivery of monoclonal antibodies to the CNS, as well as gene editing to correct or delete a gene in the cell genome. We believe that AAV-based delivery of antibodies to the CNS could be used to treat diseases such as frontotemporal dementia and Alzheimer's disease and that gene editing could be applied to a number of different genetic diseases.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License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Genzyme Collaboration</w:t>
      </w:r>
    </w:p>
    <w:p>
      <w:pPr>
        <w:spacing w:after="0" w:line="224"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In February 2015, we entered into a strategic collaboration with Genzyme to leverage our combined expertise and assets to develop AAV gene therapies for CNS diseases. Under the agreement, we retained U.S. rights to VY-AADC01 and VY-FXN01, as well as at least co-commercialization rights to VY-HTT01 in the United States. VY-SOD101 is not included as part of the Genzyme collaboration and we retain unencumbered worldwide rights to this program. We have granted Genzyme an exclusive option to license, develop and commercialize (i) ex-U.S. rights to the following programs, which we refer to as the Split Territory Programs, VY-AADC01, VY-FXN01, a future program to be designated by Genzyme, or Future Program, and VY-HTT01 with an incremental option to co-commercialize VY-HTT01 in the United States, and (ii) worldwide rights to VY-SMN101. Genzyme's option for the Split Territory Programs and VY-SMN101 is triggered following the completion of the first proof-of-principle human clinical study, or POP Study, on a program-by-program basis.</w:t>
      </w:r>
    </w:p>
    <w:p>
      <w:pPr>
        <w:spacing w:after="0" w:line="175"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Prior to any option exercise by Genzyme, we will collaborate with Genzyme in the development of products under each Split Territory Program and VY-SMN101 pursuant to a written development plan and under the guidance of an alliance joint steering committee, comprised of an equal number of our employees and Genzyme employees.</w:t>
      </w:r>
    </w:p>
    <w:p>
      <w:pPr>
        <w:spacing w:after="0" w:line="179"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are required to use commercially reasonable efforts to develop products under each Split Territory Program and VY-SMN101 through completion of the applicable POP Study. During the development of our joint programs, our and Genzyme's activities are guided by a Development Advisory Committee, which we refer to as the DAC. The DAC may elect to utilize certain Genzyme technology relating to the VY-AADC01 program, the VY-HTT01 Program, or generally with the manufacture of Split Territory Program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38"/>
        <w:spacing w:after="0" w:line="311" w:lineRule="auto"/>
        <w:rPr>
          <w:sz w:val="20"/>
          <w:szCs w:val="20"/>
          <w:color w:val="auto"/>
        </w:rPr>
      </w:pPr>
      <w:r>
        <w:rPr>
          <w:rFonts w:ascii="Arial" w:cs="Arial" w:eastAsia="Arial" w:hAnsi="Arial"/>
          <w:sz w:val="15"/>
          <w:szCs w:val="15"/>
          <w:color w:val="auto"/>
        </w:rPr>
        <w:t>We will be solely responsible for all costs incurred in connection with the development of Split Territory Programs and VY-SMN101 products prior to option exercise, subject to the following: (i) Genzyme may agree to provide additional funds in return for agreed-upon payback or other agreed economic terms; (ii) we may request, and upon mutual agreement, Genzyme will provide in-kind services valued at up to $5.0 million; and (iii) expenses of certain activities under the VY-HTT01 development plan may be funded to the extent such activities are reimbursed through financial support that Genzyme may receive from a disease foundation group.</w:t>
      </w:r>
    </w:p>
    <w:p>
      <w:pPr>
        <w:spacing w:after="0" w:line="155"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Other than the VY-AADC01 program (for which a POP Study has already been commenced), if we do not initiate a POP Study for a given Split Territory Program by December 31, 2026 (or for the Future Program by the tenth anniversary of the date the Future Program is nominated by Genzyme), and Genzyme has not terminated this agreement with respect to such Collaboration program, then Genzyme shall be entitled, at its sole and exclusive remedy, to a credit of $10.0 million for each such program against other amounts payable by Genzyme under the Collaboration. However, if we do not initiate a POP Study by such date as a result of a regulatory delay or a force majeure event, such time period shall be extended for so long as such regulatory delay or force majeure event continues and we shall not be deemed to have failed to initiate a POP Study.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Post-Option Exercise</w:t>
      </w:r>
    </w:p>
    <w:p>
      <w:pPr>
        <w:spacing w:after="0" w:line="22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Upon Genzyme's exercise of its option to license a given product in a Split Territory Program, which we refer to as a Split Territory Licensed Product, we will have sole responsibility for the development of such Split Territory Licensed Product in the United States and Genzyme shall have sole responsibility for development of such Split Territory Licensed Product in the rest of the world. We and Genzyme will have shared responsibility for execution of ongoing development of such Split Territory Licensed Product that is not specific to either of our territories, including costs associated therewith.</w:t>
      </w:r>
    </w:p>
    <w:p>
      <w:pPr>
        <w:spacing w:after="0" w:line="169" w:lineRule="exact"/>
        <w:rPr>
          <w:sz w:val="20"/>
          <w:szCs w:val="20"/>
          <w:color w:val="auto"/>
        </w:rPr>
      </w:pPr>
    </w:p>
    <w:p>
      <w:pPr>
        <w:ind w:right="40" w:firstLine="332"/>
        <w:spacing w:after="0" w:line="315" w:lineRule="auto"/>
        <w:rPr>
          <w:sz w:val="20"/>
          <w:szCs w:val="20"/>
          <w:color w:val="auto"/>
        </w:rPr>
      </w:pPr>
      <w:r>
        <w:rPr>
          <w:rFonts w:ascii="Arial" w:cs="Arial" w:eastAsia="Arial" w:hAnsi="Arial"/>
          <w:sz w:val="16"/>
          <w:szCs w:val="16"/>
          <w:color w:val="auto"/>
        </w:rPr>
        <w:t>A steering committee for each Program will review and approve a written plan and budget for each relevant program. In addition, all development activities to be undertaken with respect to each Split Territory Licensed Product by or on behalf of either party will be set forth in a written development plan.</w:t>
      </w:r>
    </w:p>
    <w:p>
      <w:pPr>
        <w:spacing w:after="0" w:line="146"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Genzyme shall have the sole right to develop VY-SMN101 worldwide. Genzyme shall be responsible for all of the development costs that occur after the option exercise date for VY-SMN101.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Commercialization</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shall be solely responsible, at our expense, for all commercialization activities relating to Split Territory Licensed Products in the United States. Genzyme shall be solely responsible, at its expense, for all commercialization activities relating to Split Territory Licensed Products in the rest of the world. If Genzyme has exercised the co-commercialization option, Genzyme will be the lead party responsible for all commercialization activities relating to the Huntington's disease product in the United States. If Genzyme has exercised its option to co-commercialize VY-HTT01 in the United States, commercialization activities that are undertaken for VY-HTT01 in the United States will be set forth in reasonable detail in a written commercialization plan.</w:t>
      </w:r>
    </w:p>
    <w:p>
      <w:pPr>
        <w:spacing w:after="0" w:line="174" w:lineRule="exact"/>
        <w:rPr>
          <w:sz w:val="20"/>
          <w:szCs w:val="20"/>
          <w:color w:val="auto"/>
        </w:rPr>
      </w:pPr>
    </w:p>
    <w:p>
      <w:pPr>
        <w:jc w:val="both"/>
        <w:ind w:right="260" w:firstLine="341"/>
        <w:spacing w:after="0" w:line="352" w:lineRule="auto"/>
        <w:rPr>
          <w:sz w:val="20"/>
          <w:szCs w:val="20"/>
          <w:color w:val="auto"/>
        </w:rPr>
      </w:pPr>
      <w:r>
        <w:rPr>
          <w:rFonts w:ascii="Arial" w:cs="Arial" w:eastAsia="Arial" w:hAnsi="Arial"/>
          <w:sz w:val="15"/>
          <w:szCs w:val="15"/>
          <w:color w:val="auto"/>
        </w:rPr>
        <w:t>Genzyme shall be solely responsible, at its expense, for all commercialization activities relating to VY-SMN101 worldwide. Genzyme shall use commercially reasonable efforts to commercialize VY-SMN101 in each major market specified in the agreement where Genzyme has obtained required governmental approvals.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Financial Terms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received $65.0 million in upfront cash, a $30.0 million upfront equity investment and an in-kind commitment of $5.0 million, totalling $100 million.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Genzyme exercises its option for a collaboration program, with the exception of VY-AADC01, Genzyme is required to make an option exercise payment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$20.0 million or $30.0 million for each program. In addition, Genzyme shall pay us up to $645 million across product programs upon the achievement of specified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regulatory and commercial milestones.</w:t>
      </w:r>
    </w:p>
    <w:p>
      <w:pPr>
        <w:spacing w:after="0" w:line="218"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In addition, to the extent any Split Territory Licensed Product or the VY-SMN101 Product is commercialized, we are entitled to receive tiered royalty payments ranging from the mid-single digits to mid-teens based on a percentage of net sales. Genzyme is entitled to receive royalty payments from us related to sales of the Split Territory Licensed Products ranging from the low-single digits to mid-single digits, depending on whether we use Genzyme technology in a Split Territory Licensed Product or the VY-SMN101 Product. If Genzyme exercises its option to co-commercialize VY-HTT01 in the United States, we will share any profits or losses from VY-HTT01 product sales.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 And Termination; Remedies</w:t>
      </w:r>
    </w:p>
    <w:p>
      <w:pPr>
        <w:spacing w:after="0" w:line="224" w:lineRule="exact"/>
        <w:rPr>
          <w:sz w:val="20"/>
          <w:szCs w:val="20"/>
          <w:color w:val="auto"/>
        </w:rPr>
      </w:pPr>
    </w:p>
    <w:p>
      <w:pPr>
        <w:ind w:right="720" w:firstLine="341"/>
        <w:spacing w:after="0" w:line="282" w:lineRule="auto"/>
        <w:rPr>
          <w:sz w:val="20"/>
          <w:szCs w:val="20"/>
          <w:color w:val="auto"/>
        </w:rPr>
      </w:pPr>
      <w:r>
        <w:rPr>
          <w:rFonts w:ascii="Arial" w:cs="Arial" w:eastAsia="Arial" w:hAnsi="Arial"/>
          <w:sz w:val="17"/>
          <w:szCs w:val="17"/>
          <w:color w:val="auto"/>
        </w:rPr>
        <w:t>Our collaboration agreement with Genzyme will continue in effect until the later of (i) the expiration of the last to expire of the option rights and (ii) the expiration of all payment obligations unless sooner terminated by us or Genzyme.</w:t>
      </w:r>
    </w:p>
    <w:p>
      <w:pPr>
        <w:spacing w:after="0" w:line="170"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We and Genzyme have customary termination rights including the right to terminate for an uncured material breach of the agreement committed by the other party and Genzyme has the right to terminate for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Agreement with University of Massachusetts</w:t>
      </w:r>
    </w:p>
    <w:p>
      <w:pPr>
        <w:spacing w:after="0" w:line="224"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On January 30, 2014, we entered into a license agreement with the University of Massachusetts, or UMass, pursuant to which UMass granted us an exclusive, worldwide, royalty-bearing license to certain of its licensed patents to make, have made, use, offer for sale, sell, have sold and import certain licensed products in the field of human diseases that use gene therapy applications. Our license is subject to any rights that may be required to be granted to the government of the United States, and UMass reserves the right to use the licensed patents for education and research and, with our consent, for non-commercial patient care, without the payment of any compensation to us.</w:t>
      </w:r>
    </w:p>
    <w:p>
      <w:pPr>
        <w:spacing w:after="0" w:line="187"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In consideration for rights granted to us under the agreement, we made an upfront payment of $200,000 to UMass. We are obligated to pay UMass (i) low-single digit royalty payments based on net sales of the licensed products, (ii) annual maintenance payments of $30,000, which are creditable against royalties payable in such period, (iii) minimum aggregate annual royalty payments that are creditable against royalties payable in such period, with the minimum aggregate amount payable being in the low-six digits for each of the first four years of this agreement and a minimum aggregate amount payable being in the mid-six digits for each year, thereafter, (iv) milestone payments of up to $1.8 million, per licensed product for the first five licensed products, based on the achievement of development and regulatory milestones and (v) a percentage of sublicensing income that decreases over time from low double digit percentages to a mid-single digit percentage. We also agreed to reimburse UMass approximately $678,000 for patent related expenses incurred by UMass as of the effective date of the agreement over a two year period.</w:t>
      </w:r>
    </w:p>
    <w:p>
      <w:pPr>
        <w:spacing w:after="0" w:line="164"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Under the agreement, we agreed to use commercially reasonable efforts to develop licensed products and to introduce such licensed products into the commercial market, and further agreed to certain development milestones.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agreement will terminate on the date that is the later of (i) seven years after the first commercial sale of the last licensed product under the agreement or</w:t>
      </w:r>
    </w:p>
    <w:p>
      <w:pPr>
        <w:spacing w:after="0" w:line="43" w:lineRule="exact"/>
        <w:rPr>
          <w:sz w:val="20"/>
          <w:szCs w:val="20"/>
          <w:color w:val="auto"/>
        </w:rPr>
      </w:pPr>
    </w:p>
    <w:p>
      <w:pPr>
        <w:jc w:val="both"/>
        <w:ind w:right="100" w:firstLine="5"/>
        <w:spacing w:after="0" w:line="343" w:lineRule="auto"/>
        <w:tabs>
          <w:tab w:leader="none" w:pos="251" w:val="left"/>
        </w:tabs>
        <w:numPr>
          <w:ilvl w:val="0"/>
          <w:numId w:val="84"/>
        </w:numPr>
        <w:rPr>
          <w:rFonts w:ascii="Arial" w:cs="Arial" w:eastAsia="Arial" w:hAnsi="Arial"/>
          <w:sz w:val="15"/>
          <w:szCs w:val="15"/>
          <w:color w:val="auto"/>
        </w:rPr>
      </w:pPr>
      <w:r>
        <w:rPr>
          <w:rFonts w:ascii="Arial" w:cs="Arial" w:eastAsia="Arial" w:hAnsi="Arial"/>
          <w:sz w:val="15"/>
          <w:szCs w:val="15"/>
          <w:color w:val="auto"/>
        </w:rPr>
        <w:t>such time as there are no valid claims covering a licensed product. We have the right to terminate the agreement for any reason upon 90 days prior written notice, and we and UMass have the right to terminate the agreement if the other party fails to cure a written breach within 60 days of receiving written notice of such breach.</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MassBiologics and UMass Collaboration Agreement</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On October 20, 2014, we entered into a Collaboration Agreement with UMass and MassBiologics, pursuant to which we shall (i) fund certain projects that will be conducted by UMass or MassBiologics, (ii) fund certain educational programs of UMass, including post-doctoral research at our laboratories beginning in 2015 and an annual lecture series beginning in 2015 and (iii) collaborate with MassBiologics to establish scalable processes for manufacturing recombinant AAV vector products using cGMP.</w:t>
      </w:r>
    </w:p>
    <w:p>
      <w:pPr>
        <w:spacing w:after="0" w:line="185"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In November 2014, we agreed to the first project under this agreement whereby we will fund approximately $2.9 million over a 16-month period for certain research and development services performed by MassBiologics. The project commenced in January 2015. If the agreement is terminated for any reason, we are obligated to fund the remaining balance of the total price of all work completed and any other out of pocket costs incurred by MassBiologics. We and UMass and/or MassBiologics may agree to conduct other projects in the future, the terms of which will be agreed upon at such time.</w:t>
      </w:r>
    </w:p>
    <w:p>
      <w:pPr>
        <w:spacing w:after="0" w:line="16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This agreement will remain in effect for a period of five years and automatically renews for additional one year periods. Either party has the right to terminate this agreement, once in each renewal period, for any reason upon providing the other party with 90 days written notice or in the event of a material breach of the agreement by the other party that is not cured within 60 days of written notice.</w:t>
      </w:r>
    </w:p>
    <w:p>
      <w:pPr>
        <w:spacing w:after="0" w:line="179"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We will own all intellectual property rights generated under this agreement, either by our employees, UMass and/or MassBiologics employees, or jointly by our employees and UMass and/or MassBiologics employees, that cover AAV materials. We and UMass and/or MassBiologics, as applicable, will jointly own any intellectual property rights generated under this agreement jointly by our employees and the employees of UMass and/or MassBiologics, as applicable, that do not cover AAV materials.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Agreement with REGENX</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May 2014, we entered into a license agreement with REGENXBIO Inc., formerly known as ReGenX Biosciences, LLC, or REGENX, for the development and commercialization of gene therapies to treat ALS, Friedreich's ataxia and Huntington's disease. Under this license agreement, REGENX granted us a non-exclusive worldwide license to make, have made and use its technology solely for internal research and preclinical development for the identification of specific vectors that could be commercialized. Following identification, we have an option to obtain a non-exclusive worldwide license under the licensed intellectual property to a single specified AAV vector to make, have made, use, import, sell and offer for sale licensed products using the selected vector, which can be exercised for each of ALS, Friedreich's ataxia, or Huntington's disease.</w:t>
      </w:r>
    </w:p>
    <w:p>
      <w:pPr>
        <w:spacing w:after="0" w:line="188"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Under the terms of this license agreement, we paid REGENX an upfront fee of $500,000, an extension fee of $100,000 and are required to make an annual maintenance fee in the five digits. If we exercise any or all of the commercial options by a specified date, we will be required to make upfront payments to REGENX of up to $1.5 million and to pay to REGENX an annual maintenance fee payment ranging from five digits to six digits depending on the number of disease indication options exercised. In addition, we will be required to pay to RENGENX up to $5.0 million in milestone fees per disease indication, mid- to high-single digit royalty percentages on net sales of licensed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low- to mid-single digit percentages of any sublicense fees that we receive from sublicensees for the licensed intellectual property rights.</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Our license agreement with REGENX will expire upon the expiration, lapse, abandonment, or invalidation of the last claim of the licensed intellectual property to expire, lapse, or become abandoned or unenforceable in all the countries of the world. The license agreement will automatically terminate if we do not exercise any commercial options within a specified time period after entering into the license agreement, which may be extended. We may terminate the license agreement upon a specified number of days prior written notice. REGENX may terminate the license agreement if we, our affiliates, or sublicensees experience insolvency, if we are more than a specified number of days late in paying money due under the license agreement, or, effective immediately, if we or our affiliates commence any action against REGENX or its licensors to declare or render any claim of the licensed patent rights invalid or unenforceable. Either party may terminate the license agreement for material breach that is not cured within a specified number of days.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100" w:firstLine="338"/>
        <w:spacing w:after="0" w:line="306" w:lineRule="auto"/>
        <w:rPr>
          <w:sz w:val="20"/>
          <w:szCs w:val="20"/>
          <w:color w:val="auto"/>
        </w:rPr>
      </w:pPr>
      <w:r>
        <w:rPr>
          <w:rFonts w:ascii="Arial" w:cs="Arial" w:eastAsia="Arial" w:hAnsi="Arial"/>
          <w:sz w:val="15"/>
          <w:szCs w:val="15"/>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product engine,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59" w:lineRule="exact"/>
        <w:rPr>
          <w:sz w:val="20"/>
          <w:szCs w:val="20"/>
          <w:color w:val="auto"/>
        </w:rPr>
      </w:pPr>
    </w:p>
    <w:p>
      <w:pPr>
        <w:ind w:right="20" w:firstLine="338"/>
        <w:spacing w:after="0" w:line="263" w:lineRule="auto"/>
        <w:rPr>
          <w:sz w:val="20"/>
          <w:szCs w:val="20"/>
          <w:color w:val="auto"/>
        </w:rPr>
      </w:pPr>
      <w:r>
        <w:rPr>
          <w:rFonts w:ascii="Arial" w:cs="Arial" w:eastAsia="Arial" w:hAnsi="Arial"/>
          <w:sz w:val="17"/>
          <w:szCs w:val="17"/>
          <w:color w:val="auto"/>
        </w:rPr>
        <w:t>We are aware of several companies focused on developing gene therapies in various indications, including bluebird bio, Inc., Applied Genetic Technologies Corporation, Asklepios BioPharmaceutical, Inc., Audentes Therapeutics, Inc., Avalanche Biotechnologies, Inc., Dimension Therapeutics, Inc., GenSight Biologies SA, NightstaRx Ltd, REGENX, uniQure and Spark Therapeutics, Inc.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87"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We expect that VY-AADC01 will compete with a variety of therapies currently marketed and in development for advanced Parkinson's disease, including DBS marked by Medtronic plc, St. Jude Medical, Inc. and other medical device companies, DUOPA/Duodopa marketed by AbbVie Inc., as well as potentially AMT-090 or AAV-GDNF in development at uniQure NV, or uniQure, OXB-102/Prosavin in development at Oxford Biomedica plc, and ND0612H in development at NeuroDerm Ltd.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that our other preclinical programs will compete with a variety of therapies in development, including:</w:t>
      </w:r>
    </w:p>
    <w:p>
      <w:pPr>
        <w:spacing w:after="0" w:line="237" w:lineRule="exact"/>
        <w:rPr>
          <w:sz w:val="20"/>
          <w:szCs w:val="20"/>
          <w:color w:val="auto"/>
        </w:rPr>
      </w:pPr>
    </w:p>
    <w:p>
      <w:pPr>
        <w:ind w:left="1060" w:right="58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VY-SOD101 for a monogenic form of ALS will potentially compete with ISIS 333611 being developed by Isis Pharmaceuticals, Inc., or Isis, in collaboration with Biogen Idec., or Biogen and Tirasemtiv being developed by Cytokinetics, Inc., or Cytokinetics;</w:t>
      </w:r>
    </w:p>
    <w:p>
      <w:pPr>
        <w:spacing w:after="0" w:line="196"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VY-FXN01 for Friedreich's ataxia will potentially compete with RG2833 being developed by BioMarin Pharmaceutical Inc., AAV-FXN being developed by AAVLife, and frataxin targeted gene therapy being developed by Agilis Biotherapeutics, LLC in collaboration with Intrexon Corporation and BB-FA being developed by BioBlast Pharma Ltd., or BioBlast;</w:t>
      </w:r>
    </w:p>
    <w:p>
      <w:pPr>
        <w:spacing w:after="0" w:line="192" w:lineRule="exact"/>
        <w:rPr>
          <w:rFonts w:ascii="Arial" w:cs="Arial" w:eastAsia="Arial" w:hAnsi="Arial"/>
          <w:sz w:val="17"/>
          <w:szCs w:val="17"/>
          <w:color w:val="auto"/>
        </w:rPr>
      </w:pPr>
    </w:p>
    <w:p>
      <w:pPr>
        <w:ind w:left="1060" w:right="740" w:hanging="531"/>
        <w:spacing w:after="0" w:line="28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VY-HTT01 for Huntington's disease will potentially compete with ISIS-HTTRx being developed by Isis in collaboration with F. Hoffman-La Roche Ltd., or Roche, gene editing approach being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developed by Sangamo Biosciences, Inc. in collaboration with Shire plc, and another gene therapy being developed by uniQure; and</w:t>
      </w:r>
    </w:p>
    <w:p>
      <w:pPr>
        <w:spacing w:after="0" w:line="114" w:lineRule="exact"/>
        <w:rPr>
          <w:sz w:val="20"/>
          <w:szCs w:val="20"/>
          <w:color w:val="auto"/>
        </w:rPr>
      </w:pPr>
    </w:p>
    <w:p>
      <w:pPr>
        <w:ind w:left="1060" w:right="80" w:hanging="531"/>
        <w:spacing w:after="0" w:line="291"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VY-SMN101 for spinal muscular atrophy will potentially compete with ChariSMA being developed by AveXis Inc., ISIS-SMN</w:t>
      </w:r>
      <w:r>
        <w:rPr>
          <w:rFonts w:ascii="Arial" w:cs="Arial" w:eastAsia="Arial" w:hAnsi="Arial"/>
          <w:sz w:val="26"/>
          <w:szCs w:val="26"/>
          <w:color w:val="auto"/>
          <w:vertAlign w:val="subscript"/>
        </w:rPr>
        <w:t>RX</w:t>
      </w:r>
      <w:r>
        <w:rPr>
          <w:rFonts w:ascii="Arial" w:cs="Arial" w:eastAsia="Arial" w:hAnsi="Arial"/>
          <w:sz w:val="16"/>
          <w:szCs w:val="16"/>
          <w:color w:val="auto"/>
        </w:rPr>
        <w:t xml:space="preserve"> being developed by Isis and Biogen, LMI-070 being developed by Novartis AC, RO6885247 being developed by PTC Therapeutics, Inc. and Roche, BBrm1 being developed by BioBlast and CK-2127107 being developed by Cytokinetics in collaboration with Astellas Pharma US, Inc.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addition, companies that are currently engaged in gene therapy for non-CNS diseases could at any time decide to develop gene therapies for CNS diseases.</w:t>
      </w:r>
    </w:p>
    <w:p>
      <w:pPr>
        <w:spacing w:after="0" w:line="247"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18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69" w:lineRule="exact"/>
        <w:rPr>
          <w:sz w:val="20"/>
          <w:szCs w:val="20"/>
          <w:color w:val="auto"/>
        </w:rPr>
      </w:pPr>
    </w:p>
    <w:p>
      <w:pPr>
        <w:jc w:val="both"/>
        <w:ind w:right="140" w:firstLine="338"/>
        <w:spacing w:after="0" w:line="270" w:lineRule="auto"/>
        <w:rPr>
          <w:sz w:val="20"/>
          <w:szCs w:val="20"/>
          <w:color w:val="auto"/>
        </w:rPr>
      </w:pPr>
      <w:r>
        <w:rPr>
          <w:rFonts w:ascii="Arial" w:cs="Arial" w:eastAsia="Arial" w:hAnsi="Arial"/>
          <w:sz w:val="17"/>
          <w:szCs w:val="17"/>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179" w:lineRule="exact"/>
        <w:rPr>
          <w:sz w:val="20"/>
          <w:szCs w:val="20"/>
          <w:color w:val="auto"/>
        </w:rPr>
      </w:pPr>
    </w:p>
    <w:p>
      <w:pPr>
        <w:jc w:val="both"/>
        <w:ind w:right="160" w:firstLine="341"/>
        <w:spacing w:after="0" w:line="265"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4" w:lineRule="exact"/>
        <w:rPr>
          <w:sz w:val="20"/>
          <w:szCs w:val="20"/>
          <w:color w:val="auto"/>
        </w:rPr>
      </w:pPr>
    </w:p>
    <w:p>
      <w:pPr>
        <w:ind w:right="180" w:firstLine="338"/>
        <w:spacing w:after="0" w:line="283" w:lineRule="auto"/>
        <w:rPr>
          <w:sz w:val="20"/>
          <w:szCs w:val="20"/>
          <w:color w:val="auto"/>
        </w:rPr>
      </w:pPr>
      <w:r>
        <w:rPr>
          <w:rFonts w:ascii="Arial" w:cs="Arial" w:eastAsia="Arial" w:hAnsi="Arial"/>
          <w:sz w:val="16"/>
          <w:szCs w:val="16"/>
          <w:color w:val="auto"/>
        </w:rPr>
        <w:t>We strive to protect the proprietary technology, inventions, and to enhance improvements that are commercially important to the development of our business, including seeking, maintaining, and defending patent rights, whether developed internally or licensed from third parties. We also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87"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have 21 patent applications pending in the United States and foreign jurisdictions. At least 18 patent applications have been filed and are pending in the United States and foreign jurisdictions by or on behalf of universities which have granted us exclusive license rights to the technology. To date, 24 patents have issued to our licensors which have granted us exclusive license rights to the technology. To date, 26 patents have issued to our licensors which have granted us non-exclusive license rights to the technology with 12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research tools and methods, methods for transferring genetic material into cells, AAV-based biological products, methods of designing novel AAV constructs, methods for treating diseases of interest and methods for manufacturing our AAV-based products. We also intend to seek patent protection or rely upon trade secret rights to 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Company-Owned Intellectual Property</w:t>
      </w:r>
    </w:p>
    <w:p>
      <w:pPr>
        <w:spacing w:after="0" w:line="224" w:lineRule="exact"/>
        <w:rPr>
          <w:sz w:val="20"/>
          <w:szCs w:val="20"/>
          <w:color w:val="auto"/>
        </w:rPr>
      </w:pPr>
    </w:p>
    <w:p>
      <w:pPr>
        <w:jc w:val="both"/>
        <w:ind w:right="160" w:firstLine="338"/>
        <w:spacing w:after="0" w:line="270" w:lineRule="auto"/>
        <w:rPr>
          <w:sz w:val="20"/>
          <w:szCs w:val="20"/>
          <w:color w:val="auto"/>
        </w:rPr>
      </w:pPr>
      <w:r>
        <w:rPr>
          <w:rFonts w:ascii="Arial" w:cs="Arial" w:eastAsia="Arial" w:hAnsi="Arial"/>
          <w:sz w:val="17"/>
          <w:szCs w:val="17"/>
          <w:color w:val="auto"/>
        </w:rPr>
        <w:t>We own a patent application directed to capsid engineering and domain swapping. This application is pending in the United States, and was filed internationally on June 9, 2015 in combination with our application directed to AAV production. Patents that grant from this patent family are generally expected to expire in 2035, subject to possible patent term extensions.</w:t>
      </w:r>
    </w:p>
    <w:p>
      <w:pPr>
        <w:spacing w:after="0" w:line="179"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We own a patent application directed to AAV production. This application is pending in the United States, and was filed internationally on June 9, 2015 in combination with our application directed to capsid engineering and domain swapping. Patents that grant from this patent family are generally expected to expire in 2035, subject to possible patent term extensions.</w:t>
      </w:r>
    </w:p>
    <w:p>
      <w:pPr>
        <w:spacing w:after="0" w:line="179"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We own two patent families with a total of four patent applications directed to AAV constructs encoding the gene AADC for therapeutic uses. These applications are pending in the United States, and are due to convert at the earliest on November 5, 2015. Patents that grant from this patent family are generally expected to expire in 2035, subject to possible patent term extensions.</w:t>
      </w:r>
    </w:p>
    <w:p>
      <w:pPr>
        <w:spacing w:after="0" w:line="179" w:lineRule="exact"/>
        <w:rPr>
          <w:sz w:val="20"/>
          <w:szCs w:val="20"/>
          <w:color w:val="auto"/>
        </w:rPr>
      </w:pPr>
    </w:p>
    <w:p>
      <w:pPr>
        <w:ind w:right="380" w:firstLine="338"/>
        <w:spacing w:after="0" w:line="315" w:lineRule="auto"/>
        <w:rPr>
          <w:sz w:val="20"/>
          <w:szCs w:val="20"/>
          <w:color w:val="auto"/>
        </w:rPr>
      </w:pPr>
      <w:r>
        <w:rPr>
          <w:rFonts w:ascii="Arial" w:cs="Arial" w:eastAsia="Arial" w:hAnsi="Arial"/>
          <w:sz w:val="16"/>
          <w:szCs w:val="16"/>
          <w:color w:val="auto"/>
        </w:rPr>
        <w:t>We own three patent applications directed to targeting SOD1 for the treatment of ALS. This application is pending in the United States, and is due to convert November 14, 2015. Patents that grant from this patent family are generally expected to expire in 2035, subject to possible patent term extensions.</w:t>
      </w:r>
    </w:p>
    <w:p>
      <w:pPr>
        <w:spacing w:after="0" w:line="146"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We own three patent applications directed to delivery of AAV gene therapies to the CNS. These applications are pending in the United States, and are due to convert January 16, 2016. Patents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grant from this patent family are generally expected to expire in 2036, subject to possible patent term extensions.</w:t>
      </w:r>
    </w:p>
    <w:p>
      <w:pPr>
        <w:spacing w:after="0" w:line="224"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We own a patent application directed to the production of scAAV particles. This application is pending in the United States, and is due to convert December 12, 2015. Patents that grant from this patent family are generally expected to expire in 2035, subject to possible patent term extensions.</w:t>
      </w:r>
    </w:p>
    <w:p>
      <w:pPr>
        <w:spacing w:after="0" w:line="170" w:lineRule="exact"/>
        <w:rPr>
          <w:sz w:val="20"/>
          <w:szCs w:val="20"/>
          <w:color w:val="auto"/>
        </w:rPr>
      </w:pPr>
    </w:p>
    <w:p>
      <w:pPr>
        <w:ind w:right="300" w:firstLine="338"/>
        <w:spacing w:after="0" w:line="315" w:lineRule="auto"/>
        <w:rPr>
          <w:sz w:val="20"/>
          <w:szCs w:val="20"/>
          <w:color w:val="auto"/>
        </w:rPr>
      </w:pPr>
      <w:r>
        <w:rPr>
          <w:rFonts w:ascii="Arial" w:cs="Arial" w:eastAsia="Arial" w:hAnsi="Arial"/>
          <w:sz w:val="16"/>
          <w:szCs w:val="16"/>
          <w:color w:val="auto"/>
        </w:rPr>
        <w:t>We own three patent applications directed to the design of AAV drug delivery cassettes. This application is pending in the United States, and is due to convert November 14, 2015. Patents that grant from this patent family are generally expected to expire in 2035, subject to possible patent term extensions.</w:t>
      </w:r>
    </w:p>
    <w:p>
      <w:pPr>
        <w:spacing w:after="0" w:line="146"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We own two patent applications directed to regulatable expression control of AAV transgenes. These applications are pending in the United States, and are due to convert at the earliest on February 23, 2016. Patents that grant from this patent family are generally expected to expire in 2036, subject to possible patent term extensions.</w:t>
      </w:r>
    </w:p>
    <w:p>
      <w:pPr>
        <w:spacing w:after="0" w:line="179" w:lineRule="exact"/>
        <w:rPr>
          <w:sz w:val="20"/>
          <w:szCs w:val="20"/>
          <w:color w:val="auto"/>
        </w:rPr>
      </w:pPr>
    </w:p>
    <w:p>
      <w:pPr>
        <w:jc w:val="both"/>
        <w:ind w:right="280" w:firstLine="338"/>
        <w:spacing w:after="0" w:line="270" w:lineRule="auto"/>
        <w:rPr>
          <w:sz w:val="20"/>
          <w:szCs w:val="20"/>
          <w:color w:val="auto"/>
        </w:rPr>
      </w:pPr>
      <w:r>
        <w:rPr>
          <w:rFonts w:ascii="Arial" w:cs="Arial" w:eastAsia="Arial" w:hAnsi="Arial"/>
          <w:sz w:val="17"/>
          <w:szCs w:val="17"/>
          <w:color w:val="auto"/>
        </w:rPr>
        <w:t>We own two patent applications directed to AAVs encoding frataxin constructs for the treatment of Friedreich's Ataxia. These applications are pending in the United States, and are due to convert at the earliest on April 24, 2016. Patents that grant from this patent family are generally expected to expire in 2036, subject to possible patent term extensions.</w:t>
      </w:r>
    </w:p>
    <w:p>
      <w:pPr>
        <w:spacing w:after="0" w:line="179" w:lineRule="exact"/>
        <w:rPr>
          <w:sz w:val="20"/>
          <w:szCs w:val="20"/>
          <w:color w:val="auto"/>
        </w:rPr>
      </w:pPr>
    </w:p>
    <w:p>
      <w:pPr>
        <w:ind w:right="580" w:firstLine="338"/>
        <w:spacing w:after="0" w:line="315" w:lineRule="auto"/>
        <w:rPr>
          <w:sz w:val="20"/>
          <w:szCs w:val="20"/>
          <w:color w:val="auto"/>
        </w:rPr>
      </w:pPr>
      <w:r>
        <w:rPr>
          <w:rFonts w:ascii="Arial" w:cs="Arial" w:eastAsia="Arial" w:hAnsi="Arial"/>
          <w:sz w:val="16"/>
          <w:szCs w:val="16"/>
          <w:color w:val="auto"/>
        </w:rPr>
        <w:t>We own one patent application directed to the design of Inverted Terminal Repeats. This application is pending in the United States, and is due to convert August 11, 2016. Patents that grant from this patent family are generally expected to expire in 2036, subject to possible patent term extensions.</w:t>
      </w:r>
    </w:p>
    <w:p>
      <w:pPr>
        <w:spacing w:after="0" w:line="146"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We have filed a patent application directed to pharmaceutical compositions and methods for the treatment of ALS to protect our intellectual property arising from a funded grant from The Amyotrophic Lateral Sclerosis Association. This application is pending in the United States, and is due to convert April 30, 2016. Patents that grant from this patent family are generally expected to expire in 2036, subject to possible patent term extensions.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Licensed Intellectual Property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obtained exclusive licenses and non-exclusive licenses to patents directed to both compositions of matter and methods of use.</w:t>
      </w:r>
    </w:p>
    <w:p>
      <w:pPr>
        <w:spacing w:after="0" w:line="224"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We have licensed six families of patents and patent applications, in the exclusive field of gene therapy for human diseases, directed to RNAi constructs as vector payloads, their design and use in the treatment of CNS disorders from the University of Massachusetts. This family of patents and applications is pending and/or granted in the United States and other territories and comprises 36 granted patents and 18 applications. Patents have been granted in the United States, Canada, Europe, Israel, Japan, Korea and Australia. Nationalization for some members has taken place in Germany, Spain, France, Great Britain Italy, and Sweden. Patents that grant from these patent families are generally expected to expire between 2022 and 2025, subject to possible patent term extensions.</w:t>
      </w:r>
    </w:p>
    <w:p>
      <w:pPr>
        <w:spacing w:after="0" w:line="174" w:lineRule="exact"/>
        <w:rPr>
          <w:sz w:val="20"/>
          <w:szCs w:val="20"/>
          <w:color w:val="auto"/>
        </w:rPr>
      </w:pPr>
    </w:p>
    <w:p>
      <w:pPr>
        <w:ind w:right="20" w:firstLine="338"/>
        <w:spacing w:after="0" w:line="322" w:lineRule="auto"/>
        <w:rPr>
          <w:sz w:val="20"/>
          <w:szCs w:val="20"/>
          <w:color w:val="auto"/>
        </w:rPr>
      </w:pPr>
      <w:r>
        <w:rPr>
          <w:rFonts w:ascii="Arial" w:cs="Arial" w:eastAsia="Arial" w:hAnsi="Arial"/>
          <w:sz w:val="15"/>
          <w:szCs w:val="15"/>
          <w:color w:val="auto"/>
        </w:rPr>
        <w:t>We have exclusively licensed three families of patents and patent applications directed to novel AAV capsids from the University of Massachusetts. These families of patents and applications, pending and/or granted in the United States, comprise of 2 granted patents and 7 applications. The two patents were granted in the United States. Patents that grant from these patent families are generally expected to expire between 2030 and 2035, subject to possible patent term extensions.</w:t>
      </w:r>
    </w:p>
    <w:p>
      <w:pPr>
        <w:spacing w:after="0" w:line="145" w:lineRule="exact"/>
        <w:rPr>
          <w:sz w:val="20"/>
          <w:szCs w:val="20"/>
          <w:color w:val="auto"/>
        </w:rPr>
      </w:pPr>
    </w:p>
    <w:p>
      <w:pPr>
        <w:ind w:right="180" w:firstLine="338"/>
        <w:spacing w:after="0" w:line="315" w:lineRule="auto"/>
        <w:rPr>
          <w:sz w:val="20"/>
          <w:szCs w:val="20"/>
          <w:color w:val="auto"/>
        </w:rPr>
      </w:pPr>
      <w:r>
        <w:rPr>
          <w:rFonts w:ascii="Arial" w:cs="Arial" w:eastAsia="Arial" w:hAnsi="Arial"/>
          <w:sz w:val="16"/>
          <w:szCs w:val="16"/>
          <w:color w:val="auto"/>
        </w:rPr>
        <w:t>We have non-exclusively licensed a patent family directed to production methods for AAV in insect cells from the NIH, U.S. Department of Health and Human Services. This family of patents is granted in the United States, Canada, Australia and Europe and further nationalized in Germany, France 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Great Britain and comprises eight granted patents. Patents that grant from this patent family are generally expected to expire in 2022, subject to possible patent term extensions.</w:t>
      </w:r>
    </w:p>
    <w:p>
      <w:pPr>
        <w:spacing w:after="0" w:line="170" w:lineRule="exact"/>
        <w:rPr>
          <w:sz w:val="20"/>
          <w:szCs w:val="20"/>
          <w:color w:val="auto"/>
        </w:rPr>
      </w:pPr>
    </w:p>
    <w:p>
      <w:pPr>
        <w:ind w:right="180" w:firstLine="338"/>
        <w:spacing w:after="0" w:line="294" w:lineRule="auto"/>
        <w:rPr>
          <w:sz w:val="20"/>
          <w:szCs w:val="20"/>
          <w:color w:val="auto"/>
        </w:rPr>
      </w:pPr>
      <w:r>
        <w:rPr>
          <w:rFonts w:ascii="Arial" w:cs="Arial" w:eastAsia="Arial" w:hAnsi="Arial"/>
          <w:sz w:val="16"/>
          <w:szCs w:val="16"/>
          <w:color w:val="auto"/>
        </w:rPr>
        <w:t>We have licensed two families of patents and patent applications directed to novel AAV capsids from the Board of Trustees of the Leland Stanford Junior University. These families of patents and applications, pending and/or granted in the United States, comprise four granted patents and five applications. Patents that grant from these patent families are generally expected to expire between 2027 and 2032, subject to possible patent term extensions.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Trademark Protection</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We have filed and obtained trademark protection for the VOYAGER THERAPEUTICS character mark for pharmaceutical research and development in the field of gene therapy. The mark is listed on the Principal Register, Registration No. 4545283.</w:t>
      </w:r>
    </w:p>
    <w:p>
      <w:pPr>
        <w:spacing w:after="0" w:line="170"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We have filed and obtained trademark protection for the VOYAGER THERAPEUTICS service mark logo for pharmaceutical research and development in the field of gene therapy. The mark is listed on the Principal Register, Registration No. 4621083.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plan to register trademarks in connection with our biological products.</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 Secret Protection</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8"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color w:val="auto"/>
        </w:rPr>
        <w:t>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purity, potency, efficacy, labeling, packaging, storage, record keeping, distribution, import, export, reporting, advertising and other promotional practices involving biological products. FDA approval must be obtained before clinical testing of biological products, and each clinical study protocol for a gene therapy product is reviewed by the FDA and, in some instances, the NIH, through its RAC. FDA approval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Within the FDA, the Center for Biologics Evaluation and Research, or CBER, regulates gene therapy products.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viral shedding, environmental assessments, potency testing, and chemistry, manufacturing and control information in gene therapy INDs. FDA guidance documents provide the agency's current thinking about a particular subject, but are not legally binding.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Biological Products Development Process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process required by the FDA before a biological product may be marketed in the United States generally involves the following:</w:t>
      </w:r>
    </w:p>
    <w:p>
      <w:pPr>
        <w:spacing w:after="0" w:line="237" w:lineRule="exact"/>
        <w:rPr>
          <w:sz w:val="20"/>
          <w:szCs w:val="20"/>
          <w:color w:val="auto"/>
        </w:rPr>
      </w:pPr>
    </w:p>
    <w:p>
      <w:pPr>
        <w:ind w:left="1060" w:right="46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completion of nonclinical laboratory tests and animal studies according to good laboratory practice, or GLPs, and applicable requirements for the humane use of laboratory animals or other applicable regulations;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which must become effective before human clinical trials may begin;</w:t>
      </w:r>
    </w:p>
    <w:p>
      <w:pPr>
        <w:spacing w:after="0" w:line="237"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the FDA's regulations commonly referred to as good clinical practice, or GCPs, and any additional requirements for the protection of human research subjects and their health information, to establish the safety and efficacy of the proposed biological product for its intended use;</w:t>
      </w:r>
    </w:p>
    <w:p>
      <w:pPr>
        <w:spacing w:after="0" w:line="192"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submission to the FDA of a Biologics License Application, or BLA, for marketing approval that includes substantive evidence of safety, purity, and potency from results of nonclinical testing and clinical trials;</w:t>
      </w:r>
    </w:p>
    <w:p>
      <w:pPr>
        <w:spacing w:after="0" w:line="196"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36" w:lineRule="exact"/>
        <w:rPr>
          <w:rFonts w:ascii="Arial" w:cs="Arial" w:eastAsia="Arial" w:hAnsi="Arial"/>
          <w:sz w:val="15"/>
          <w:szCs w:val="15"/>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potential FDA audit of the nonclinical and clinical study sites that generated the data in support of the BLA;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FDA review and approval, or licensure, of the BLA.</w:t>
      </w:r>
    </w:p>
    <w:p>
      <w:pPr>
        <w:spacing w:after="0" w:line="224"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Before testing any biological product candidate, including a gene therapy product, in humans, the product candidate enters the preclinical testing stage. Preclinical tests, also referred to as nonclinical trials,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45"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w:t>
      </w:r>
    </w:p>
    <w:p>
      <w:pPr>
        <w:spacing w:after="0" w:line="179"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typically continues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studies.</w:t>
      </w:r>
    </w:p>
    <w:p>
      <w:pPr>
        <w:spacing w:after="0" w:line="179"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trials involving recombinant or synthetic (or both) nucleic acid molecules performed at or sponsored by an institution that receives any NIH funding for such research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Human clinical trials are typically conducted in three sequential phases that may overlap or be combined:</w:t>
      </w:r>
    </w:p>
    <w:p>
      <w:pPr>
        <w:spacing w:after="0" w:line="237" w:lineRule="exact"/>
        <w:rPr>
          <w:sz w:val="20"/>
          <w:szCs w:val="20"/>
          <w:color w:val="auto"/>
        </w:rPr>
      </w:pPr>
    </w:p>
    <w:p>
      <w:pPr>
        <w:ind w:left="1060" w:right="20" w:hanging="531"/>
        <w:spacing w:after="0" w:line="270"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205" w:lineRule="exact"/>
        <w:rPr>
          <w:rFonts w:ascii="Arial" w:cs="Arial" w:eastAsia="Arial" w:hAnsi="Arial"/>
          <w:sz w:val="17"/>
          <w:szCs w:val="17"/>
          <w:color w:val="auto"/>
        </w:rPr>
      </w:pPr>
    </w:p>
    <w:p>
      <w:pPr>
        <w:ind w:left="1060" w:right="540" w:hanging="531"/>
        <w:spacing w:after="0" w:line="352" w:lineRule="auto"/>
        <w:tabs>
          <w:tab w:leader="none" w:pos="106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 xml:space="preserve">Phase 2. </w:t>
      </w:r>
      <w:r>
        <w:rPr>
          <w:rFonts w:ascii="Arial" w:cs="Arial" w:eastAsia="Arial" w:hAnsi="Arial"/>
          <w:sz w:val="15"/>
          <w:szCs w:val="15"/>
          <w:color w:val="auto"/>
        </w:rPr>
        <w:t>The biological product is evaluated in a limited patient population to identify possible adverse effects and safety risks, to preliminarily</w:t>
      </w:r>
      <w:r>
        <w:rPr>
          <w:rFonts w:ascii="Arial" w:cs="Arial" w:eastAsia="Arial" w:hAnsi="Arial"/>
          <w:sz w:val="15"/>
          <w:szCs w:val="15"/>
          <w:i w:val="1"/>
          <w:iCs w:val="1"/>
          <w:color w:val="auto"/>
        </w:rPr>
        <w:t xml:space="preserve"> </w:t>
      </w:r>
      <w:r>
        <w:rPr>
          <w:rFonts w:ascii="Arial" w:cs="Arial" w:eastAsia="Arial" w:hAnsi="Arial"/>
          <w:sz w:val="15"/>
          <w:szCs w:val="15"/>
          <w:color w:val="auto"/>
        </w:rPr>
        <w:t>evaluate the efficacy of the product for specific targeted diseases and to determine dosage tolerance, optimal dosage and dosing schedule.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3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are undertaken to further evaluate dosage, clinical efficacy, potency and safety in an expanded patient population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geographically dispersed clinical trial sites. These clinical trials are intended to establish the overall risk/benefit ratio of the product and provide an adequate basis for product labeling.</w:t>
      </w:r>
    </w:p>
    <w:p>
      <w:pPr>
        <w:spacing w:after="0" w:line="179"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trial subjects.</w:t>
      </w:r>
    </w:p>
    <w:p>
      <w:pPr>
        <w:spacing w:after="0" w:line="185" w:lineRule="exact"/>
        <w:rPr>
          <w:sz w:val="20"/>
          <w:szCs w:val="20"/>
          <w:color w:val="auto"/>
        </w:rPr>
      </w:pPr>
    </w:p>
    <w:p>
      <w:pPr>
        <w:ind w:right="20" w:firstLine="341"/>
        <w:spacing w:after="0" w:line="298" w:lineRule="auto"/>
        <w:rPr>
          <w:sz w:val="20"/>
          <w:szCs w:val="20"/>
          <w:color w:val="auto"/>
        </w:rPr>
      </w:pPr>
      <w:r>
        <w:rPr>
          <w:rFonts w:ascii="Arial" w:cs="Arial" w:eastAsia="Arial" w:hAnsi="Arial"/>
          <w:sz w:val="15"/>
          <w:szCs w:val="15"/>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66"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74"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Public Health Service Act, or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Review and Approval Processes</w:t>
      </w:r>
    </w:p>
    <w:p>
      <w:pPr>
        <w:spacing w:after="0" w:line="224" w:lineRule="exact"/>
        <w:rPr>
          <w:sz w:val="20"/>
          <w:szCs w:val="20"/>
          <w:color w:val="auto"/>
        </w:rPr>
      </w:pPr>
    </w:p>
    <w:p>
      <w:pPr>
        <w:ind w:right="20" w:firstLine="332"/>
        <w:spacing w:after="0" w:line="261" w:lineRule="auto"/>
        <w:rPr>
          <w:sz w:val="20"/>
          <w:szCs w:val="20"/>
          <w:color w:val="auto"/>
        </w:rPr>
      </w:pPr>
      <w:r>
        <w:rPr>
          <w:rFonts w:ascii="Arial" w:cs="Arial" w:eastAsia="Arial" w:hAnsi="Arial"/>
          <w:sz w:val="17"/>
          <w:szCs w:val="17"/>
          <w:color w:val="auto"/>
        </w:rPr>
        <w:t>After the completion of clinical trials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87" w:lineRule="exact"/>
        <w:rPr>
          <w:sz w:val="20"/>
          <w:szCs w:val="20"/>
          <w:color w:val="auto"/>
        </w:rPr>
      </w:pPr>
    </w:p>
    <w:p>
      <w:pPr>
        <w:ind w:right="140" w:firstLine="341"/>
        <w:spacing w:after="0" w:line="311"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PDUFA also imposes an annual product fee for biologics and an annual establishment fee on facilities used to manufacture prescription biologics.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55" w:lineRule="exact"/>
        <w:rPr>
          <w:sz w:val="20"/>
          <w:szCs w:val="20"/>
          <w:color w:val="auto"/>
        </w:rPr>
      </w:pPr>
    </w:p>
    <w:p>
      <w:pPr>
        <w:ind w:right="20" w:firstLine="338"/>
        <w:spacing w:after="0" w:line="297" w:lineRule="auto"/>
        <w:rPr>
          <w:sz w:val="20"/>
          <w:szCs w:val="20"/>
          <w:color w:val="auto"/>
        </w:rPr>
      </w:pPr>
      <w:r>
        <w:rPr>
          <w:rFonts w:ascii="Arial" w:cs="Arial" w:eastAsia="Arial" w:hAnsi="Arial"/>
          <w:sz w:val="15"/>
          <w:szCs w:val="15"/>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6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2" w:lineRule="exact"/>
        <w:rPr>
          <w:sz w:val="20"/>
          <w:szCs w:val="20"/>
          <w:color w:val="auto"/>
        </w:rPr>
      </w:pPr>
    </w:p>
    <w:p>
      <w:pPr>
        <w:ind w:right="120" w:firstLine="341"/>
        <w:spacing w:after="0" w:line="262"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One of the performance goals agreed to by the FDA under the PDUFA is to review standard BLAs in 10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2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right="640" w:firstLine="338"/>
        <w:spacing w:after="0" w:line="282"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77"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Orphan Drug Designation</w:t>
      </w:r>
    </w:p>
    <w:p>
      <w:pPr>
        <w:spacing w:after="0" w:line="224" w:lineRule="exact"/>
        <w:rPr>
          <w:sz w:val="20"/>
          <w:szCs w:val="20"/>
          <w:color w:val="auto"/>
        </w:rPr>
      </w:pPr>
    </w:p>
    <w:p>
      <w:pPr>
        <w:ind w:right="120" w:firstLine="341"/>
        <w:spacing w:after="0" w:line="281"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6"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FDA Expedited Review and Approval Programs</w:t>
      </w:r>
    </w:p>
    <w:p>
      <w:pPr>
        <w:spacing w:after="0" w:line="224"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biological products that are intended for the treatment of serious or life 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90" w:lineRule="exact"/>
        <w:rPr>
          <w:sz w:val="20"/>
          <w:szCs w:val="20"/>
          <w:color w:val="auto"/>
        </w:rPr>
      </w:pPr>
    </w:p>
    <w:p>
      <w:pPr>
        <w:jc w:val="both"/>
        <w:ind w:right="100" w:firstLine="338"/>
        <w:spacing w:after="0" w:line="294" w:lineRule="auto"/>
        <w:rPr>
          <w:sz w:val="20"/>
          <w:szCs w:val="20"/>
          <w:color w:val="auto"/>
        </w:rPr>
      </w:pPr>
      <w:r>
        <w:rPr>
          <w:rFonts w:ascii="Arial" w:cs="Arial" w:eastAsia="Arial" w:hAnsi="Arial"/>
          <w:sz w:val="16"/>
          <w:szCs w:val="16"/>
          <w:color w:val="auto"/>
        </w:rPr>
        <w:t>The FDA may give a priority review designation to biological products that offer major advances in treatment, or provide a treatment where no adequate therapy exists. A priority review means that the goal for the FDA to review an application is six months, rather than the standard review of ten months under current PDUFA guidelines. Most products that are eligible for fast track designation are also likely to be considered appropriate to receive a priority review.</w:t>
      </w:r>
    </w:p>
    <w:p>
      <w:pPr>
        <w:spacing w:after="0" w:line="163"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175" w:lineRule="exact"/>
        <w:rPr>
          <w:sz w:val="20"/>
          <w:szCs w:val="20"/>
          <w:color w:val="auto"/>
        </w:rPr>
      </w:pPr>
    </w:p>
    <w:p>
      <w:pPr>
        <w:ind w:right="140" w:firstLine="341"/>
        <w:spacing w:after="0" w:line="303" w:lineRule="auto"/>
        <w:rPr>
          <w:sz w:val="20"/>
          <w:szCs w:val="20"/>
          <w:color w:val="auto"/>
        </w:rPr>
      </w:pPr>
      <w:r>
        <w:rPr>
          <w:rFonts w:ascii="Arial" w:cs="Arial" w:eastAsia="Arial" w:hAnsi="Arial"/>
          <w:sz w:val="15"/>
          <w:szCs w:val="15"/>
          <w:color w:val="auto"/>
        </w:rPr>
        <w:t>Moreover, under the provisions of the new Food and Drug Administration Safety and Innovation Act, or FDASIA, enacted in 2012, a sponsor can request designation of a product candidate as a "breakthrough therapy." A breakthrough therapy is defined as a biological product that is intended, alone or in combination with one or more other drugs, to treat a serious or life-threatening disease or condition, and preliminary clinical evidence indicates that the biological product may demonstrate substantial improvement over existing therapies on one or more clinically significant endpoints, such as substantial treatment effects observed early in clinical development.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62" w:lineRule="exact"/>
        <w:rPr>
          <w:sz w:val="20"/>
          <w:szCs w:val="20"/>
          <w:color w:val="auto"/>
        </w:rPr>
      </w:pPr>
    </w:p>
    <w:p>
      <w:pPr>
        <w:ind w:right="460" w:firstLine="341"/>
        <w:spacing w:after="0" w:line="322"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Patent Term Restoration and Marketing Exclusivity</w:t>
      </w:r>
    </w:p>
    <w:p>
      <w:pPr>
        <w:spacing w:after="0" w:line="224" w:lineRule="exact"/>
        <w:rPr>
          <w:sz w:val="20"/>
          <w:szCs w:val="20"/>
          <w:color w:val="auto"/>
        </w:rPr>
      </w:pPr>
    </w:p>
    <w:p>
      <w:pPr>
        <w:ind w:right="40" w:firstLine="341"/>
        <w:spacing w:after="0" w:line="315"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187"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9"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The Patient Protection and Affordable Care Act, or Affordable Care Act,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including clinical pharmacology trials and assessment of immunogenicity.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90" w:lineRule="exact"/>
        <w:rPr>
          <w:sz w:val="20"/>
          <w:szCs w:val="20"/>
          <w:color w:val="auto"/>
        </w:rPr>
      </w:pPr>
    </w:p>
    <w:p>
      <w:pPr>
        <w:ind w:right="160" w:firstLine="332"/>
        <w:spacing w:after="0" w:line="280" w:lineRule="auto"/>
        <w:rPr>
          <w:sz w:val="20"/>
          <w:szCs w:val="20"/>
          <w:color w:val="auto"/>
        </w:rPr>
      </w:pPr>
      <w:r>
        <w:rPr>
          <w:rFonts w:ascii="Arial" w:cs="Arial" w:eastAsia="Arial" w:hAnsi="Arial"/>
          <w:sz w:val="16"/>
          <w:szCs w:val="16"/>
          <w:color w:val="auto"/>
        </w:rPr>
        <w:t>A reference biologic is granted twelve years of exclusivity from the time of first licensure of the reference product. On February 4, 2015, President Obama released his proposed budget for fiscal year 2016 and proposed to cut this twelve-year period of exclusivity down to seven years. He also proposed to prohibit additional periods of exclusivity for brand biologics due to minor changes in product formulations, a practice often referred to as "evergreening."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Healthcare Laws</w:t>
      </w:r>
    </w:p>
    <w:p>
      <w:pPr>
        <w:spacing w:after="0" w:line="224" w:lineRule="exact"/>
        <w:rPr>
          <w:sz w:val="20"/>
          <w:szCs w:val="20"/>
          <w:color w:val="auto"/>
        </w:rPr>
      </w:pPr>
    </w:p>
    <w:p>
      <w:pPr>
        <w:jc w:val="both"/>
        <w:ind w:right="60" w:firstLine="332"/>
        <w:spacing w:after="0" w:line="270"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in which we conduct our business. Such laws include, without limitation, state and federal anti-kickback, fraud and abuse, false claims, privacy and security and physician sunshine laws and regulations, many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6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In addition, the Affordable Care Act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With regard to biopharmaceutical products, in addition to the Biologics Price Competition and Innovation Act of 2009 included in the Affordable Care Act, among other things, the Affordable Care Act expanded and increased industry rebates for drugs covered under Medicaid programs and made changes to the coverage requirements under the Medicare prescription drug benefit. We continue to evaluate the effect that the Affordable Care Act has on our business. In the coming years, additional legislative and regulatory changes could be made to governmental health programs that could significantly impact the biopharmaceutical industry and the success of our product candidates. The Affordable Care Act, as well as other federal, state and foreign healthcare reform measures that have been and may be adopted in the future, could harm our future revenues.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Regulation</w:t>
      </w:r>
    </w:p>
    <w:p>
      <w:pPr>
        <w:spacing w:after="0" w:line="224"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Foreign Corrupt Practices Act</w:t>
      </w:r>
    </w:p>
    <w:p>
      <w:pPr>
        <w:spacing w:after="0" w:line="224" w:lineRule="exact"/>
        <w:rPr>
          <w:sz w:val="20"/>
          <w:szCs w:val="20"/>
          <w:color w:val="auto"/>
        </w:rPr>
      </w:pPr>
    </w:p>
    <w:p>
      <w:pPr>
        <w:ind w:right="340" w:firstLine="338"/>
        <w:spacing w:after="0" w:line="265" w:lineRule="auto"/>
        <w:rPr>
          <w:sz w:val="20"/>
          <w:szCs w:val="20"/>
          <w:color w:val="auto"/>
        </w:rPr>
      </w:pPr>
      <w:r>
        <w:rPr>
          <w:rFonts w:ascii="Arial" w:cs="Arial" w:eastAsia="Arial" w:hAnsi="Arial"/>
          <w:sz w:val="17"/>
          <w:szCs w:val="17"/>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Government Regulation Outside of the United States</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179" w:lineRule="exact"/>
        <w:rPr>
          <w:sz w:val="20"/>
          <w:szCs w:val="20"/>
          <w:color w:val="auto"/>
        </w:rPr>
      </w:pPr>
    </w:p>
    <w:p>
      <w:pPr>
        <w:ind w:right="600" w:firstLine="338"/>
        <w:spacing w:after="0" w:line="315"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similar process that requires the submission of a clinical trial application much like the IND prior to the commencement of human clinical trials.</w:t>
      </w:r>
    </w:p>
    <w:p>
      <w:pPr>
        <w:spacing w:after="0" w:line="224"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Coverage, Pricing and Reimbursement for Biopharmaceutical Products</w:t>
      </w:r>
    </w:p>
    <w:p>
      <w:pPr>
        <w:spacing w:after="0" w:line="224"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Decreases in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180" w:firstLine="332"/>
        <w:spacing w:after="0" w:line="294" w:lineRule="auto"/>
        <w:rPr>
          <w:sz w:val="20"/>
          <w:szCs w:val="20"/>
          <w:color w:val="auto"/>
        </w:rPr>
      </w:pPr>
      <w:r>
        <w:rPr>
          <w:rFonts w:ascii="Arial" w:cs="Arial" w:eastAsia="Arial" w:hAnsi="Arial"/>
          <w:sz w:val="16"/>
          <w:szCs w:val="16"/>
          <w:color w:val="auto"/>
        </w:rPr>
        <w:t>As of October 30, 2015, we employed 48 full-time employees in the United States, including 39 in research and development and nine in general and administrative. We have one part-time employee. Twenty-two of our employees have either an M.D. or a Ph.D. We have never had a work stoppage, and none of our employees is represented by a labor organization or under any collective-bargaining arrangements. We consider our employee relations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lease our office and laboratory space, which consists of approximately 19,000 square feet located in Cambridge, Massachusetts. Our lease expires in 2019. We believe our current office and laboratory space is sufficient to meet our needs until the expiration of our lease.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right="140" w:firstLine="332"/>
        <w:spacing w:after="0" w:line="270" w:lineRule="auto"/>
        <w:rPr>
          <w:sz w:val="20"/>
          <w:szCs w:val="20"/>
          <w:color w:val="auto"/>
        </w:rPr>
      </w:pPr>
      <w:r>
        <w:rPr>
          <w:rFonts w:ascii="Arial" w:cs="Arial" w:eastAsia="Arial" w:hAnsi="Arial"/>
          <w:sz w:val="17"/>
          <w:szCs w:val="17"/>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our executive officers and directors as of September 30, 2015:</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820" w:type="dxa"/>
            <w:vAlign w:val="bottom"/>
            <w:gridSpan w:val="2"/>
          </w:tcPr>
          <w:p>
            <w:pPr>
              <w:spacing w:after="0"/>
              <w:rPr>
                <w:sz w:val="13"/>
                <w:szCs w:val="13"/>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Age</w:t>
            </w:r>
          </w:p>
        </w:tc>
        <w:tc>
          <w:tcPr>
            <w:tcW w:w="200" w:type="dxa"/>
            <w:vAlign w:val="bottom"/>
          </w:tcPr>
          <w:p>
            <w:pPr>
              <w:spacing w:after="0"/>
              <w:rPr>
                <w:sz w:val="13"/>
                <w:szCs w:val="13"/>
                <w:color w:val="auto"/>
              </w:rPr>
            </w:pPr>
          </w:p>
        </w:tc>
        <w:tc>
          <w:tcPr>
            <w:tcW w:w="5320" w:type="dxa"/>
            <w:vAlign w:val="bottom"/>
            <w:tcBorders>
              <w:bottom w:val="single" w:sz="8" w:color="auto"/>
            </w:tcBorders>
          </w:tcPr>
          <w:p>
            <w:pPr>
              <w:ind w:left="2360"/>
              <w:spacing w:after="0"/>
              <w:rPr>
                <w:sz w:val="20"/>
                <w:szCs w:val="20"/>
                <w:color w:val="auto"/>
              </w:rPr>
            </w:pPr>
            <w:r>
              <w:rPr>
                <w:rFonts w:ascii="Arial" w:cs="Arial" w:eastAsia="Arial" w:hAnsi="Arial"/>
                <w:sz w:val="13"/>
                <w:szCs w:val="13"/>
                <w:b w:val="1"/>
                <w:bCs w:val="1"/>
                <w:color w:val="auto"/>
              </w:rPr>
              <w:t>Position(s)</w:t>
            </w:r>
          </w:p>
        </w:tc>
      </w:tr>
      <w:tr>
        <w:trPr>
          <w:trHeight w:val="203"/>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Executive Officers:</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320" w:type="dxa"/>
            <w:vAlign w:val="bottom"/>
            <w:shd w:val="clear" w:color="auto" w:fill="CCEEFF"/>
          </w:tcPr>
          <w:p>
            <w:pPr>
              <w:spacing w:after="0"/>
              <w:rPr>
                <w:sz w:val="17"/>
                <w:szCs w:val="17"/>
                <w:color w:val="auto"/>
              </w:rPr>
            </w:pPr>
          </w:p>
        </w:tc>
      </w:tr>
      <w:tr>
        <w:trPr>
          <w:trHeight w:val="210"/>
        </w:trPr>
        <w:tc>
          <w:tcPr>
            <w:tcW w:w="3200" w:type="dxa"/>
            <w:vAlign w:val="bottom"/>
            <w:gridSpan w:val="3"/>
          </w:tcPr>
          <w:p>
            <w:pPr>
              <w:spacing w:after="0"/>
              <w:rPr>
                <w:sz w:val="20"/>
                <w:szCs w:val="20"/>
                <w:color w:val="auto"/>
              </w:rPr>
            </w:pPr>
            <w:r>
              <w:rPr>
                <w:rFonts w:ascii="Arial" w:cs="Arial" w:eastAsia="Arial" w:hAnsi="Arial"/>
                <w:sz w:val="17"/>
                <w:szCs w:val="17"/>
                <w:color w:val="auto"/>
              </w:rPr>
              <w:t>Steven M. Paul, M.D.</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64</w:t>
            </w:r>
          </w:p>
        </w:tc>
        <w:tc>
          <w:tcPr>
            <w:tcW w:w="532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G. Pietrusko, Pharm.D.</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w:t>
            </w: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of Regulatory Affairs</w:t>
            </w:r>
          </w:p>
        </w:tc>
      </w:tr>
      <w:tr>
        <w:trPr>
          <w:trHeight w:val="210"/>
        </w:trPr>
        <w:tc>
          <w:tcPr>
            <w:tcW w:w="3200" w:type="dxa"/>
            <w:vAlign w:val="bottom"/>
            <w:gridSpan w:val="3"/>
          </w:tcPr>
          <w:p>
            <w:pPr>
              <w:spacing w:after="0"/>
              <w:rPr>
                <w:sz w:val="20"/>
                <w:szCs w:val="20"/>
                <w:color w:val="auto"/>
              </w:rPr>
            </w:pPr>
            <w:r>
              <w:rPr>
                <w:rFonts w:ascii="Arial" w:cs="Arial" w:eastAsia="Arial" w:hAnsi="Arial"/>
                <w:sz w:val="17"/>
                <w:szCs w:val="17"/>
                <w:color w:val="auto"/>
              </w:rPr>
              <w:t>Dinah Sah, Ph.D.</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54</w:t>
            </w:r>
          </w:p>
        </w:tc>
        <w:tc>
          <w:tcPr>
            <w:tcW w:w="5320" w:type="dxa"/>
            <w:vAlign w:val="bottom"/>
          </w:tcPr>
          <w:p>
            <w:pPr>
              <w:spacing w:after="0"/>
              <w:rPr>
                <w:sz w:val="20"/>
                <w:szCs w:val="20"/>
                <w:color w:val="auto"/>
              </w:rPr>
            </w:pPr>
            <w:r>
              <w:rPr>
                <w:rFonts w:ascii="Arial" w:cs="Arial" w:eastAsia="Arial" w:hAnsi="Arial"/>
                <w:sz w:val="17"/>
                <w:szCs w:val="17"/>
                <w:color w:val="auto"/>
              </w:rPr>
              <w:t>Senior Vice President of Neuroscience</w:t>
            </w:r>
          </w:p>
        </w:tc>
      </w:tr>
      <w:tr>
        <w:trPr>
          <w:trHeight w:val="210"/>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 Jeffrey Goater</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Finance and Business Development</w:t>
            </w:r>
          </w:p>
        </w:tc>
      </w:tr>
      <w:tr>
        <w:trPr>
          <w:trHeight w:val="210"/>
        </w:trPr>
        <w:tc>
          <w:tcPr>
            <w:tcW w:w="3200" w:type="dxa"/>
            <w:vAlign w:val="bottom"/>
            <w:gridSpan w:val="3"/>
          </w:tcPr>
          <w:p>
            <w:pPr>
              <w:spacing w:after="0"/>
              <w:rPr>
                <w:sz w:val="20"/>
                <w:szCs w:val="20"/>
                <w:color w:val="auto"/>
              </w:rPr>
            </w:pPr>
            <w:r>
              <w:rPr>
                <w:rFonts w:ascii="Arial" w:cs="Arial" w:eastAsia="Arial" w:hAnsi="Arial"/>
                <w:sz w:val="17"/>
                <w:szCs w:val="17"/>
                <w:color w:val="auto"/>
              </w:rPr>
              <w:t>John J. Connelly</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5320" w:type="dxa"/>
            <w:vAlign w:val="bottom"/>
          </w:tcPr>
          <w:p>
            <w:pPr>
              <w:spacing w:after="0"/>
              <w:rPr>
                <w:sz w:val="20"/>
                <w:szCs w:val="20"/>
                <w:color w:val="auto"/>
              </w:rPr>
            </w:pPr>
            <w:r>
              <w:rPr>
                <w:rFonts w:ascii="Arial" w:cs="Arial" w:eastAsia="Arial" w:hAnsi="Arial"/>
                <w:sz w:val="17"/>
                <w:szCs w:val="17"/>
                <w:color w:val="auto"/>
              </w:rPr>
              <w:t>Vice President of Program and Alliance Management</w:t>
            </w:r>
          </w:p>
        </w:tc>
      </w:tr>
      <w:tr>
        <w:trPr>
          <w:trHeight w:val="210"/>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Kathleen Hayes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w:t>
            </w: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Vice President of Human Resources</w:t>
            </w:r>
          </w:p>
        </w:tc>
      </w:tr>
      <w:tr>
        <w:trPr>
          <w:trHeight w:val="210"/>
        </w:trPr>
        <w:tc>
          <w:tcPr>
            <w:tcW w:w="3200" w:type="dxa"/>
            <w:vAlign w:val="bottom"/>
            <w:gridSpan w:val="3"/>
          </w:tcPr>
          <w:p>
            <w:pPr>
              <w:spacing w:after="0"/>
              <w:rPr>
                <w:sz w:val="20"/>
                <w:szCs w:val="20"/>
                <w:color w:val="auto"/>
              </w:rPr>
            </w:pPr>
            <w:r>
              <w:rPr>
                <w:rFonts w:ascii="Arial" w:cs="Arial" w:eastAsia="Arial" w:hAnsi="Arial"/>
                <w:sz w:val="17"/>
                <w:szCs w:val="17"/>
                <w:color w:val="auto"/>
              </w:rPr>
              <w:t>Robert Kotin, Ph.D.</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59</w:t>
            </w:r>
          </w:p>
        </w:tc>
        <w:tc>
          <w:tcPr>
            <w:tcW w:w="5320" w:type="dxa"/>
            <w:vAlign w:val="bottom"/>
          </w:tcPr>
          <w:p>
            <w:pPr>
              <w:spacing w:after="0"/>
              <w:rPr>
                <w:sz w:val="20"/>
                <w:szCs w:val="20"/>
                <w:color w:val="auto"/>
              </w:rPr>
            </w:pPr>
            <w:r>
              <w:rPr>
                <w:rFonts w:ascii="Arial" w:cs="Arial" w:eastAsia="Arial" w:hAnsi="Arial"/>
                <w:sz w:val="17"/>
                <w:szCs w:val="17"/>
                <w:color w:val="auto"/>
              </w:rPr>
              <w:t>Vice President of Production</w:t>
            </w:r>
          </w:p>
        </w:tc>
      </w:tr>
      <w:tr>
        <w:trPr>
          <w:trHeight w:val="210"/>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Bernard Ravina, M.D.</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w:t>
            </w: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Vice President of Clinical Development</w:t>
            </w:r>
          </w:p>
        </w:tc>
      </w:tr>
      <w:tr>
        <w:trPr>
          <w:trHeight w:val="210"/>
        </w:trPr>
        <w:tc>
          <w:tcPr>
            <w:tcW w:w="3200" w:type="dxa"/>
            <w:vAlign w:val="bottom"/>
            <w:gridSpan w:val="3"/>
          </w:tcPr>
          <w:p>
            <w:pPr>
              <w:spacing w:after="0"/>
              <w:rPr>
                <w:sz w:val="20"/>
                <w:szCs w:val="20"/>
                <w:color w:val="auto"/>
              </w:rPr>
            </w:pPr>
            <w:r>
              <w:rPr>
                <w:rFonts w:ascii="Arial" w:cs="Arial" w:eastAsia="Arial" w:hAnsi="Arial"/>
                <w:sz w:val="17"/>
                <w:szCs w:val="17"/>
                <w:color w:val="auto"/>
              </w:rPr>
              <w:t>Gregory R. Stewart, Ph.D.</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56</w:t>
            </w:r>
          </w:p>
        </w:tc>
        <w:tc>
          <w:tcPr>
            <w:tcW w:w="5320" w:type="dxa"/>
            <w:vAlign w:val="bottom"/>
          </w:tcPr>
          <w:p>
            <w:pPr>
              <w:spacing w:after="0"/>
              <w:rPr>
                <w:sz w:val="20"/>
                <w:szCs w:val="20"/>
                <w:color w:val="auto"/>
              </w:rPr>
            </w:pPr>
            <w:r>
              <w:rPr>
                <w:rFonts w:ascii="Arial" w:cs="Arial" w:eastAsia="Arial" w:hAnsi="Arial"/>
                <w:sz w:val="17"/>
                <w:szCs w:val="17"/>
                <w:color w:val="auto"/>
              </w:rPr>
              <w:t>Vice President of Drug Delivery</w:t>
            </w:r>
          </w:p>
        </w:tc>
      </w:tr>
      <w:tr>
        <w:trPr>
          <w:trHeight w:val="419"/>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Non-Employee Directors:</w:t>
            </w: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320" w:type="dxa"/>
            <w:vAlign w:val="bottom"/>
            <w:shd w:val="clear" w:color="auto" w:fill="CCEEFF"/>
          </w:tcPr>
          <w:p>
            <w:pPr>
              <w:spacing w:after="0"/>
              <w:rPr>
                <w:sz w:val="24"/>
                <w:szCs w:val="24"/>
                <w:color w:val="auto"/>
              </w:rPr>
            </w:pPr>
          </w:p>
        </w:tc>
      </w:tr>
      <w:tr>
        <w:trPr>
          <w:trHeight w:val="210"/>
        </w:trPr>
        <w:tc>
          <w:tcPr>
            <w:tcW w:w="3200" w:type="dxa"/>
            <w:vAlign w:val="bottom"/>
            <w:gridSpan w:val="3"/>
          </w:tcPr>
          <w:p>
            <w:pPr>
              <w:spacing w:after="0"/>
              <w:rPr>
                <w:sz w:val="20"/>
                <w:szCs w:val="20"/>
                <w:color w:val="auto"/>
              </w:rPr>
            </w:pPr>
            <w:r>
              <w:rPr>
                <w:rFonts w:ascii="Arial" w:cs="Arial" w:eastAsia="Arial" w:hAnsi="Arial"/>
                <w:sz w:val="17"/>
                <w:szCs w:val="17"/>
                <w:color w:val="auto"/>
              </w:rPr>
              <w:t>Mark Levin</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65</w:t>
            </w:r>
          </w:p>
        </w:tc>
        <w:tc>
          <w:tcPr>
            <w:tcW w:w="5320" w:type="dxa"/>
            <w:vAlign w:val="bottom"/>
          </w:tcPr>
          <w:p>
            <w:pPr>
              <w:spacing w:after="0"/>
              <w:rPr>
                <w:sz w:val="20"/>
                <w:szCs w:val="20"/>
                <w:color w:val="auto"/>
              </w:rPr>
            </w:pPr>
            <w:r>
              <w:rPr>
                <w:rFonts w:ascii="Arial" w:cs="Arial" w:eastAsia="Arial" w:hAnsi="Arial"/>
                <w:sz w:val="17"/>
                <w:szCs w:val="17"/>
                <w:color w:val="auto"/>
              </w:rPr>
              <w:t>Director; Chairman of the Board</w:t>
            </w:r>
          </w:p>
        </w:tc>
      </w:tr>
      <w:tr>
        <w:trPr>
          <w:trHeight w:val="249"/>
        </w:trPr>
        <w:tc>
          <w:tcPr>
            <w:tcW w:w="3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Michael Higgins</w:t>
            </w:r>
            <w:r>
              <w:rPr>
                <w:rFonts w:ascii="Arial" w:cs="Arial" w:eastAsia="Arial" w:hAnsi="Arial"/>
                <w:sz w:val="28"/>
                <w:szCs w:val="28"/>
                <w:color w:val="auto"/>
                <w:vertAlign w:val="superscript"/>
              </w:rPr>
              <w:t>(1)(2)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w:t>
            </w: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3200" w:type="dxa"/>
            <w:vAlign w:val="bottom"/>
            <w:gridSpan w:val="3"/>
          </w:tcPr>
          <w:p>
            <w:pPr>
              <w:spacing w:after="0" w:line="249" w:lineRule="exact"/>
              <w:rPr>
                <w:sz w:val="20"/>
                <w:szCs w:val="20"/>
                <w:color w:val="auto"/>
              </w:rPr>
            </w:pPr>
            <w:r>
              <w:rPr>
                <w:rFonts w:ascii="Arial" w:cs="Arial" w:eastAsia="Arial" w:hAnsi="Arial"/>
                <w:sz w:val="17"/>
                <w:szCs w:val="17"/>
                <w:color w:val="auto"/>
              </w:rPr>
              <w:t>Steven Hyman</w:t>
            </w:r>
            <w:r>
              <w:rPr>
                <w:rFonts w:ascii="Arial" w:cs="Arial" w:eastAsia="Arial" w:hAnsi="Arial"/>
                <w:sz w:val="28"/>
                <w:szCs w:val="28"/>
                <w:color w:val="auto"/>
                <w:vertAlign w:val="superscript"/>
              </w:rPr>
              <w:t>(3)</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63</w:t>
            </w:r>
          </w:p>
        </w:tc>
        <w:tc>
          <w:tcPr>
            <w:tcW w:w="532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3200" w:type="dxa"/>
            <w:vAlign w:val="bottom"/>
            <w:gridSpan w:val="3"/>
            <w:shd w:val="clear" w:color="auto" w:fill="CCEEFF"/>
          </w:tcPr>
          <w:p>
            <w:pPr>
              <w:spacing w:after="0" w:line="249" w:lineRule="exact"/>
              <w:rPr>
                <w:sz w:val="20"/>
                <w:szCs w:val="20"/>
                <w:color w:val="auto"/>
              </w:rPr>
            </w:pPr>
            <w:r>
              <w:rPr>
                <w:rFonts w:ascii="Arial" w:cs="Arial" w:eastAsia="Arial" w:hAnsi="Arial"/>
                <w:sz w:val="17"/>
                <w:szCs w:val="17"/>
                <w:color w:val="auto"/>
              </w:rPr>
              <w:t>James A. Geraghty</w:t>
            </w:r>
            <w:r>
              <w:rPr>
                <w:rFonts w:ascii="Arial" w:cs="Arial" w:eastAsia="Arial" w:hAnsi="Arial"/>
                <w:sz w:val="28"/>
                <w:szCs w:val="28"/>
                <w:color w:val="auto"/>
                <w:vertAlign w:val="superscript"/>
              </w:rPr>
              <w:t>(1)(2)(3)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w:t>
            </w: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6"/>
              </w:rPr>
              <w:t>Perry Karsen</w:t>
            </w:r>
            <w:r>
              <w:rPr>
                <w:rFonts w:ascii="Arial" w:cs="Arial" w:eastAsia="Arial" w:hAnsi="Arial"/>
                <w:sz w:val="28"/>
                <w:szCs w:val="28"/>
                <w:color w:val="auto"/>
                <w:w w:val="96"/>
                <w:vertAlign w:val="superscript"/>
              </w:rPr>
              <w:t>(1)(2)(3)</w:t>
            </w:r>
          </w:p>
        </w:tc>
        <w:tc>
          <w:tcPr>
            <w:tcW w:w="15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60</w:t>
            </w:r>
          </w:p>
        </w:tc>
        <w:tc>
          <w:tcPr>
            <w:tcW w:w="532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1680" w:hanging="533"/>
        <w:spacing w:after="0"/>
        <w:tabs>
          <w:tab w:leader="none" w:pos="1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4"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b w:val="1"/>
          <w:bCs w:val="1"/>
          <w:color w:val="auto"/>
        </w:rPr>
        <w:t xml:space="preserve">Steven M. Paul, M.D. </w:t>
      </w:r>
      <w:r>
        <w:rPr>
          <w:rFonts w:ascii="Arial" w:cs="Arial" w:eastAsia="Arial" w:hAnsi="Arial"/>
          <w:sz w:val="16"/>
          <w:szCs w:val="16"/>
          <w:color w:val="auto"/>
        </w:rPr>
        <w:t>Dr. Paul has served as our President, Chief Executive Officer and member of our board of directors since September 2014. From June</w:t>
      </w:r>
      <w:r>
        <w:rPr>
          <w:rFonts w:ascii="Arial" w:cs="Arial" w:eastAsia="Arial" w:hAnsi="Arial"/>
          <w:sz w:val="16"/>
          <w:szCs w:val="16"/>
          <w:b w:val="1"/>
          <w:bCs w:val="1"/>
          <w:color w:val="auto"/>
        </w:rPr>
        <w:t xml:space="preserve"> </w:t>
      </w:r>
      <w:r>
        <w:rPr>
          <w:rFonts w:ascii="Arial" w:cs="Arial" w:eastAsia="Arial" w:hAnsi="Arial"/>
          <w:sz w:val="16"/>
          <w:szCs w:val="16"/>
          <w:color w:val="auto"/>
        </w:rPr>
        <w:t>2013 to September 2014 Dr. Paul served as our Interim President of Research and Development. Since September 2010, he has also served as a Venture Partner at Third Rock Ventures, LLC, or Third Rock Ventures, a life sciences venture capital firm focused on the formation, development and strategy of new companies. Additionally, Dr. Paul has served as a professor or an adjunct professor of neuroscience at Weill Cornell Medical College since August 2010. Prior to that, from 1993 to 2010, Dr. Paul held several key positions at Eli Lilly and Company (NYSE: LLY), or Eli Lilly, including Executive Vice President, President of Lilly Research Laboratories, Vice President of Neuroscience (CNS) Research and Group Vice President of Discovery Research. Prior to Eli Lilly, from 1988 to 1993, Dr. Paul served as the Scientific Director of the National Institute of Mental Health, or NIMH. Dr. Paul also served as Medical Director in the Commissioned Corps of the United States Public Health Service. Dr. Paul is an elected fellow of the American Association for the Advancement of Science and a member of the National Academy of Medicine. He is also currently on the board of directors of Sigma-Aldrich Corporation (NASDAQ: SIAL), Alnylam Pharmaceuticals, Inc. (NASDAQ: ALNY), Sage Therapeutics, Inc. (NASDAQ: SAGE) and the Foundation for the National Institute of Health, or NIH. Dr. Paul has also served as a member of the Advisory Counsel of the National Institute of General Medical Sciences and was appointed by the Secretary of the Department of Health and Human Services as a member of the advisory</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committee to the Director of the NIH from 2001 to 2005. Dr. Paul is also board certified by the American Board of Psychiatry and Neurology. Dr. Paul received a B.A. in Biology and Psychology from Tulane University, and an M.S. and M.D. from the Tulane University School of Medicine. Dr. Paul's qualifications to sit on our board of directors include his extensive career in neuroscience and his leadership and managerial experiences at various pharmaceutical and biotechnology companies and healthcare organizations.</w:t>
      </w:r>
    </w:p>
    <w:p>
      <w:pPr>
        <w:spacing w:after="0" w:line="181" w:lineRule="exact"/>
        <w:rPr>
          <w:sz w:val="20"/>
          <w:szCs w:val="20"/>
          <w:color w:val="auto"/>
        </w:rPr>
      </w:pPr>
    </w:p>
    <w:p>
      <w:pPr>
        <w:ind w:right="40" w:firstLine="341"/>
        <w:spacing w:after="0" w:line="282" w:lineRule="auto"/>
        <w:rPr>
          <w:sz w:val="20"/>
          <w:szCs w:val="20"/>
          <w:color w:val="auto"/>
        </w:rPr>
      </w:pPr>
      <w:r>
        <w:rPr>
          <w:rFonts w:ascii="Arial" w:cs="Arial" w:eastAsia="Arial" w:hAnsi="Arial"/>
          <w:sz w:val="16"/>
          <w:szCs w:val="16"/>
          <w:b w:val="1"/>
          <w:bCs w:val="1"/>
          <w:color w:val="auto"/>
        </w:rPr>
        <w:t xml:space="preserve">Robert G. Pietrusko, Pharm.D. </w:t>
      </w:r>
      <w:r>
        <w:rPr>
          <w:rFonts w:ascii="Arial" w:cs="Arial" w:eastAsia="Arial" w:hAnsi="Arial"/>
          <w:sz w:val="16"/>
          <w:szCs w:val="16"/>
          <w:color w:val="auto"/>
        </w:rPr>
        <w:t>Dr. Pietrusko has served as our Senior Vice President of Regulatory Affairs since June 2014. Prior to joining us, Dr. Pietrusko</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Vice President of Global Regulatory Affairs &amp; Quality and Executive Officer at ViroPharma, Inc. from April 2007 to January 2014. From 2003 to 2007, Dr. Pietrusko served as Senior Vice President of Regulatory Affairs and from 2001 to 2003 as Vice President of Worldwide Regulatory Affairs and Pharmacovigilance at Millennium Pharmaceuticals, Inc. From 1999 to 2000, he was the Vice President of Regulatory Affairs at SmithKline Beecham plc (now GlaxoSmithKline (NYSE: GSK)). Dr. Pietrusko received both a B.S. in Biology and a B.Pharm. from Rutgers University and received a Pharm.D. from the Philadelphia College of Pharmacy and Science. He completed his residency training in Hospital Pharmacy at Thomas Jefferson University Hospital.</w:t>
      </w:r>
    </w:p>
    <w:p>
      <w:pPr>
        <w:spacing w:after="0" w:line="171"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b w:val="1"/>
          <w:bCs w:val="1"/>
          <w:color w:val="auto"/>
        </w:rPr>
        <w:t xml:space="preserve">Dinah Sah, Ph.D. </w:t>
      </w:r>
      <w:r>
        <w:rPr>
          <w:rFonts w:ascii="Arial" w:cs="Arial" w:eastAsia="Arial" w:hAnsi="Arial"/>
          <w:sz w:val="17"/>
          <w:szCs w:val="17"/>
          <w:color w:val="auto"/>
        </w:rPr>
        <w:t>Dr. Sah has served as our Senior Vice President of Neuroscience since March 2014. Prior to joining us, Dr. Sah served as a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development consultant from February 2012 to March 2014. Prior to that, Dr. Sah held several positions at Alnylam Pharmaceuticals, Inc. (NASDAQ: ALNY), including Vice President of Research from 2010 to 2012, Vice President of Research, CNS and Oncology from 2008 to 2010 and Senior Director of Research from 2005 to 2008. From 1999 to 2005 she worked at Biogen Idec, Inc. (NASDAQ: BIIB), most recently as Associate Director &amp; Head of Neurobiology. Prior to that, Dr. Sah served as the Associate Director of Neurobiology at Signal Pharmaceuticals from 1997 to 1999. Dr. Sah received a B.S. in Biology from the Massachusetts Institute of Technology, a Ph.D. in Neurobiology from Harvard University and completed her post-doctoral training at Harvard University's Department of Neurobiology.</w:t>
      </w:r>
    </w:p>
    <w:p>
      <w:pPr>
        <w:spacing w:after="0" w:line="184" w:lineRule="exact"/>
        <w:rPr>
          <w:sz w:val="20"/>
          <w:szCs w:val="20"/>
          <w:color w:val="auto"/>
        </w:rPr>
      </w:pPr>
    </w:p>
    <w:p>
      <w:pPr>
        <w:ind w:right="80" w:firstLine="341"/>
        <w:spacing w:after="0" w:line="305" w:lineRule="auto"/>
        <w:rPr>
          <w:sz w:val="20"/>
          <w:szCs w:val="20"/>
          <w:color w:val="auto"/>
        </w:rPr>
      </w:pPr>
      <w:r>
        <w:rPr>
          <w:rFonts w:ascii="Arial" w:cs="Arial" w:eastAsia="Arial" w:hAnsi="Arial"/>
          <w:sz w:val="15"/>
          <w:szCs w:val="15"/>
          <w:b w:val="1"/>
          <w:bCs w:val="1"/>
          <w:color w:val="auto"/>
        </w:rPr>
        <w:t xml:space="preserve">J. Jeffrey Goater. </w:t>
      </w:r>
      <w:r>
        <w:rPr>
          <w:rFonts w:ascii="Arial" w:cs="Arial" w:eastAsia="Arial" w:hAnsi="Arial"/>
          <w:sz w:val="15"/>
          <w:szCs w:val="15"/>
          <w:color w:val="auto"/>
        </w:rPr>
        <w:t>Mr. Goater has served as our Senior Vice President, Finance &amp; Business Development since April 2015 and as our Vice President of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from September 2013 to April 2015. Prior to joining us, Mr. Goater was Vice President of Business Development at Synageva BioPharma Corp. (NASDAQ: GEVA) from April 2013 to July 2013, and before that, he worked as an investment banker at Evercore Partners, Inc. (NYSE: EVR) from April 2008 to March 2013, most recently as Managing Director. Prior to that, Mr. Goater worked as an equity research analyst at Cowen and Company, LLC (NASDAQ: COWN), covering the biopharmaceutical sector, from 2004 to 2008. He also currently serves on the board of directors of Vaccinex, Inc. Mr. Goater received a B.A. in Biology, an M.S. in Pathology and Molecular Medicine, an M.S. in Microbiology and Immunology and an M.B.A., all from the University of Rochester.</w:t>
      </w:r>
    </w:p>
    <w:p>
      <w:pPr>
        <w:spacing w:after="0" w:line="153" w:lineRule="exact"/>
        <w:rPr>
          <w:sz w:val="20"/>
          <w:szCs w:val="20"/>
          <w:color w:val="auto"/>
        </w:rPr>
      </w:pPr>
    </w:p>
    <w:p>
      <w:pPr>
        <w:ind w:right="40" w:firstLine="341"/>
        <w:spacing w:after="0" w:line="313" w:lineRule="auto"/>
        <w:rPr>
          <w:sz w:val="20"/>
          <w:szCs w:val="20"/>
          <w:color w:val="auto"/>
        </w:rPr>
      </w:pPr>
      <w:r>
        <w:rPr>
          <w:rFonts w:ascii="Arial" w:cs="Arial" w:eastAsia="Arial" w:hAnsi="Arial"/>
          <w:sz w:val="15"/>
          <w:szCs w:val="15"/>
          <w:b w:val="1"/>
          <w:bCs w:val="1"/>
          <w:color w:val="auto"/>
        </w:rPr>
        <w:t xml:space="preserve">John J. Connelly. </w:t>
      </w:r>
      <w:r>
        <w:rPr>
          <w:rFonts w:ascii="Arial" w:cs="Arial" w:eastAsia="Arial" w:hAnsi="Arial"/>
          <w:sz w:val="15"/>
          <w:szCs w:val="15"/>
          <w:color w:val="auto"/>
        </w:rPr>
        <w:t>Mr. Connelly has served as our Vice President of Program and Alliance Management since June 2015. Prior to joining us, Mr. Connelly held</w:t>
      </w:r>
      <w:r>
        <w:rPr>
          <w:rFonts w:ascii="Arial" w:cs="Arial" w:eastAsia="Arial" w:hAnsi="Arial"/>
          <w:sz w:val="15"/>
          <w:szCs w:val="15"/>
          <w:b w:val="1"/>
          <w:bCs w:val="1"/>
          <w:color w:val="auto"/>
        </w:rPr>
        <w:t xml:space="preserve"> </w:t>
      </w:r>
      <w:r>
        <w:rPr>
          <w:rFonts w:ascii="Arial" w:cs="Arial" w:eastAsia="Arial" w:hAnsi="Arial"/>
          <w:sz w:val="15"/>
          <w:szCs w:val="15"/>
          <w:color w:val="auto"/>
        </w:rPr>
        <w:t>roles supporting the rare disease portfolio at Genzyme, most recently from March 2010 to June 2015, as Associate Vice President/Senior Director, Program Management Head, Rare Diseases, and prior to that from August 2000 to March 2010 he held roles of increasing responsibility supporting rare disease research and development, including gene therapy activities. Mr. Connelly received a B.S. in Biochemistry from the University of Vermont and an M.B.A. from Suffolk University.</w:t>
      </w:r>
    </w:p>
    <w:p>
      <w:pPr>
        <w:spacing w:after="0" w:line="149" w:lineRule="exact"/>
        <w:rPr>
          <w:sz w:val="20"/>
          <w:szCs w:val="20"/>
          <w:color w:val="auto"/>
        </w:rPr>
      </w:pPr>
    </w:p>
    <w:p>
      <w:pPr>
        <w:ind w:right="180" w:firstLine="341"/>
        <w:spacing w:after="0" w:line="272" w:lineRule="auto"/>
        <w:rPr>
          <w:sz w:val="20"/>
          <w:szCs w:val="20"/>
          <w:color w:val="auto"/>
        </w:rPr>
      </w:pPr>
      <w:r>
        <w:rPr>
          <w:rFonts w:ascii="Arial" w:cs="Arial" w:eastAsia="Arial" w:hAnsi="Arial"/>
          <w:sz w:val="17"/>
          <w:szCs w:val="17"/>
          <w:b w:val="1"/>
          <w:bCs w:val="1"/>
          <w:color w:val="auto"/>
        </w:rPr>
        <w:t xml:space="preserve">Kathleen Hayes. </w:t>
      </w:r>
      <w:r>
        <w:rPr>
          <w:rFonts w:ascii="Arial" w:cs="Arial" w:eastAsia="Arial" w:hAnsi="Arial"/>
          <w:sz w:val="17"/>
          <w:szCs w:val="17"/>
          <w:color w:val="auto"/>
        </w:rPr>
        <w:t>Ms. Hayes has served as our Vice President of Human Resources since September 2015. Prior to joining us, Ms. Hayes was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at Insulet Corporation (NASDAQ: PODD), overseeing global human resource programs, from May 2010 through April 2015. Prior to this, Ms. Hayes served as Director of Human Resources at Outcome Sciences, Inc.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from June 2009 to January 2010, as Senior Director of Human Resources at PerkinElmer, Inc. (NYSE: PKI) from November 2007 to November 2008 and as Senior Director of Human Resources at ViaCell, Inc. (NASDAQ: VIAC) from 2003 to 2007. Ms. Hayes received a B.S.B.A. from the University of Massachusetts and an M.B.A. from Boston University.</w:t>
      </w:r>
    </w:p>
    <w:p>
      <w:pPr>
        <w:spacing w:after="0" w:line="175"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b w:val="1"/>
          <w:bCs w:val="1"/>
          <w:color w:val="auto"/>
        </w:rPr>
        <w:t xml:space="preserve">Robert Kotin, Ph.D. </w:t>
      </w:r>
      <w:r>
        <w:rPr>
          <w:rFonts w:ascii="Arial" w:cs="Arial" w:eastAsia="Arial" w:hAnsi="Arial"/>
          <w:sz w:val="17"/>
          <w:szCs w:val="17"/>
          <w:color w:val="auto"/>
        </w:rPr>
        <w:t>Dr. Kotin has served as our Vice President of Production since February 2014. Prior to joining us, he held several positions at the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Heart, Lung and Blood Institute of the NIH, where he served from 1994 to January 2014, most recently as Senior Investigator and Laboratory Chief. Prior to that, Dr. Kotin served as head of the AAV gene therapy program at Genetic Therapy, Inc. from 1992 to 1994 and as Senior Research Scientist of the Medical Research Division at Lederle Laboratories from 1990 to 1992. Dr. Kotin received a B.A. in Biology from the University of California, Santa Cruz and a Ph.D. in Microbiology from Rutgers University and the University of Medicine and Dentistry of New Jersey.</w:t>
      </w:r>
    </w:p>
    <w:p>
      <w:pPr>
        <w:spacing w:after="0" w:line="179"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b w:val="1"/>
          <w:bCs w:val="1"/>
          <w:color w:val="auto"/>
        </w:rPr>
        <w:t xml:space="preserve">Bernard Ravina, M.D. </w:t>
      </w:r>
      <w:r>
        <w:rPr>
          <w:rFonts w:ascii="Arial" w:cs="Arial" w:eastAsia="Arial" w:hAnsi="Arial"/>
          <w:sz w:val="16"/>
          <w:szCs w:val="16"/>
          <w:color w:val="auto"/>
        </w:rPr>
        <w:t>Dr. Ravina has served as our Vice President of Clinical Development since March 2014. Prior to joining us, Dr. Ravina was the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in Clinical Development at Biogen Idec (NASDAQ: BIIB) from October 2010 to March 2014, where he worked on both small molecule drugs and biologics for the treatment of neurological disorders and was responsible for biomarker and clinical development plans in Parkinson's disease, stroke and neuropathic pain. Prior to that, Dr. Ravina was an Associate Professor of Neurology, Director of the Movement and Inherited Neurological Disorders Unit and Associate Chair of Neurology at the University of Rochester School of Medicine from August 2005 to October 2010. Dr. Ravina received an M.D. from Johns Hopkins University School of Medicine and a Masters in Clinical Epidemiology and Biostatistics from the University of Pennsylvania. He completed his residency training in Neurology and a fellowship in Parkinson's disease and movement disorders at the Hospital of the University of Pennsylvania.</w:t>
      </w:r>
    </w:p>
    <w:p>
      <w:pPr>
        <w:spacing w:after="0" w:line="170" w:lineRule="exact"/>
        <w:rPr>
          <w:sz w:val="20"/>
          <w:szCs w:val="20"/>
          <w:color w:val="auto"/>
        </w:rPr>
      </w:pPr>
    </w:p>
    <w:p>
      <w:pPr>
        <w:ind w:right="20" w:firstLine="341"/>
        <w:spacing w:after="0" w:line="285" w:lineRule="auto"/>
        <w:rPr>
          <w:sz w:val="20"/>
          <w:szCs w:val="20"/>
          <w:color w:val="auto"/>
        </w:rPr>
      </w:pPr>
      <w:r>
        <w:rPr>
          <w:rFonts w:ascii="Arial" w:cs="Arial" w:eastAsia="Arial" w:hAnsi="Arial"/>
          <w:sz w:val="16"/>
          <w:szCs w:val="16"/>
          <w:b w:val="1"/>
          <w:bCs w:val="1"/>
          <w:color w:val="auto"/>
        </w:rPr>
        <w:t xml:space="preserve">Gregory R. Stewart, Ph.D. </w:t>
      </w:r>
      <w:r>
        <w:rPr>
          <w:rFonts w:ascii="Arial" w:cs="Arial" w:eastAsia="Arial" w:hAnsi="Arial"/>
          <w:sz w:val="16"/>
          <w:szCs w:val="16"/>
          <w:color w:val="auto"/>
        </w:rPr>
        <w:t>Dr. Stewart has served as our Vice President of Drug Delivery since November 2014. Prior to joining us, he served as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CNS Drug Therapy at Medtronic Neuromodulation from July 2004 to May 2012. Prior to that, Dr. Stewart served as the Director of Neuroscience at Genzyme Corporation, or Genzyme, a Sanofi company (NYSE: SNY) from 1997 to 2004. Prior to that, he served as a Staff Researcher-Neurobiology at Roche Bioscience (SIX: ROG)/Syntex Discovery Research from 1991 to 1996. Dr. Stewart received a B.S. in Neuroscience from Texas Christian University and a Ph.D. in Neural Sciences from Washington University in St. Louis. As a postgraduate, he was a Staff Fellow at the NIMH.</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b w:val="1"/>
          <w:bCs w:val="1"/>
          <w:color w:val="auto"/>
        </w:rPr>
        <w:t xml:space="preserve">Mark Levin. </w:t>
      </w:r>
      <w:r>
        <w:rPr>
          <w:rFonts w:ascii="Arial" w:cs="Arial" w:eastAsia="Arial" w:hAnsi="Arial"/>
          <w:sz w:val="17"/>
          <w:szCs w:val="17"/>
          <w:color w:val="auto"/>
        </w:rPr>
        <w:t>Mr. Levin has served as Chairman of our board of directors since June 2013 and served as our Interim President and Chief Executive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June 2013 to September 2014. Mr. Levin currently serves as a partner at Third Rock Ventures, which he co-founded in 2007. Mr. Levin served as founding Chief Executive Officer of Millennium Pharmaceuticals, Inc. from 1993 to 2005. Additionally, Mr. Levin was the co-founder of the life sciences effort of the Mayfield Fund, a global venture capital firm, where he was also the founding Chief Executive Officer of Cell Genesys, Inc. from 1989 to 1991, Tularik Inc. from 1991 to 1992, Focal, Inc. from 1992 to 1993, and StemCells, Inc. (NASDAQ: STEM) from 1990 to 1992. Mr. Levin started his career as a process engineer and project leader at Eli Lilly and Genentech. Mr. Levin received both a B.S. and M.S. in Chemical and Biochemical Engineering from Washington University. We believe Mr. Levin's experience working with and serving on the boards of directors of life sciences companies and his experience working in the venture capital industry qualifies him to serve on our board of directors.</w:t>
      </w:r>
    </w:p>
    <w:p>
      <w:pPr>
        <w:spacing w:after="0" w:line="187" w:lineRule="exact"/>
        <w:rPr>
          <w:sz w:val="20"/>
          <w:szCs w:val="20"/>
          <w:color w:val="auto"/>
        </w:rPr>
      </w:pPr>
    </w:p>
    <w:p>
      <w:pPr>
        <w:ind w:right="420" w:firstLine="341"/>
        <w:spacing w:after="0" w:line="320" w:lineRule="auto"/>
        <w:rPr>
          <w:sz w:val="20"/>
          <w:szCs w:val="20"/>
          <w:color w:val="auto"/>
        </w:rPr>
      </w:pPr>
      <w:r>
        <w:rPr>
          <w:rFonts w:ascii="Arial" w:cs="Arial" w:eastAsia="Arial" w:hAnsi="Arial"/>
          <w:sz w:val="16"/>
          <w:szCs w:val="16"/>
          <w:b w:val="1"/>
          <w:bCs w:val="1"/>
          <w:color w:val="auto"/>
        </w:rPr>
        <w:t xml:space="preserve">Michael Higgins. </w:t>
      </w:r>
      <w:r>
        <w:rPr>
          <w:rFonts w:ascii="Arial" w:cs="Arial" w:eastAsia="Arial" w:hAnsi="Arial"/>
          <w:sz w:val="16"/>
          <w:szCs w:val="16"/>
          <w:color w:val="auto"/>
        </w:rPr>
        <w:t>Mr. Higgins has served as a member of our board of directors since July 2015. In January 2015, Mr. Higgins joined Polaris Partners as an</w:t>
      </w:r>
      <w:r>
        <w:rPr>
          <w:rFonts w:ascii="Arial" w:cs="Arial" w:eastAsia="Arial" w:hAnsi="Arial"/>
          <w:sz w:val="16"/>
          <w:szCs w:val="16"/>
          <w:b w:val="1"/>
          <w:bCs w:val="1"/>
          <w:color w:val="auto"/>
        </w:rPr>
        <w:t xml:space="preserve"> </w:t>
      </w:r>
      <w:r>
        <w:rPr>
          <w:rFonts w:ascii="Arial" w:cs="Arial" w:eastAsia="Arial" w:hAnsi="Arial"/>
          <w:sz w:val="16"/>
          <w:szCs w:val="16"/>
          <w:color w:val="auto"/>
        </w:rPr>
        <w:t>entrepreneur-in-residence. Prior to joining Polaris Partners, Mr. Higgins served as Chief Operating Officer and Chief Financial Officer at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Ironwood Pharmaceuticals, Inc. (NASDAQ: IRWD) from 2003 through December 2014. Prior to his work at Ironwood, from 1997 through 2003, Mr. Higgins worked at Genzyme Corporation in a variety of leadership roles including Vice President, Corporate Finance and Vice President, Business Development. While at Genzyme, he was involved with multiple businesses including the Cell Therapy, Gene Therapy, and Orphan Disease business units. Previously, Mr. Higgins served as Chief Financial Officer of Procept, Inc., from 1992 to 1997. He also serves on the board of directors of Genocea Biosciences, Inc. (NASDAQ: GNCA) and Pulmatrix, Inc. (NASDAQ: PULM). Mr. Higgins began his pharmaceutical career as a sales representative for Schering-Plough Corporation in 1986. Mr. Higgins earned his Bachelor of Science degree from Cornell University and holds an M.B.A. from the Amos Tuck School of Business at Dartmouth College. We believe Mr. Higgins' financial and business expertise, including his diversified background as an executive officer in public pharmaceutical companies, qualifies him to serve as a member of our board of directors.</w:t>
      </w:r>
    </w:p>
    <w:p>
      <w:pPr>
        <w:spacing w:after="0" w:line="183"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b w:val="1"/>
          <w:bCs w:val="1"/>
          <w:color w:val="auto"/>
        </w:rPr>
        <w:t xml:space="preserve">Steven Hyman. </w:t>
      </w:r>
      <w:r>
        <w:rPr>
          <w:rFonts w:ascii="Arial" w:cs="Arial" w:eastAsia="Arial" w:hAnsi="Arial"/>
          <w:sz w:val="16"/>
          <w:szCs w:val="16"/>
          <w:color w:val="auto"/>
        </w:rPr>
        <w:t>Dr. Hyman has been a member of our board of directors since September 2015. He has served as director of the Stanley Center for Psychiatric</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at the Broad Institute of Harvard and MIT and as a Core Faculty Member of the Broad Institute since February 2012. Dr. Hyman has served as a Harvard University Distinguished Service Professor of Stem Cell and Regenerative Biology since July 2011. From December 2001 to June 2011, he served as Provost of Harvard University, the University's chief academic officer. From 1996 to 2001, he served as director of the U.S. National Institute of Mental Health, where he emphasized investment in neuroscience and emerging genetic technologies. He was elected to the Institute of Medicine in 2000, renamed the National Academy of Medicine, where he currently serves on the governing Council, the Board of Health Science Policy, and chairs the Forum on Neuroscience and Nervous System Disorders. He was founding President of the International Neuroethics Society, a fellow of the American Academy of Arts and Sciences, a fellow of the American Association for the Advancement of Science, a fellow of the American College of Neuropsychopharmacology, and a Distinguished Life Fellow of the American Psychiatric Association. Dr. Hyman received a B.A. from Yale College, an M.A. from the University of Cambridge, which he attended as a Mellon fellow, and an M.D. from Harvard Medical School. We believe that Dr. Hyman's extensive knowledge of neuroscience combined with his leadership skills qualifies him to serve as a member of our board of directors.</w:t>
      </w:r>
    </w:p>
    <w:p>
      <w:pPr>
        <w:spacing w:after="0" w:line="173"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b w:val="1"/>
          <w:bCs w:val="1"/>
          <w:color w:val="auto"/>
        </w:rPr>
        <w:t xml:space="preserve">James A. Geraghty. </w:t>
      </w:r>
      <w:r>
        <w:rPr>
          <w:rFonts w:ascii="Arial" w:cs="Arial" w:eastAsia="Arial" w:hAnsi="Arial"/>
          <w:sz w:val="16"/>
          <w:szCs w:val="16"/>
          <w:color w:val="auto"/>
        </w:rPr>
        <w:t>Mr. Geraghty has been a member of our board of directors since January 2014. He has served as Chairman of the board of directors of Idera</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Pharmaceuticals, Inc. since July 2013, and also serves as a member of the board of directors of Juniper Pharmaceuticals, Inc. He has served as an Entrepreneur-in-Residence at Third Rock Ventures since May 2013. Previously, Mr. Geraghty served as Senior Vice President, North America Strategy and Business Development at Sanofi S.A. from February 2011 to October 2013. Prior to that, Mr. Geraghty held many roles at Genzyme from 1992 to 2011, most recently as Senior Vice President of International Development and an executive officer. While at Genzyme, his roles included President of Genzyme Europe and General Manager of Genzyme's cardiovascular business. He also served as Chairman of the board of directors, President and Chief Executive Officer of GTC Biotherapeutics, Inc. (formerly Genzyme Transgenics Corporation) from 1993 to 2007. Mr. Geraghty received a B.A. in Psychology and English from Georgetown University, an M.S. in Clinical Psychology from the University of Pennsylvania, and a J.D. from Yale Law School. We believe Mr. Geraghty's experience as a senior executive and service on the boards of other life sciences companies qualifies him to serve on our board of directors.</w:t>
      </w:r>
    </w:p>
    <w:p>
      <w:pPr>
        <w:spacing w:after="0" w:line="173" w:lineRule="exact"/>
        <w:rPr>
          <w:sz w:val="20"/>
          <w:szCs w:val="20"/>
          <w:color w:val="auto"/>
        </w:rPr>
      </w:pPr>
    </w:p>
    <w:p>
      <w:pPr>
        <w:ind w:firstLine="341"/>
        <w:spacing w:after="0" w:line="267" w:lineRule="auto"/>
        <w:rPr>
          <w:sz w:val="20"/>
          <w:szCs w:val="20"/>
          <w:color w:val="auto"/>
        </w:rPr>
      </w:pPr>
      <w:r>
        <w:rPr>
          <w:rFonts w:ascii="Arial" w:cs="Arial" w:eastAsia="Arial" w:hAnsi="Arial"/>
          <w:sz w:val="17"/>
          <w:szCs w:val="17"/>
          <w:b w:val="1"/>
          <w:bCs w:val="1"/>
          <w:color w:val="auto"/>
        </w:rPr>
        <w:t xml:space="preserve">Perry Karsen. </w:t>
      </w:r>
      <w:r>
        <w:rPr>
          <w:rFonts w:ascii="Arial" w:cs="Arial" w:eastAsia="Arial" w:hAnsi="Arial"/>
          <w:sz w:val="17"/>
          <w:szCs w:val="17"/>
          <w:color w:val="auto"/>
        </w:rPr>
        <w:t>Mr. Karsen has served as a member of our board of directors since July 2015. Mr. Karsen currently serves as the Chief Executive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Celgene Cellular Therapeutics division of Celgene Corporation (NASDAQ: CELG), a publicly traded global biopharmaceutical company. Mr. Karsen served as Chief Operations Officer and Executive Vice President of Celgene from July 2010 to May 2013, and as senior vice president and head of worldwide business development of Celgene from 2004 to 2009. Between February 2009 and July 2010, Mr. Karsen was Chief Executive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Officer of Pearl Therapeutics Inc., a privately held biotechnology company subsequently acquired by AstraZeneca plc (NYSE: AZN). Prior to his tenure with Celgene,</w:t>
      </w:r>
    </w:p>
    <w:p>
      <w:pPr>
        <w:spacing w:after="0" w:line="43"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Mr. Karsen held executive positions at Human Genome Sciences, Inc., Bristol-Myers Squibb Co. (NYSE: BMY), a publicly traded biopharmaceutical company, Genentech, Inc. (a member of the Roche Group) and Abbott Laboratories (NYSE: ABT), a publicly traded pharmaceuticals and healthcare products company. In addition, Mr. Karsen served as a general partner at Pequot Ventures. He is a member of the Boards of Directors of publicly traded life sciences companies, Alliqua Biomedical, Inc. (NASDAQ: ALQA) and Agios Pharmaceuticals, Inc. (NASDAQ: AGIO). Mr. Karsen also serves as a member of the boards of directors of the Biotechnology Industry Organization (BIO), and the Life Sciences Foundation. Mr. Karsen received a Masters of Management degree from Northwestern University's Kellogg Graduate School of Management, a Masters of Arts in Teaching of Biology from Duke University and a B.S. in Biological Sciences from the University of Illinois, Urbana-Champaign. We believe Mr. Karsen's executive leadership experience, including his experience as an executive at large and successful multi-national pharmaceutical companies and membership on boards of directors of various trade organizations, qualifies him to serve as a member of our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firstLine="332"/>
        <w:spacing w:after="0" w:line="276" w:lineRule="auto"/>
        <w:rPr>
          <w:sz w:val="20"/>
          <w:szCs w:val="20"/>
          <w:color w:val="auto"/>
        </w:rPr>
      </w:pPr>
      <w:r>
        <w:rPr>
          <w:rFonts w:ascii="Arial" w:cs="Arial" w:eastAsia="Arial" w:hAnsi="Arial"/>
          <w:sz w:val="16"/>
          <w:szCs w:val="16"/>
          <w:color w:val="auto"/>
        </w:rPr>
        <w:t>As of September 30, 2015, our board of directors consisted of six members, each of whom are members pursuant to the board composition provisions of our amended and restated certificate of incorporation and our stockholders agreement, which agreement is described in the section titled "Certain Relationships and Related Party Transactions" in this prospectus.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immediately prior to the completion of this offering also provide that our directors may be removed only for cause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 Notwithstanding the foregoing, Dr. Paul will serve without further compensation as a member of the board of directors for as long as he serves as our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4" w:lineRule="exact"/>
        <w:rPr>
          <w:sz w:val="20"/>
          <w:szCs w:val="20"/>
          <w:color w:val="auto"/>
        </w:rPr>
      </w:pPr>
    </w:p>
    <w:p>
      <w:pPr>
        <w:ind w:right="260" w:firstLine="341"/>
        <w:spacing w:after="0" w:line="311" w:lineRule="auto"/>
        <w:rPr>
          <w:sz w:val="20"/>
          <w:szCs w:val="20"/>
          <w:color w:val="auto"/>
        </w:rPr>
      </w:pPr>
      <w:r>
        <w:rPr>
          <w:rFonts w:ascii="Arial" w:cs="Arial" w:eastAsia="Arial" w:hAnsi="Arial"/>
          <w:sz w:val="15"/>
          <w:szCs w:val="15"/>
          <w:color w:val="auto"/>
        </w:rPr>
        <w:t>Our board of directors has determined that all members of the board of directors, except Dr. Paul and Mr. Levin, are independent directors, in accordance with listing requirements of The NASDAQ Stock Market and relevant federal securities laws and regulations. Dr. Paul is not an independent director under these rules because he is our Chief Executive Officer and President. Mr. Levin is not an independent director under these rules because he served as our President and Chief Executive Officer from June 2013 to September 2014. There are no family relationships among any of our directors or executive officers.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Staggered Board</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In accordance with the terms of our amended and restated certificate of incorporation and amended and restated bylaws that will become effective immediately prior to the completion of this offering, our board of directors will be divided into three staggered classes of directors of the same or nearly the same number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2016 for Class I directors, 2017 for Class II directors and 2018 for Class III directors.</w:t>
      </w:r>
    </w:p>
    <w:p>
      <w:pPr>
        <w:spacing w:after="0" w:line="172" w:lineRule="exact"/>
        <w:rPr>
          <w:sz w:val="20"/>
          <w:szCs w:val="20"/>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Class I directors will be Mark Levin and Steven M. Paul;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Class II directors will be James A. Geraghty and Steven Hyman;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Class III directors will be Perry Karsen and Michael Higgins.</w:t>
      </w:r>
    </w:p>
    <w:p>
      <w:pPr>
        <w:spacing w:after="0" w:line="224"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79" w:lineRule="exact"/>
        <w:rPr>
          <w:sz w:val="20"/>
          <w:szCs w:val="20"/>
          <w:color w:val="auto"/>
        </w:rPr>
      </w:pPr>
    </w:p>
    <w:p>
      <w:pPr>
        <w:ind w:right="540" w:firstLine="338"/>
        <w:spacing w:after="0" w:line="28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Our board of directors plans on establishing an audit committee, a compensation committee and a nominating and corporate governance committee, each of which will operate pursuant to a charter to be adopted by our board of directors and will be effective upon completion of the offering. Upon the completion of this offering, the composition and functioning of all of our committees will comply with all applicable requirements of the Sarbanes-Oxley Act of 2002, the Dodd-Frank Act, The NASDAQ Stock Market and the SEC rules and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22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color w:val="auto"/>
        </w:rPr>
        <w:t>Effective upon the completion of this offering, our audit committee will be composed of Perry Karsen, James A. Geraghty and Michael Higgins, with Michael Higgins serving as chairman of the committee. Our board of directors has determined that Perry Karsen, Michael Higgins, and James A. Geraghty meet the independence requirements of Rule 10A-3 under the Securities Exchange Act of 1934, as amended, or the Exchange Act, and the applicable listing standards of The NASDAQ Stock Market. Our board of directors has further determined that Michael Higgins is an "audit committee financial expert" within the meaning of the SEC regulations and applicable listing standards of The NASDAQ Stock Market. The audit committee's responsibilities upon completion of this offering will include:</w:t>
      </w:r>
    </w:p>
    <w:p>
      <w:pPr>
        <w:spacing w:after="0" w:line="172" w:lineRule="exact"/>
        <w:rPr>
          <w:sz w:val="20"/>
          <w:szCs w:val="20"/>
          <w:color w:val="auto"/>
        </w:rPr>
      </w:pPr>
    </w:p>
    <w:p>
      <w:pPr>
        <w:ind w:left="1060" w:right="520" w:hanging="531"/>
        <w:spacing w:after="0" w:line="28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appointing, approving the compensation of, reviewing the performance of, and assessing the independence of our independent registered public accounting firm;</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pre-approving audit and permissible non-audit services, and the terms of such services, to be provided by our independent registered public accounting firm;</w:t>
      </w:r>
    </w:p>
    <w:p>
      <w:pPr>
        <w:spacing w:after="0" w:line="182"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reviewing the internal audit plan with the independent registered public accounting firm and members of management responsible for preparing our financial statements;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26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reviewing the adequacy of our internal control over financial reporting;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237"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recommending, based upon its review and discussions with management and the independent registered public accounting firm, whether our audited financial statements shall be included in our Annual Report on Form 10-K;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preparing the audit committee report required by the rules of the SEC to be included in our annual proxy statement;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reviewing all related party transactions for potential conflict of interest situations and approving all such transactions;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reviewing policies related to risk assessment and risk management;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establishing, maintaining and overseeing our Code of Business Conduct and Ethics.</w:t>
      </w:r>
    </w:p>
    <w:p>
      <w:pPr>
        <w:spacing w:after="0" w:line="224" w:lineRule="exact"/>
        <w:rPr>
          <w:sz w:val="20"/>
          <w:szCs w:val="20"/>
          <w:color w:val="auto"/>
        </w:rPr>
      </w:pPr>
    </w:p>
    <w:p>
      <w:pPr>
        <w:ind w:right="320" w:firstLine="332"/>
        <w:spacing w:after="0" w:line="282" w:lineRule="auto"/>
        <w:rPr>
          <w:sz w:val="20"/>
          <w:szCs w:val="20"/>
          <w:color w:val="auto"/>
        </w:rPr>
      </w:pPr>
      <w:r>
        <w:rPr>
          <w:rFonts w:ascii="Arial" w:cs="Arial" w:eastAsia="Arial" w:hAnsi="Arial"/>
          <w:sz w:val="17"/>
          <w:szCs w:val="17"/>
          <w:color w:val="auto"/>
        </w:rPr>
        <w:t>All audit services to be provided to us and all non-audit services, other than de minimis non-audit services, to be provided to us by our independent registered public accounting firm must be approved in advance by our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w:t>
      </w:r>
    </w:p>
    <w:p>
      <w:pPr>
        <w:spacing w:after="0" w:line="224" w:lineRule="exact"/>
        <w:rPr>
          <w:sz w:val="20"/>
          <w:szCs w:val="20"/>
          <w:color w:val="auto"/>
        </w:rPr>
      </w:pPr>
    </w:p>
    <w:p>
      <w:pPr>
        <w:ind w:right="180" w:firstLine="341"/>
        <w:spacing w:after="0" w:line="311" w:lineRule="auto"/>
        <w:rPr>
          <w:sz w:val="20"/>
          <w:szCs w:val="20"/>
          <w:color w:val="auto"/>
        </w:rPr>
      </w:pPr>
      <w:r>
        <w:rPr>
          <w:rFonts w:ascii="Arial" w:cs="Arial" w:eastAsia="Arial" w:hAnsi="Arial"/>
          <w:sz w:val="15"/>
          <w:szCs w:val="15"/>
          <w:color w:val="auto"/>
        </w:rPr>
        <w:t>Effective upon the completion of this offering, our compensation committee will be composed of Michael Higgins, James A. Geraghty and Perry Karsen, with Perry Karsen serving as chairman of the committee. Our board of directors has determined each member of the compensation committee is "independent" as defined under the applicable listing standards of The NASDAQ Stock Market, is an "outside director" as defined under Section 162(m) of the Code and a "non-employee director" as defined under Rule 16b-3 of the Exchange Act. The compensation committee's responsibilities upon completion of this offering will include:</w:t>
      </w:r>
    </w:p>
    <w:p>
      <w:pPr>
        <w:spacing w:after="0" w:line="168" w:lineRule="exact"/>
        <w:rPr>
          <w:sz w:val="20"/>
          <w:szCs w:val="20"/>
          <w:color w:val="auto"/>
        </w:rPr>
      </w:pPr>
    </w:p>
    <w:p>
      <w:pPr>
        <w:ind w:left="1060" w:right="8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annually reviewing and recommending for approval by the independent directors of the board individual and corporate goals and objectives relevant to the compensation of our executive officers;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evaluating the performance of our executive officers in light of such individual and corporate goals and objectives and determining the compensation of our executive officers;</w:t>
      </w:r>
    </w:p>
    <w:p>
      <w:pPr>
        <w:spacing w:after="0" w:line="196" w:lineRule="exact"/>
        <w:rPr>
          <w:rFonts w:ascii="Arial" w:cs="Arial" w:eastAsia="Arial" w:hAnsi="Arial"/>
          <w:sz w:val="17"/>
          <w:szCs w:val="17"/>
          <w:color w:val="auto"/>
        </w:rPr>
      </w:pPr>
    </w:p>
    <w:p>
      <w:pPr>
        <w:ind w:left="1060" w:right="54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appointing, compensating and overseeing the work of any compensation consultant, legal counsel or other advisor retained by the compensation committee;</w:t>
      </w:r>
    </w:p>
    <w:p>
      <w:pPr>
        <w:spacing w:after="0" w:line="182"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conducting the independence assessment outlined in the rules of The NASDAQ Stock Market with respect to any compensation consultant, legal counsel or other advisor retained by the compensation committee;</w:t>
      </w:r>
    </w:p>
    <w:p>
      <w:pPr>
        <w:spacing w:after="0" w:line="182" w:lineRule="exact"/>
        <w:rPr>
          <w:rFonts w:ascii="Arial" w:cs="Arial" w:eastAsia="Arial" w:hAnsi="Arial"/>
          <w:sz w:val="17"/>
          <w:szCs w:val="17"/>
          <w:color w:val="auto"/>
        </w:rPr>
      </w:pPr>
    </w:p>
    <w:p>
      <w:pPr>
        <w:ind w:left="1060" w:right="42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annually reviewing and reassessing the adequacy of the committee charter in its compliance with the listing requirements of The NASDAQ Stock Market;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overseeing and administering our compensation and similar plans;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and approving our policies and procedures for the grant of equity-based awards;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520" w:hanging="531"/>
        <w:spacing w:after="0" w:line="28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approving stock option grants, and making recommendations to the board of directors with respect to stock option grants made to directors, executive officers, senior vice presidents or anyone reporting directly to our chief executive officer;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if any, to be included in our annual proxy statement;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reviewing and discussing with the board of directors corporate succession plans for the chief executive officer and other senior management positions.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Nominating and Corporate Governance Committee</w:t>
      </w:r>
    </w:p>
    <w:p>
      <w:pPr>
        <w:spacing w:after="0" w:line="224" w:lineRule="exact"/>
        <w:rPr>
          <w:sz w:val="20"/>
          <w:szCs w:val="20"/>
          <w:color w:val="auto"/>
        </w:rPr>
      </w:pPr>
    </w:p>
    <w:p>
      <w:pPr>
        <w:ind w:right="300" w:firstLine="341"/>
        <w:spacing w:after="0" w:line="265" w:lineRule="auto"/>
        <w:rPr>
          <w:sz w:val="20"/>
          <w:szCs w:val="20"/>
          <w:color w:val="auto"/>
        </w:rPr>
      </w:pPr>
      <w:r>
        <w:rPr>
          <w:rFonts w:ascii="Arial" w:cs="Arial" w:eastAsia="Arial" w:hAnsi="Arial"/>
          <w:sz w:val="17"/>
          <w:szCs w:val="17"/>
          <w:color w:val="auto"/>
        </w:rPr>
        <w:t>Effective upon the completion of this offering, our nominating and corporate governance committee will be composed of Perry Karsen, Steven Hyman and James A. Geraghty, with James A. Geraghty serving as chairman of the committee. Our board of directors has determined that each member of the nominating and corporate governance committee is "independent" as defined under the applicable listing standards of The NASDAQ Stock Market. The nominating and corporate governance committee's responsibilities upon completion of this offering will include:</w:t>
      </w:r>
    </w:p>
    <w:p>
      <w:pPr>
        <w:spacing w:after="0" w:line="199" w:lineRule="exact"/>
        <w:rPr>
          <w:sz w:val="20"/>
          <w:szCs w:val="20"/>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principles.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establish other committees from time to time.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and Risk Oversight</w:t>
      </w:r>
    </w:p>
    <w:p>
      <w:pPr>
        <w:spacing w:after="0" w:line="228"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None of our executive officers serves as a member of the board of directors or compensation committee, or other committee serving an equivalent function, of any other entity that has one or more of its executive officers serving as a member of our board of directors or compensation committee. None of the members of our compensation committee has ever been employed by us. For a description of transactions between us and members of our compensation committee and affiliates of such members, see the section titled "Certain Relationships and Related Party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firstLine="338"/>
        <w:spacing w:after="0" w:line="301" w:lineRule="auto"/>
        <w:rPr>
          <w:sz w:val="20"/>
          <w:szCs w:val="20"/>
          <w:color w:val="auto"/>
        </w:rPr>
      </w:pPr>
      <w:r>
        <w:rPr>
          <w:rFonts w:ascii="Arial" w:cs="Arial" w:eastAsia="Arial" w:hAnsi="Arial"/>
          <w:sz w:val="15"/>
          <w:szCs w:val="15"/>
          <w:color w:val="auto"/>
        </w:rPr>
        <w:t>The positions of our chairman of the board and chief executive officer are separated.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our chairman, particularly as the board of directors' oversight responsibilities continue to grow. Our board of directors also believes that this structure ensures a greater role for the independent directors in the oversight of our company and active participation of the independent directors in setting agendas and establishing priorities and procedures for the work of our board of directors. This leadership structure also is preferred by a significant number of our stockholders. Our board of directors believes its administration of its risk oversight function has not affected its leadership structure.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32"/>
        <w:spacing w:after="0" w:line="270" w:lineRule="auto"/>
        <w:rPr>
          <w:sz w:val="20"/>
          <w:szCs w:val="20"/>
          <w:color w:val="auto"/>
        </w:rPr>
      </w:pPr>
      <w:r>
        <w:rPr>
          <w:rFonts w:ascii="Arial" w:cs="Arial" w:eastAsia="Arial" w:hAnsi="Arial"/>
          <w:sz w:val="17"/>
          <w:szCs w:val="17"/>
          <w:color w:val="auto"/>
        </w:rPr>
        <w:t>Although our bylaws that will be in effect upon the completion of this offering will not require our chairman and chief executive officer positions to be separate, our board of directors believes that having separate positions is the appropriate leadership structure for us at this time and demonstrates our commitment to good corporate governance.</w:t>
      </w:r>
    </w:p>
    <w:p>
      <w:pPr>
        <w:spacing w:after="0" w:line="179" w:lineRule="exact"/>
        <w:rPr>
          <w:sz w:val="20"/>
          <w:szCs w:val="20"/>
          <w:color w:val="auto"/>
        </w:rPr>
      </w:pPr>
    </w:p>
    <w:p>
      <w:pPr>
        <w:jc w:val="both"/>
        <w:ind w:right="380" w:firstLine="341"/>
        <w:spacing w:after="0" w:line="270"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those described under the section titled "Risk Factors." Our board of directors is actively involved in oversight of risks that could affect us. This oversight is conducted primarily by our full board of directors, which has responsibility for general oversight of risks.</w:t>
      </w:r>
    </w:p>
    <w:p>
      <w:pPr>
        <w:spacing w:after="0" w:line="17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Following the completion of this offering, our board of directors will satisfy this responsibility through full reports by each committee chair regarding the committee's considerations and actions, as well as through regular reports directly from officers responsible for oversight of particular risks within our company. Our board of directors believes that full and open communication between management and the board of directors is essential for effective risk management and oversight.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ind w:right="520" w:firstLine="338"/>
        <w:spacing w:after="0" w:line="265"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those officers responsible for financial reporting. Upon the completion of this offering, our code of business conduct and ethics will be available on our website, which is located at www.voyagertherapeutics.com. We intend to disclose any amendments to the code, or any waivers of its requirements, on our website, or in a current report on Form 8-K as may be required by law or the listing standards of The NASDAQ Stock Market.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28"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87" w:lineRule="exact"/>
        <w:rPr>
          <w:sz w:val="20"/>
          <w:szCs w:val="20"/>
          <w:color w:val="auto"/>
        </w:rPr>
      </w:pPr>
    </w:p>
    <w:p>
      <w:pPr>
        <w:ind w:right="80" w:firstLine="338"/>
        <w:spacing w:after="0" w:line="322" w:lineRule="auto"/>
        <w:rPr>
          <w:sz w:val="20"/>
          <w:szCs w:val="20"/>
          <w:color w:val="auto"/>
        </w:rPr>
      </w:pPr>
      <w:r>
        <w:rPr>
          <w:rFonts w:ascii="Arial" w:cs="Arial" w:eastAsia="Arial" w:hAnsi="Arial"/>
          <w:sz w:val="15"/>
          <w:szCs w:val="15"/>
          <w:color w:val="auto"/>
        </w:rPr>
        <w:t>We have adopted provisions in our amended and restated certificate of incorporation and amended and restated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58" w:lineRule="exact"/>
        <w:rPr>
          <w:sz w:val="20"/>
          <w:szCs w:val="20"/>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our amended and restated bylaws provide that:</w:t>
      </w:r>
    </w:p>
    <w:p>
      <w:pPr>
        <w:spacing w:after="0" w:line="237" w:lineRule="exact"/>
        <w:rPr>
          <w:sz w:val="20"/>
          <w:szCs w:val="20"/>
          <w:color w:val="auto"/>
        </w:rPr>
      </w:pPr>
    </w:p>
    <w:p>
      <w:pPr>
        <w:ind w:left="1060" w:hanging="531"/>
        <w:spacing w:after="0" w:line="282"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196" w:lineRule="exact"/>
        <w:rPr>
          <w:rFonts w:ascii="Arial" w:cs="Arial" w:eastAsia="Arial" w:hAnsi="Arial"/>
          <w:sz w:val="17"/>
          <w:szCs w:val="17"/>
          <w:color w:val="auto"/>
        </w:rPr>
      </w:pPr>
    </w:p>
    <w:p>
      <w:pPr>
        <w:ind w:left="1060" w:right="400" w:hanging="531"/>
        <w:spacing w:after="0" w:line="352" w:lineRule="auto"/>
        <w:tabs>
          <w:tab w:leader="none" w:pos="10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23"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Additionally, each of our directors may have certain rights to indemnification, advancement of expenses and/or insurance provided by their affiliates, which indemnification relates to and might apply to the same proceedings arising out of such director's services as a director referenced herein. Nonetheless, we have agreed in the indemnification agreements that our obligations to those same directors are primary and any obligation of the affiliates of those directors to advance expenses or to provide indemnification for the expenses or liabilities incurred by those directors are secondary.</w:t>
      </w:r>
    </w:p>
    <w:p>
      <w:pPr>
        <w:spacing w:after="0" w:line="169"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The following table sets forth information regarding compensation awarded to, earned by or paid to each of our named executive officers during the fiscal years ended December 31, 2014.</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Bonus</w:t>
            </w:r>
          </w:p>
        </w:tc>
        <w:tc>
          <w:tcPr>
            <w:tcW w:w="10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Stock Awards</w:t>
            </w:r>
          </w:p>
        </w:tc>
        <w:tc>
          <w:tcPr>
            <w:tcW w:w="160" w:type="dxa"/>
            <w:vAlign w:val="bottom"/>
          </w:tcPr>
          <w:p>
            <w:pPr>
              <w:spacing w:after="0"/>
              <w:rPr>
                <w:sz w:val="13"/>
                <w:szCs w:val="13"/>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All Other</w:t>
            </w: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Total</w:t>
            </w:r>
          </w:p>
        </w:tc>
      </w:tr>
      <w:tr>
        <w:trPr>
          <w:trHeight w:val="170"/>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0"/>
              <w:spacing w:after="0" w:line="171"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(5)</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Compensation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r>
      <w:tr>
        <w:trPr>
          <w:trHeight w:val="242"/>
        </w:trPr>
        <w:tc>
          <w:tcPr>
            <w:tcW w:w="32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Steven M. Paul, M.D.</w:t>
            </w:r>
            <w:r>
              <w:rPr>
                <w:rFonts w:ascii="Arial" w:cs="Arial" w:eastAsia="Arial" w:hAnsi="Arial"/>
                <w:sz w:val="28"/>
                <w:szCs w:val="28"/>
                <w:color w:val="auto"/>
                <w:vertAlign w:val="superscript"/>
              </w:rPr>
              <w:t>(1)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150,000</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876,950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5,870</w:t>
            </w:r>
            <w:r>
              <w:rPr>
                <w:rFonts w:ascii="Arial" w:cs="Arial" w:eastAsia="Arial" w:hAnsi="Arial"/>
                <w:sz w:val="14"/>
                <w:szCs w:val="14"/>
                <w:color w:val="auto"/>
              </w:rPr>
              <w:t>(8)</w:t>
            </w: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1,032,820</w:t>
            </w:r>
          </w:p>
        </w:tc>
      </w:tr>
      <w:tr>
        <w:trPr>
          <w:trHeight w:val="210"/>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 Executive Officer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50"/>
        </w:trPr>
        <w:tc>
          <w:tcPr>
            <w:tcW w:w="3200" w:type="dxa"/>
            <w:vAlign w:val="bottom"/>
            <w:gridSpan w:val="3"/>
          </w:tcPr>
          <w:p>
            <w:pPr>
              <w:spacing w:after="0"/>
              <w:rPr>
                <w:sz w:val="20"/>
                <w:szCs w:val="20"/>
                <w:color w:val="auto"/>
              </w:rPr>
            </w:pPr>
            <w:r>
              <w:rPr>
                <w:rFonts w:ascii="Arial" w:cs="Arial" w:eastAsia="Arial" w:hAnsi="Arial"/>
                <w:sz w:val="17"/>
                <w:szCs w:val="17"/>
                <w:color w:val="auto"/>
              </w:rPr>
              <w:t>Mark Levin</w:t>
            </w:r>
            <w:r>
              <w:rPr>
                <w:rFonts w:ascii="Arial" w:cs="Arial" w:eastAsia="Arial" w:hAnsi="Arial"/>
                <w:sz w:val="28"/>
                <w:szCs w:val="28"/>
                <w:color w:val="auto"/>
                <w:vertAlign w:val="superscript"/>
              </w:rPr>
              <w:t>(2)</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2014</w:t>
            </w:r>
          </w:p>
        </w:tc>
        <w:tc>
          <w:tcPr>
            <w:tcW w:w="1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gridSpan w:val="3"/>
          </w:tcPr>
          <w:p>
            <w:pPr>
              <w:ind w:left="180"/>
              <w:spacing w:after="0"/>
              <w:rPr>
                <w:sz w:val="20"/>
                <w:szCs w:val="20"/>
                <w:color w:val="auto"/>
              </w:rPr>
            </w:pPr>
            <w:r>
              <w:rPr>
                <w:rFonts w:ascii="Arial" w:cs="Arial" w:eastAsia="Arial" w:hAnsi="Arial"/>
                <w:sz w:val="17"/>
                <w:szCs w:val="17"/>
                <w:i w:val="1"/>
                <w:iCs w:val="1"/>
                <w:color w:val="auto"/>
              </w:rPr>
              <w:t>Interim President and Chief Executive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3200" w:type="dxa"/>
            <w:vAlign w:val="bottom"/>
            <w:gridSpan w:val="3"/>
          </w:tcPr>
          <w:p>
            <w:pPr>
              <w:ind w:left="180"/>
              <w:spacing w:after="0"/>
              <w:rPr>
                <w:sz w:val="20"/>
                <w:szCs w:val="20"/>
                <w:color w:val="auto"/>
              </w:rPr>
            </w:pPr>
            <w:r>
              <w:rPr>
                <w:rFonts w:ascii="Arial" w:cs="Arial" w:eastAsia="Arial" w:hAnsi="Arial"/>
                <w:sz w:val="17"/>
                <w:szCs w:val="17"/>
                <w:i w:val="1"/>
                <w:iCs w:val="1"/>
                <w:color w:val="auto"/>
              </w:rPr>
              <w:t>Officer</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0"/>
        </w:trPr>
        <w:tc>
          <w:tcPr>
            <w:tcW w:w="3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Bernard Ravina, M.D.</w:t>
            </w:r>
            <w:r>
              <w:rPr>
                <w:rFonts w:ascii="Arial" w:cs="Arial" w:eastAsia="Arial" w:hAnsi="Arial"/>
                <w:sz w:val="28"/>
                <w:szCs w:val="28"/>
                <w:color w:val="auto"/>
                <w:vertAlign w:val="superscript"/>
              </w:rPr>
              <w:t>(3)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231,731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50"/>
              <w:spacing w:after="0"/>
              <w:rPr>
                <w:sz w:val="20"/>
                <w:szCs w:val="20"/>
                <w:color w:val="auto"/>
              </w:rPr>
            </w:pPr>
            <w:r>
              <w:rPr>
                <w:rFonts w:ascii="Arial" w:cs="Arial" w:eastAsia="Arial" w:hAnsi="Arial"/>
                <w:sz w:val="17"/>
                <w:szCs w:val="17"/>
                <w:color w:val="auto"/>
                <w:w w:val="95"/>
              </w:rPr>
              <w:t>101,060</w:t>
            </w:r>
            <w:r>
              <w:rPr>
                <w:rFonts w:ascii="Arial" w:cs="Arial" w:eastAsia="Arial" w:hAnsi="Arial"/>
                <w:sz w:val="14"/>
                <w:szCs w:val="14"/>
                <w:color w:val="auto"/>
                <w:w w:val="95"/>
              </w:rPr>
              <w:t>(6)</w:t>
            </w:r>
            <w:r>
              <w:rPr>
                <w:rFonts w:ascii="Arial" w:cs="Arial" w:eastAsia="Arial" w:hAnsi="Arial"/>
                <w:sz w:val="17"/>
                <w:szCs w:val="17"/>
                <w:color w:val="auto"/>
                <w:w w:val="95"/>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55,000</w:t>
            </w:r>
          </w:p>
        </w:tc>
        <w:tc>
          <w:tcPr>
            <w:tcW w:w="16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387,791</w:t>
            </w:r>
          </w:p>
        </w:tc>
      </w:tr>
      <w:tr>
        <w:trPr>
          <w:trHeight w:val="210"/>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Vice President of Clinical Development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50"/>
        </w:trPr>
        <w:tc>
          <w:tcPr>
            <w:tcW w:w="3200" w:type="dxa"/>
            <w:vAlign w:val="bottom"/>
            <w:gridSpan w:val="3"/>
          </w:tcPr>
          <w:p>
            <w:pPr>
              <w:spacing w:after="0"/>
              <w:rPr>
                <w:sz w:val="20"/>
                <w:szCs w:val="20"/>
                <w:color w:val="auto"/>
              </w:rPr>
            </w:pPr>
            <w:r>
              <w:rPr>
                <w:rFonts w:ascii="Arial" w:cs="Arial" w:eastAsia="Arial" w:hAnsi="Arial"/>
                <w:sz w:val="17"/>
                <w:szCs w:val="17"/>
                <w:color w:val="auto"/>
              </w:rPr>
              <w:t>Robert G. Pietrusko, Pharm.D.</w:t>
            </w:r>
            <w:r>
              <w:rPr>
                <w:rFonts w:ascii="Arial" w:cs="Arial" w:eastAsia="Arial" w:hAnsi="Arial"/>
                <w:sz w:val="28"/>
                <w:szCs w:val="28"/>
                <w:color w:val="auto"/>
                <w:vertAlign w:val="superscript"/>
              </w:rPr>
              <w:t>(4)</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174,792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3"/>
          </w:tcPr>
          <w:p>
            <w:pPr>
              <w:jc w:val="right"/>
              <w:ind w:right="50"/>
              <w:spacing w:after="0"/>
              <w:rPr>
                <w:sz w:val="20"/>
                <w:szCs w:val="20"/>
                <w:color w:val="auto"/>
              </w:rPr>
            </w:pPr>
            <w:r>
              <w:rPr>
                <w:rFonts w:ascii="Arial" w:cs="Arial" w:eastAsia="Arial" w:hAnsi="Arial"/>
                <w:sz w:val="17"/>
                <w:szCs w:val="17"/>
                <w:color w:val="auto"/>
              </w:rPr>
              <w:t>1,161</w:t>
            </w:r>
            <w:r>
              <w:rPr>
                <w:rFonts w:ascii="Arial" w:cs="Arial" w:eastAsia="Arial" w:hAnsi="Arial"/>
                <w:sz w:val="14"/>
                <w:szCs w:val="14"/>
                <w:color w:val="auto"/>
              </w:rPr>
              <w:t>(7)</w:t>
            </w: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125,000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(9)</w:t>
            </w: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350,953</w:t>
            </w: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7"/>
                <w:szCs w:val="17"/>
                <w:i w:val="1"/>
                <w:iCs w:val="1"/>
                <w:color w:val="auto"/>
                <w:w w:val="93"/>
              </w:rPr>
              <w:t>Senior Vice President of Regulatory Affairs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07"/>
        </w:trPr>
        <w:tc>
          <w:tcPr>
            <w:tcW w:w="1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1680" w:right="640" w:hanging="533"/>
        <w:spacing w:after="0" w:line="256" w:lineRule="auto"/>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Dr. Paul became our President and Chief Executive Officer in September 2014. From June 2013 to September 2014, Dr. Paul served as our Interim President of Research and Development without any direct cash compensation from us.</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Mr. Levin served as our Interim President and Chief Executive Officer until Dr. Paul's appointment in September 2014.</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Dr. Ravina became Vice President of Clinical Development in March 2014.</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Dr. Pietrusko became Senior Vice President of Regulatory Affairs in June 2014.</w:t>
      </w:r>
    </w:p>
    <w:p>
      <w:pPr>
        <w:spacing w:after="0" w:line="125" w:lineRule="exact"/>
        <w:rPr>
          <w:rFonts w:ascii="Arial" w:cs="Arial" w:eastAsia="Arial" w:hAnsi="Arial"/>
          <w:sz w:val="13"/>
          <w:szCs w:val="13"/>
          <w:color w:val="auto"/>
        </w:rPr>
      </w:pPr>
    </w:p>
    <w:p>
      <w:pPr>
        <w:ind w:left="1680" w:right="460" w:hanging="533"/>
        <w:spacing w:after="0" w:line="256" w:lineRule="auto"/>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This column reflects the full grant date fair value of restricted stock granted during the year as measured pursuant to Financial Accounting Standard Board Accounting Standards Codification Topic 718 (ASC 718).</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Amount represents a $100,000 signing bonus and $1,060 in an incentive bonus.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Amount represents $1,161 in an incentive bonus.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Amount represents payment of travel expenses.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Amount represents $50,000 in relocation expenses.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our named executive officers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entered into an employment agreement or letter agreement with each of our named executive officers in connection with their employment with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these employment agreements and offer letters provide for "at will" employment.</w:t>
      </w:r>
    </w:p>
    <w:p>
      <w:pPr>
        <w:spacing w:after="0" w:line="218"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i w:val="1"/>
          <w:iCs w:val="1"/>
          <w:color w:val="auto"/>
        </w:rPr>
        <w:t xml:space="preserve">Dr. Steven M. Paul. </w:t>
      </w:r>
      <w:r>
        <w:rPr>
          <w:rFonts w:ascii="Arial" w:cs="Arial" w:eastAsia="Arial" w:hAnsi="Arial"/>
          <w:sz w:val="15"/>
          <w:szCs w:val="15"/>
          <w:color w:val="auto"/>
        </w:rPr>
        <w:t>We entered into a letter agreement with Dr. Paul in July 2014 and he assumed the role of President and Chief Executive Officer in September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2014. The agreement entitles Dr. Paul to an initial base salary of $450,000 and eligibility in our bonus pool of up to 40% of his base salary, based upon achievements agreed to between Dr. Paul and the Board. Dr. Paul was also granted 744,705 shares of our restricted common stock, which vests on a monthly basis for a period of four years, so long as Dr. Paul continues to be employed by us. If Dr. Paul's employment is terminated by us without cause or by him for good reason within 15 months following the consummation of a sale event, all outstanding stock-based awards with time-based vesting will fully accelerate as of the date of termination.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Dr. Bernard Ravina. </w:t>
      </w:r>
      <w:r>
        <w:rPr>
          <w:rFonts w:ascii="Arial" w:cs="Arial" w:eastAsia="Arial" w:hAnsi="Arial"/>
          <w:sz w:val="16"/>
          <w:szCs w:val="16"/>
          <w:color w:val="auto"/>
        </w:rPr>
        <w:t>We entered into a letter agreement with Dr. Ravina in March 2014 and he assumed the role of Vice President of Clinical Development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2014. The agreement entitles Dr. Ravina to an initial base salary of $300,000. Dr. Ravina was also granted 117,647 shares of our restricted common stock, which vests over a period of four years, so long as Dr. Ravina continues to be employed by us. If Dr. Ravina's employment is terminated by us without cause or by him for good reason, he will be entitled to receive continuation of his base salary for three (3) months, plus an amount equal to his target cash bonus as determined by the Company for the year in which the termination of employment occurs, prorated for the portion of the year in which he was employed.</w:t>
      </w:r>
    </w:p>
    <w:p>
      <w:pPr>
        <w:spacing w:after="0" w:line="174"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i w:val="1"/>
          <w:iCs w:val="1"/>
          <w:color w:val="auto"/>
        </w:rPr>
        <w:t xml:space="preserve">Dr. Robert G. Pietrusko. </w:t>
      </w:r>
      <w:r>
        <w:rPr>
          <w:rFonts w:ascii="Arial" w:cs="Arial" w:eastAsia="Arial" w:hAnsi="Arial"/>
          <w:sz w:val="17"/>
          <w:szCs w:val="17"/>
          <w:color w:val="auto"/>
        </w:rPr>
        <w:t>We entered into a letter agreement with Dr. Pietrusko in May 2014 and he assumed the role of Senior Vice President of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Affairs in June 2014. The agreement entitles Dr. Pietrusko to an initial base salary of $325,000. Dr. Pietrusko was also granted 117,647 shares of our restricted common stock, which vests over a period of four years, so long as Dr. Pietrusko continues to be employed by us. If Dr. Pietrusko's employment is terminated by us without cause or by him for good reason within 12 months following the consummation of a sale event, all outstanding stock-based awards will fully accelerate as of the date of 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confidentiality, non-competition, non-solicitation and assignment agreements</w:t>
      </w:r>
    </w:p>
    <w:p>
      <w:pPr>
        <w:spacing w:after="0" w:line="224"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concerning outstanding equity awards for each of our named executive officers at December 31, 2014:</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Stock Awards</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91"/>
              </w:rPr>
              <w:t>Number of Shares</w:t>
            </w:r>
          </w:p>
        </w:tc>
        <w:tc>
          <w:tcPr>
            <w:tcW w:w="12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Market Value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or Units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7"/>
              </w:rPr>
              <w:t>Shares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Stock That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Stock That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Have Not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170"/>
        </w:trPr>
        <w:tc>
          <w:tcPr>
            <w:tcW w:w="498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Vested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line="171" w:lineRule="exact"/>
              <w:rPr>
                <w:sz w:val="20"/>
                <w:szCs w:val="20"/>
                <w:color w:val="auto"/>
              </w:rPr>
            </w:pPr>
            <w:r>
              <w:rPr>
                <w:rFonts w:ascii="Arial" w:cs="Arial" w:eastAsia="Arial" w:hAnsi="Arial"/>
                <w:sz w:val="12"/>
                <w:szCs w:val="12"/>
                <w:b w:val="1"/>
                <w:bCs w:val="1"/>
                <w:color w:val="auto"/>
                <w:w w:val="93"/>
              </w:rPr>
              <w:t>Vested ($)</w:t>
            </w:r>
            <w:r>
              <w:rPr>
                <w:rFonts w:ascii="Arial" w:cs="Arial" w:eastAsia="Arial" w:hAnsi="Arial"/>
                <w:sz w:val="19"/>
                <w:szCs w:val="19"/>
                <w:b w:val="1"/>
                <w:bCs w:val="1"/>
                <w:color w:val="auto"/>
                <w:w w:val="93"/>
                <w:vertAlign w:val="superscript"/>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Steven M. Paul, M.D.</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698,161</w:t>
            </w:r>
            <w:r>
              <w:rPr>
                <w:rFonts w:ascii="Arial" w:cs="Arial" w:eastAsia="Arial" w:hAnsi="Arial"/>
                <w:sz w:val="14"/>
                <w:szCs w:val="14"/>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9,774,254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57,352</w:t>
            </w:r>
            <w:r>
              <w:rPr>
                <w:rFonts w:ascii="Arial" w:cs="Arial" w:eastAsia="Arial" w:hAnsi="Arial"/>
                <w:sz w:val="14"/>
                <w:szCs w:val="14"/>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rPr>
              <w:t>Mark Levin</w:t>
            </w: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Bernard Ravina, M.D.</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117,647</w:t>
            </w:r>
            <w:r>
              <w:rPr>
                <w:rFonts w:ascii="Arial" w:cs="Arial" w:eastAsia="Arial" w:hAnsi="Arial"/>
                <w:sz w:val="14"/>
                <w:szCs w:val="14"/>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7"/>
                <w:szCs w:val="17"/>
                <w:color w:val="auto"/>
              </w:rPr>
              <w:t>Robert G. Pietrusko, Pharm.D.</w:t>
            </w:r>
          </w:p>
        </w:tc>
        <w:tc>
          <w:tcPr>
            <w:tcW w:w="1660" w:type="dxa"/>
            <w:vAlign w:val="bottom"/>
            <w:gridSpan w:val="3"/>
          </w:tcPr>
          <w:p>
            <w:pPr>
              <w:jc w:val="right"/>
              <w:ind w:right="120"/>
              <w:spacing w:after="0"/>
              <w:rPr>
                <w:sz w:val="20"/>
                <w:szCs w:val="20"/>
                <w:color w:val="auto"/>
              </w:rPr>
            </w:pPr>
            <w:r>
              <w:rPr>
                <w:rFonts w:ascii="Arial" w:cs="Arial" w:eastAsia="Arial" w:hAnsi="Arial"/>
                <w:sz w:val="17"/>
                <w:szCs w:val="17"/>
                <w:color w:val="auto"/>
              </w:rPr>
              <w:t>117,647</w:t>
            </w:r>
            <w:r>
              <w:rPr>
                <w:rFonts w:ascii="Arial" w:cs="Arial" w:eastAsia="Arial" w:hAnsi="Arial"/>
                <w:sz w:val="14"/>
                <w:szCs w:val="14"/>
                <w:color w:val="auto"/>
              </w:rPr>
              <w:t>(4)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1,647,058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Paul was granted restricted stock on August 19, 2014. The shares underlying this grant vest in equal monthly installments over the following 48 months.</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Paul was granted restricted stock on January 8, 2014. The shares underlying this grant vest in equal quarterly installments over the following 16 quarters.</w:t>
      </w:r>
    </w:p>
    <w:p>
      <w:pPr>
        <w:spacing w:after="0" w:line="125" w:lineRule="exact"/>
        <w:rPr>
          <w:rFonts w:ascii="Arial" w:cs="Arial" w:eastAsia="Arial" w:hAnsi="Arial"/>
          <w:sz w:val="13"/>
          <w:szCs w:val="13"/>
          <w:color w:val="auto"/>
        </w:rPr>
      </w:pPr>
    </w:p>
    <w:p>
      <w:pPr>
        <w:ind w:left="2240" w:right="240" w:hanging="523"/>
        <w:spacing w:after="0" w:line="256" w:lineRule="auto"/>
        <w:tabs>
          <w:tab w:leader="none" w:pos="22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Ravina was granted restricted stock on April 16, 2014. The shares underlying this grant vest as follows: 25% vest on March 24, 2015, with the remainder of the shares vesting in equal monthly installments over the following 36 months.</w:t>
      </w:r>
    </w:p>
    <w:p>
      <w:pPr>
        <w:spacing w:after="0" w:line="100" w:lineRule="exact"/>
        <w:rPr>
          <w:rFonts w:ascii="Arial" w:cs="Arial" w:eastAsia="Arial" w:hAnsi="Arial"/>
          <w:sz w:val="13"/>
          <w:szCs w:val="13"/>
          <w:color w:val="auto"/>
        </w:rPr>
      </w:pPr>
    </w:p>
    <w:p>
      <w:pPr>
        <w:ind w:left="2240" w:right="100" w:hanging="523"/>
        <w:spacing w:after="0" w:line="256" w:lineRule="auto"/>
        <w:tabs>
          <w:tab w:leader="none" w:pos="22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Dr. Pietrusko was granted restricted stock on August 19, 2014. The shares underlying this grant vest as follows: 25% vest on June 17, 2015, with the remainder of the shares vesting in equal monthly installments over the following 36 months.</w:t>
      </w:r>
    </w:p>
    <w:p>
      <w:pPr>
        <w:spacing w:after="0" w:line="100" w:lineRule="exact"/>
        <w:rPr>
          <w:rFonts w:ascii="Arial" w:cs="Arial" w:eastAsia="Arial" w:hAnsi="Arial"/>
          <w:sz w:val="13"/>
          <w:szCs w:val="13"/>
          <w:color w:val="auto"/>
        </w:rPr>
      </w:pPr>
    </w:p>
    <w:p>
      <w:pPr>
        <w:ind w:left="2240" w:hanging="523"/>
        <w:spacing w:after="0"/>
        <w:tabs>
          <w:tab w:leader="none" w:pos="22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market price of our common stock is based on the initial public offering price of $14.00 per share.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ind w:right="500" w:firstLine="338"/>
        <w:spacing w:after="0" w:line="283" w:lineRule="auto"/>
        <w:rPr>
          <w:sz w:val="20"/>
          <w:szCs w:val="20"/>
          <w:color w:val="auto"/>
        </w:rPr>
      </w:pPr>
      <w:r>
        <w:rPr>
          <w:rFonts w:ascii="Arial" w:cs="Arial" w:eastAsia="Arial" w:hAnsi="Arial"/>
          <w:sz w:val="16"/>
          <w:szCs w:val="16"/>
          <w:color w:val="auto"/>
        </w:rPr>
        <w:t>The following table sets forth a summary of the compensation we paid to our nonemployee directors during 2014. Other than as set forth in the table and described more fully below, we did not pay any compensation, reimburse any expense of, make any equity awards or non-equity awards to, or pay any other compensation to any of the other nonemployee members of our board of directors in 2014. We reimburse nonemployee directors for reasonable travel expenses. Dr. Paul, our Chief Executive Officer and President, receives no compensation for his service as a director, and, consequently, is not included in this table. The compensation received by Dr. Paul as an employee during 2014 is presented in the "Summary Compensation Table" above.</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Fees Earned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or Paid</w:t>
            </w:r>
          </w:p>
        </w:tc>
        <w:tc>
          <w:tcPr>
            <w:tcW w:w="1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All 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In Cash</w:t>
            </w:r>
          </w:p>
        </w:tc>
        <w:tc>
          <w:tcPr>
            <w:tcW w:w="1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7"/>
        </w:trPr>
        <w:tc>
          <w:tcPr>
            <w:tcW w:w="34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2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85"/>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105"/>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Levin</w:t>
            </w:r>
          </w:p>
        </w:tc>
        <w:tc>
          <w:tcPr>
            <w:tcW w:w="860" w:type="dxa"/>
            <w:vAlign w:val="bottom"/>
            <w:shd w:val="clear" w:color="auto" w:fill="CCEEFF"/>
          </w:tcPr>
          <w:p>
            <w:pPr>
              <w:ind w:left="70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James A. Geraghty</w:t>
            </w:r>
          </w:p>
        </w:tc>
        <w:tc>
          <w:tcPr>
            <w:tcW w:w="860" w:type="dxa"/>
            <w:vAlign w:val="bottom"/>
          </w:tcPr>
          <w:p>
            <w:pPr>
              <w:ind w:left="7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7"/>
                <w:szCs w:val="17"/>
                <w:color w:val="auto"/>
                <w:w w:val="82"/>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35,700</w:t>
            </w:r>
          </w:p>
        </w:tc>
        <w:tc>
          <w:tcPr>
            <w:tcW w:w="16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7"/>
                <w:szCs w:val="17"/>
                <w:color w:val="auto"/>
                <w:w w:val="82"/>
              </w:rPr>
              <w:t>—</w:t>
            </w:r>
          </w:p>
        </w:tc>
        <w:tc>
          <w:tcPr>
            <w:tcW w:w="840" w:type="dxa"/>
            <w:vAlign w:val="bottom"/>
            <w:gridSpan w:val="2"/>
          </w:tcPr>
          <w:p>
            <w:pPr>
              <w:jc w:val="center"/>
              <w:ind w:left="85"/>
              <w:spacing w:after="0"/>
              <w:rPr>
                <w:sz w:val="20"/>
                <w:szCs w:val="20"/>
                <w:color w:val="auto"/>
              </w:rPr>
            </w:pPr>
            <w:r>
              <w:rPr>
                <w:rFonts w:ascii="Arial" w:cs="Arial" w:eastAsia="Arial" w:hAnsi="Arial"/>
                <w:sz w:val="17"/>
                <w:szCs w:val="17"/>
                <w:color w:val="auto"/>
                <w:w w:val="95"/>
              </w:rPr>
              <w:t>$  35,700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In May 2015, our board of directors adopted a non-employee director compensation policy, that will remain in effect until the completion of this offering. Under the nonemployee director compensation policy, each nonemployee director will receive an annual retainer of $35,000. Each person who is initially appointed or elected to the board of directors will be eligible for an option grant to purchase up to 31,764 shares of our common stock under our stock option plan on the date he or she first becomes a nonemployee director, which will vest annually over a four-year period. In addition, each nonemployee director will receive an annual option grant to purchase up to 5,882 shares of our common stock, which will vest in quarterly installments over a period of one year. All of the foregoing options will be granted at fair market value on the date of grant. Prior to May 2015, there was no formal policy for nonemployee director compensation.</w:t>
      </w:r>
    </w:p>
    <w:p>
      <w:pPr>
        <w:spacing w:after="0" w:line="176"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In October 2015, our board of directors adopted a nonemployee director compensation policy, that will be effective as of the completion of this offering, that is designed to provide a total compensation package that enables us to attract and retain, on a long-term basis, high caliber nonemployee directors. Under the policy, all nonemployee directors will be paid cash compensation from and after the completion of this offering, as set forth below:</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880" w:type="dxa"/>
            <w:vAlign w:val="bottom"/>
          </w:tcPr>
          <w:p>
            <w:pPr>
              <w:spacing w:after="0"/>
              <w:rPr>
                <w:sz w:val="13"/>
                <w:szCs w:val="13"/>
                <w:color w:val="auto"/>
              </w:rPr>
            </w:pP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rPr>
              <w:t>Annual Retainer</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Board of Directors:</w:t>
            </w: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7"/>
                <w:szCs w:val="17"/>
                <w:color w:val="auto"/>
              </w:rPr>
              <w:t>All nonemployee members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35,000</w:t>
            </w:r>
          </w:p>
        </w:tc>
      </w:tr>
      <w:tr>
        <w:trPr>
          <w:trHeight w:val="4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Audit Committee:</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7"/>
                <w:szCs w:val="17"/>
                <w:color w:val="auto"/>
              </w:rPr>
              <w:t>Chairman</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15,000</w:t>
            </w: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Non-Chairman members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w:t>
            </w:r>
          </w:p>
        </w:tc>
      </w:tr>
      <w:tr>
        <w:trPr>
          <w:trHeight w:val="418"/>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Compensation Committee: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Chairman</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w:t>
            </w:r>
          </w:p>
        </w:tc>
      </w:tr>
      <w:tr>
        <w:trPr>
          <w:trHeight w:val="210"/>
        </w:trPr>
        <w:tc>
          <w:tcPr>
            <w:tcW w:w="7880" w:type="dxa"/>
            <w:vAlign w:val="bottom"/>
          </w:tcPr>
          <w:p>
            <w:pPr>
              <w:ind w:left="20"/>
              <w:spacing w:after="0"/>
              <w:rPr>
                <w:sz w:val="20"/>
                <w:szCs w:val="20"/>
                <w:color w:val="auto"/>
              </w:rPr>
            </w:pPr>
            <w:r>
              <w:rPr>
                <w:rFonts w:ascii="Arial" w:cs="Arial" w:eastAsia="Arial" w:hAnsi="Arial"/>
                <w:sz w:val="17"/>
                <w:szCs w:val="17"/>
                <w:color w:val="auto"/>
              </w:rPr>
              <w:t>Non-Chairman members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5,000</w:t>
            </w:r>
          </w:p>
        </w:tc>
      </w:tr>
      <w:tr>
        <w:trPr>
          <w:trHeight w:val="4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Nominating and Corporate Governance Committee:</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7"/>
                <w:szCs w:val="17"/>
                <w:color w:val="auto"/>
              </w:rPr>
              <w:t>Chairman</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8,000</w:t>
            </w: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Non-Chairman members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w:t>
            </w:r>
          </w:p>
        </w:tc>
      </w:tr>
    </w:tbl>
    <w:p>
      <w:pPr>
        <w:spacing w:after="0" w:line="201"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Under the nonemployee director compensation policy, each person who is initially appointed or elected to the board of directors will be eligible for an option grant to purchase up to 28,235 shares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our common stock under our stock option plan on the date he or she first becomes a nonemployee director, which will vest over 36 equal monthly installments following the grant date, subject to the directors continued service on the Board. In addition, on the date of the annual meeting of stockholders, each continuing nonemployee director who has served on the board of directors for a minimum of six months will be eligible to receive an annual option grant to purchase up to 14,117 shares of our common stock, which will vest on the earlier of the one-year anniversary of the grant date, or the date of the Company's next annual meeting of stockholders, subject to the director's continued service on the Board. All of the foregoing options will be granted at fair market value on the date of grant.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Assessment</w:t>
      </w:r>
    </w:p>
    <w:p>
      <w:pPr>
        <w:spacing w:after="0" w:line="228" w:lineRule="exact"/>
        <w:rPr>
          <w:sz w:val="20"/>
          <w:szCs w:val="20"/>
          <w:color w:val="auto"/>
        </w:rPr>
      </w:pPr>
    </w:p>
    <w:p>
      <w:pPr>
        <w:ind w:firstLine="338"/>
        <w:spacing w:after="0" w:line="311" w:lineRule="auto"/>
        <w:rPr>
          <w:sz w:val="20"/>
          <w:szCs w:val="20"/>
          <w:color w:val="auto"/>
        </w:rPr>
      </w:pPr>
      <w:r>
        <w:rPr>
          <w:rFonts w:ascii="Arial" w:cs="Arial" w:eastAsia="Arial" w:hAnsi="Arial"/>
          <w:sz w:val="15"/>
          <w:szCs w:val="15"/>
          <w:color w:val="auto"/>
        </w:rPr>
        <w:t>We believe that although a portion of the compensation provided to our executive officers and other employees is performance-based, our executive compensation program does not encourage excessive or unnecessary risk-taking.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Stock Option Plan</w:t>
      </w:r>
    </w:p>
    <w:p>
      <w:pPr>
        <w:spacing w:after="0" w:line="224" w:lineRule="exact"/>
        <w:rPr>
          <w:sz w:val="20"/>
          <w:szCs w:val="20"/>
          <w:color w:val="auto"/>
        </w:rPr>
      </w:pPr>
    </w:p>
    <w:p>
      <w:pPr>
        <w:ind w:right="140" w:firstLine="338"/>
        <w:spacing w:after="0" w:line="263" w:lineRule="auto"/>
        <w:rPr>
          <w:sz w:val="20"/>
          <w:szCs w:val="20"/>
          <w:color w:val="auto"/>
        </w:rPr>
      </w:pPr>
      <w:r>
        <w:rPr>
          <w:rFonts w:ascii="Arial" w:cs="Arial" w:eastAsia="Arial" w:hAnsi="Arial"/>
          <w:sz w:val="17"/>
          <w:szCs w:val="17"/>
          <w:color w:val="auto"/>
        </w:rPr>
        <w:t>The 2014 Stock Option and Grant Plan, or 2014 Stock Option Plan, was approved by our board of directors and our stockholders on January 8, 2014, and was most recently amended on April 16, 2014, August 19, 2014, April 27, 2015, August 26, 2015 and October 6, 2015. As of October 6, 2015, 2,998,823 shares of common stock have been reserved for issuance under the 2014 Stock Option Plan in the form of incentive stock options, non-qualified stock options, restricted stock, unrestricted stock, restricted stock units or any combination of the foregoing. The shares issuable pursuant to awards granted under the 2014 Stock Option Plan are authorized but unissued shares.</w:t>
      </w:r>
    </w:p>
    <w:p>
      <w:pPr>
        <w:spacing w:after="0" w:line="187"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2014 Stock Option Plan is administered by our board or at the discretion of the board, a committee of the board comprised of not less than two (2) directors, which has full power to select the employees, directors and service providers to whom awards will be granted and to determine the specific terms and conditions of each award, subject to the provisions of the 2014 Stock Option Plan.</w:t>
      </w:r>
    </w:p>
    <w:p>
      <w:pPr>
        <w:spacing w:after="0" w:line="179" w:lineRule="exact"/>
        <w:rPr>
          <w:sz w:val="20"/>
          <w:szCs w:val="20"/>
          <w:color w:val="auto"/>
        </w:rPr>
      </w:pPr>
    </w:p>
    <w:p>
      <w:pPr>
        <w:jc w:val="both"/>
        <w:ind w:right="60" w:firstLine="338"/>
        <w:spacing w:after="0" w:line="294" w:lineRule="auto"/>
        <w:rPr>
          <w:sz w:val="20"/>
          <w:szCs w:val="20"/>
          <w:color w:val="auto"/>
        </w:rPr>
      </w:pPr>
      <w:r>
        <w:rPr>
          <w:rFonts w:ascii="Arial" w:cs="Arial" w:eastAsia="Arial" w:hAnsi="Arial"/>
          <w:sz w:val="16"/>
          <w:szCs w:val="16"/>
          <w:color w:val="auto"/>
        </w:rPr>
        <w:t>The option exercise price or the restricted stock purchase price of each award granted under the 2014 Stock Option Plan is determined by our board and may not be less than the fair market value of a share of common stock on the date of grant. The term of each option is fixed by the board and may not exceed 10 years from the date of grant. The board determines at what time or times each option may be exercised when granting the option.</w:t>
      </w:r>
    </w:p>
    <w:p>
      <w:pPr>
        <w:spacing w:after="0" w:line="163"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2014 Stock Option Plan provides that, upon a sale transaction of the company, unless provision is made in connection with the sale transaction in the sole discretion of the parties thereto for the assumption or continuation of the awards by the successor entity or substitution of the awards with new awards of the successor entity, with appropriate adjustment, all options not exercised will terminate upon the closing of the sale transaction.</w:t>
      </w:r>
    </w:p>
    <w:p>
      <w:pPr>
        <w:spacing w:after="0" w:line="163"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Our board may amend the 2014 Stock Option Plan but no such action may adversely affect the rights of an award holder without such holder's consent. Approval by our stockholders of amendments to the 2014 Stock Option Plan must be obtained if required by law.</w:t>
      </w:r>
    </w:p>
    <w:p>
      <w:pPr>
        <w:spacing w:after="0" w:line="170" w:lineRule="exact"/>
        <w:rPr>
          <w:sz w:val="20"/>
          <w:szCs w:val="20"/>
          <w:color w:val="auto"/>
        </w:rPr>
      </w:pPr>
    </w:p>
    <w:p>
      <w:pPr>
        <w:ind w:right="240" w:firstLine="332"/>
        <w:spacing w:after="0" w:line="282" w:lineRule="auto"/>
        <w:rPr>
          <w:sz w:val="20"/>
          <w:szCs w:val="20"/>
          <w:color w:val="auto"/>
        </w:rPr>
      </w:pPr>
      <w:r>
        <w:rPr>
          <w:rFonts w:ascii="Arial" w:cs="Arial" w:eastAsia="Arial" w:hAnsi="Arial"/>
          <w:sz w:val="17"/>
          <w:szCs w:val="17"/>
          <w:color w:val="auto"/>
        </w:rPr>
        <w:t>As of June 30, 2015, restricted stock awards for 1,234,601 shares of common stock were outstanding under the 2014 Stock Option Plan. During the six months ended June 30, 2015, we granted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options to purchase 339,035 shares of common stock under the 2014 Stock Option Plan and we granted options to purchase 670,231 shares of common stock under this plan in August 2015, September 2015 and October 2015. Our board has determined not to make any further awards under the 2014 Stock Option Plan following the completion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Plan</w:t>
      </w:r>
    </w:p>
    <w:p>
      <w:pPr>
        <w:spacing w:after="0" w:line="224"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On October 14, 2015, our board of directors adopted and on October 29, 2015 our stockholders approved our 2015 Stock Option and Incentive Plan, or 2015 Stock Option Plan, which will become effective upon completing of this offering and will replace the 2014 Stock Option Plan. Our 2015 Stock Option Plan provides us flexibility to use various equity-based incentive and other awards as compensation tools to motivate our workforce. These tools include stock options, stock appreciation rights, restricted stock, restricted stock units, unrestricted stock, performance share awards and cash-based awards. The 2015 Stock Option Plan will become effective immediately prior to the completion of this offering.</w:t>
      </w:r>
    </w:p>
    <w:p>
      <w:pPr>
        <w:spacing w:after="0" w:line="187" w:lineRule="exact"/>
        <w:rPr>
          <w:sz w:val="20"/>
          <w:szCs w:val="20"/>
          <w:color w:val="auto"/>
        </w:rPr>
      </w:pPr>
    </w:p>
    <w:p>
      <w:pPr>
        <w:ind w:right="200" w:firstLine="338"/>
        <w:spacing w:after="0" w:line="287" w:lineRule="auto"/>
        <w:rPr>
          <w:sz w:val="20"/>
          <w:szCs w:val="20"/>
          <w:color w:val="auto"/>
        </w:rPr>
      </w:pPr>
      <w:r>
        <w:rPr>
          <w:rFonts w:ascii="Arial" w:cs="Arial" w:eastAsia="Arial" w:hAnsi="Arial"/>
          <w:sz w:val="16"/>
          <w:szCs w:val="16"/>
          <w:color w:val="auto"/>
        </w:rPr>
        <w:t>We have initially reserved 1,311,812 shares of common stock for the issuance of awards under the 2015 Stock Option Plan (not including 5,070 shares of common stock reserved for issuance under our 2014 Stock Option Plan as of June 30, 2015, which will be added to the shares reserved under the 2015 Stock Option Plan), which may be increased on the first day of each fiscal year by up to 4% of the number of shares of common stock issued and outstanding on the immediately preceding December 31. This number is subject to adjustment in the event of a stock split, stock dividend or other change in our capitalization.</w:t>
      </w:r>
    </w:p>
    <w:p>
      <w:pPr>
        <w:spacing w:after="0" w:line="169"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shares issuable pursuant to awards granted under the 2015 Stock Option Plan will be authorized but unissued shares or shares that we reacquire. The shares of common stock underlying any awards from the 2015 Stock Option Plan and the 2014 Stock Option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2015 Stock Option Plan will be added back to the shares available for issuance under the 2015 Stock Option Plan.</w:t>
      </w:r>
    </w:p>
    <w:p>
      <w:pPr>
        <w:spacing w:after="0" w:line="187"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Under the 2015 Stock Option Plan, stock options or stock appreciation rights with respect to no more than 1,000,000 shares may be granted to any one individual in any one calendar year and the maximum aggregate number of shares that may be issued in the form of incentive stock options shall not exceed the initial number of shares reserved and available for issuance under the 2015 Stock Option Plan.</w:t>
      </w:r>
    </w:p>
    <w:p>
      <w:pPr>
        <w:spacing w:after="0" w:line="179"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2015 Stock Option Plan will be administered by the compensation committee of the board of directors. The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2015 Stock Option Plan. Employees, nonemployee directors and other key persons (including consultants) are eligible to receive awards under the 2015 Stock Option Plan.</w:t>
      </w:r>
    </w:p>
    <w:p>
      <w:pPr>
        <w:spacing w:after="0" w:line="185"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The 2015 Stock Option Plan permits the granting of both options to purchase common stock intended to qualify as incentive stock options under Section 422 of the Code and options that do not so qualify. The exercise price of each stock option will be determined by our compensation committee but may not be less than 100% of the fair market value of our common stock on the date of grant or, in the case of an incentive stock option granted to a 10% owner, less than 110% of the fair market value of our common stock on the date of grant. The term of each stock option will be fixed by the compensation committee and may not exceed 10 years from the date of grant (or five years in the case of an incentive stock option granted to a 10% owner). The compensation committee will also determine the vesting schedule for granted stock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79" w:lineRule="exact"/>
        <w:rPr>
          <w:sz w:val="20"/>
          <w:szCs w:val="20"/>
          <w:color w:val="auto"/>
        </w:rPr>
      </w:pPr>
    </w:p>
    <w:p>
      <w:pPr>
        <w:ind w:right="200" w:firstLine="338"/>
        <w:spacing w:after="0" w:line="306" w:lineRule="auto"/>
        <w:rPr>
          <w:sz w:val="20"/>
          <w:szCs w:val="20"/>
          <w:color w:val="auto"/>
        </w:rPr>
      </w:pPr>
      <w:r>
        <w:rPr>
          <w:rFonts w:ascii="Arial" w:cs="Arial" w:eastAsia="Arial" w:hAnsi="Arial"/>
          <w:sz w:val="15"/>
          <w:szCs w:val="15"/>
          <w:color w:val="auto"/>
        </w:rPr>
        <w:t>The compensation committee may award restricted stock or restricted stock units to participants subject to such conditions and restrictions as it may determine. These conditions and restrictions may include the achievement of certain performance goals and/or continued employment or service with us through a specified vesting period. The compensation committee may also grant cash-based awards to participants subject to such conditions and restrictions as it may determine. Our compensation committee may also grant shares of common stock that are free from any restrictions under the 2014 Stock Option Plan. Unrestricted stock may be granted to participants in recognition of past services or for other valid consideration and may be issued in lieu of cash compensation due to such participant.</w:t>
      </w:r>
    </w:p>
    <w:p>
      <w:pPr>
        <w:spacing w:after="0" w:line="159"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The compensation committee may grant performance share awards to participants that entitle the recipient to receive share awards of common stock upon the achievement of certain performance goals and such other conditions as our compensation committee shall determine.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compensation committee may grant cash bonuses under the 2015 Stock Option Plan to participants, subject to the achievement of certain performance goals.</w:t>
      </w:r>
    </w:p>
    <w:p>
      <w:pPr>
        <w:spacing w:after="0" w:line="247" w:lineRule="exact"/>
        <w:rPr>
          <w:sz w:val="20"/>
          <w:szCs w:val="20"/>
          <w:color w:val="auto"/>
        </w:rPr>
      </w:pPr>
    </w:p>
    <w:p>
      <w:pPr>
        <w:ind w:firstLine="338"/>
        <w:spacing w:after="0" w:line="296" w:lineRule="auto"/>
        <w:rPr>
          <w:sz w:val="20"/>
          <w:szCs w:val="20"/>
          <w:color w:val="auto"/>
        </w:rPr>
      </w:pPr>
      <w:r>
        <w:rPr>
          <w:rFonts w:ascii="Arial" w:cs="Arial" w:eastAsia="Arial" w:hAnsi="Arial"/>
          <w:sz w:val="15"/>
          <w:szCs w:val="15"/>
          <w:color w:val="auto"/>
        </w:rPr>
        <w:t>The compensation committee may grant performance-based awards to participants in the form of restricted stock, restricted stock units, performance shares or cash-based awards upon the achievement of certain performance goals and such other conditions as the compensation committee shall determine. The compensation committee may grant such performance-based awards under the 2015 Stock Option Plan that are intended to qualify as "performance-based compensation" under Section 162(m) of the Code. Those awards would only vest or become payable upon the attainment of performance goals that are established by our compensation committee and related to one or more performance criteria. The performance criteria that could be used with respect to any such awards include: total stockholder return, earnings before interest, taxes, depreciation and amortization, net income (loss) (either before or after interest, taxes, depreciation and/or amortization), changes in the market price of our common stock, economic value-added, sales or revenue, development, clinical or regulatory milestones,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From and after the time that we become subject to Section 162(m) of the Code, the maximum award that is intended to qualify as "performance-based compensation" under Section 162(m) of the Code that may be made to any one employee during any one calendar year period is 1,000,000 shares with respect to a stock-based award and $1,000,000 with respect to a cash-based award.</w:t>
      </w:r>
    </w:p>
    <w:p>
      <w:pPr>
        <w:spacing w:after="0" w:line="171"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The 2015 Stock Option Plan provides that upon the effectiveness of a "sale event," as defined in the 2015 Stock Option Plan,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compensation committee and all awards granted under the 2015 Stock Option Plan shall terminate. In addition, in connection with the termination of the 2015 Stock Option Plan upon a sale event, we may make or provide for a cash payment to participants holding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options and stock appreciation rights equal to the difference between the per share cash consideration payable to stockholders in the sale event and the exercise price of the options or stock appreciation rights.</w:t>
      </w:r>
    </w:p>
    <w:p>
      <w:pPr>
        <w:spacing w:after="0" w:line="170"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Our board of directors may amend or discontinue the 2015 Stock Option Plan and our compensation committee may amend or cancel outstanding awards for purposes of satisfying changes in law or any other lawful purpose, including option repricing, but no such action may adversely affect rights under an award without the holder's consent. Certain amendments to the 2015 Stock Option Plan may require the approval of our stockholders.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No awards may be granted under the 2015 Stock Option Plan after the date that is 10 years from the date of stockholder approval of the 2015 Stock Option Plan.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Employee Stock Purchase Plan</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Our 2015 Employee Stock Purchase Plan was adopted by our board of directors on October 14, 2015 and approved by our stockholders on October 29, 2015 and will become effective upon completion of this offering. Our 2015 Employee Stock Purchase Plan authorizes the initial issuance of up to a total of 262,362 shares of our common stock to participating employees, which may be increased on the first day of each fiscal year by up to 1% of the number of shares of common stock issued and outstanding on the immediately preceding December 31. This number is subject to adjustment in the event of a stock split, stock dividend or other change in our capitalization.</w:t>
      </w:r>
    </w:p>
    <w:p>
      <w:pPr>
        <w:spacing w:after="0" w:line="187" w:lineRule="exact"/>
        <w:rPr>
          <w:sz w:val="20"/>
          <w:szCs w:val="20"/>
          <w:color w:val="auto"/>
        </w:rPr>
      </w:pPr>
    </w:p>
    <w:p>
      <w:pPr>
        <w:jc w:val="both"/>
        <w:ind w:right="120" w:firstLine="332"/>
        <w:spacing w:after="0" w:line="322" w:lineRule="auto"/>
        <w:rPr>
          <w:sz w:val="20"/>
          <w:szCs w:val="20"/>
          <w:color w:val="auto"/>
        </w:rPr>
      </w:pPr>
      <w:r>
        <w:rPr>
          <w:rFonts w:ascii="Arial" w:cs="Arial" w:eastAsia="Arial" w:hAnsi="Arial"/>
          <w:sz w:val="15"/>
          <w:szCs w:val="15"/>
          <w:color w:val="auto"/>
        </w:rPr>
        <w:t>All employees who have been employed by us or our designated subsidiaries for at least six months and whose customary employment is for more than 20 hours a week are eligible to participate in our 2015 Employee Stock Purchase Plan. Any employee who owns, or would own upon such purchase under our 2015 Employee Stock Purchase Plan, 5% or more of the voting power or value of our stock is not eligible to purchase shares under our 2015 Employee Stock Purchase Plan.</w:t>
      </w:r>
    </w:p>
    <w:p>
      <w:pPr>
        <w:spacing w:after="0" w:line="145"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We may make one or more offerings to our employees to purchase stock under our 2015 Employee Stock Purchase Plan. Unless otherwise determined by the administrator of our 2015 Employee Stock Purchase Plan, each offering will begin on the first business day occurring on or after each January 1st and July 1st and will end on the last business day occurring on or before the following June 30th and December 31st, respectively, each referred to as offering periods. The administrator may designate different offering periods in its discretion but no offering shall exceed 12 months in duration or overlap with another offering.</w:t>
      </w:r>
    </w:p>
    <w:p>
      <w:pPr>
        <w:spacing w:after="0" w:line="169"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Each employee who is a participant in our 2015 Employee Stock Purchase Plan may purchase shares by authorizing payroll deductions of up to 10% of his or her eligible compensation during an offering period. Unless the participating employee has previously withdrawn from the offering, his or her accumulated payroll deductions will be used to purchase common stock on the last business day of the offering period at a price equal to 85% of the fair market value of the common stock on either the first or the last day of the offering period, whichever is lower, provided that no more than 2,500 shares of common stock or such other lesser maximum number established by the plan administrator may be purchased by any one employee during each offering period. Under applicable tax rules, an employee may purchase no more than $25,000 worth of common stock, valued at the start of the purchase period, under our 2015 Employee Stock Purchase Plan in any calendar year.</w:t>
      </w:r>
    </w:p>
    <w:p>
      <w:pPr>
        <w:spacing w:after="0" w:line="162" w:lineRule="exact"/>
        <w:rPr>
          <w:sz w:val="20"/>
          <w:szCs w:val="20"/>
          <w:color w:val="auto"/>
        </w:rPr>
      </w:pPr>
    </w:p>
    <w:p>
      <w:pPr>
        <w:ind w:right="180" w:firstLine="338"/>
        <w:spacing w:after="0" w:line="315"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our 2015 Employee Stock Purchase Plan terminate upon voluntary withdrawal from the plan or when the employee ceases employment for any reason.</w:t>
      </w:r>
    </w:p>
    <w:p>
      <w:pPr>
        <w:spacing w:after="0" w:line="146"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Our 2015 Employee Stock Purchase Plan may be terminated or amended by our board of directors at any time. Amendments that increase the number of shares of our common stock authorized 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our 2015 Employee Stock Purchase Plan and certain other amendments require the approval of our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We currently maintain broad-based benefits that are provided to all employees, including health insurance, life and disability insurance and dental insurance.</w:t>
      </w: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right="20" w:firstLine="341"/>
        <w:spacing w:after="0" w:line="294" w:lineRule="auto"/>
        <w:rPr>
          <w:sz w:val="20"/>
          <w:szCs w:val="20"/>
          <w:color w:val="auto"/>
        </w:rPr>
      </w:pPr>
      <w:r>
        <w:rPr>
          <w:rFonts w:ascii="Arial" w:cs="Arial" w:eastAsia="Arial" w:hAnsi="Arial"/>
          <w:sz w:val="16"/>
          <w:szCs w:val="16"/>
          <w:color w:val="auto"/>
        </w:rPr>
        <w:t>In addition to the compensation arrangements, including employment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our inception on June 19, 2013 and each currently proposed transaction in which:</w:t>
      </w:r>
    </w:p>
    <w:p>
      <w:pPr>
        <w:spacing w:after="0" w:line="176" w:lineRule="exact"/>
        <w:rPr>
          <w:sz w:val="20"/>
          <w:szCs w:val="20"/>
          <w:color w:val="auto"/>
        </w:rPr>
      </w:pPr>
    </w:p>
    <w:p>
      <w:pPr>
        <w:ind w:left="1060" w:hanging="531"/>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amount involved exceeded or exceeds $120,000; and</w:t>
      </w:r>
    </w:p>
    <w:p>
      <w:pPr>
        <w:spacing w:after="0" w:line="237" w:lineRule="exact"/>
        <w:rPr>
          <w:rFonts w:ascii="Arial" w:cs="Arial" w:eastAsia="Arial" w:hAnsi="Arial"/>
          <w:sz w:val="17"/>
          <w:szCs w:val="17"/>
          <w:color w:val="auto"/>
        </w:rPr>
      </w:pPr>
    </w:p>
    <w:p>
      <w:pPr>
        <w:ind w:left="1060" w:right="520" w:hanging="531"/>
        <w:spacing w:after="0" w:line="282"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of our directors, executive officers, holders of more than 5% of our capital stock or any immediate family member of, or person sharing the household with, any of these individuals, had or will have a direct or indirect material interest.</w:t>
      </w:r>
    </w:p>
    <w:p>
      <w:pPr>
        <w:spacing w:after="0" w:line="17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75"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All of the transactions described below were entered into prior to the adoption of this written policy but each was approved by our board of directors. Prior to our board of directors' consideration of a transaction with a related person, the material facts as to the related person's relationship or interest in the transaction were disclosed to our board of directors, and the transaction was not approved by our board of directors unless a majority of the directors approved the transaction. Our current policy with respect to approval of related person transactions is not set forth in writing.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 of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ind w:right="220" w:firstLine="341"/>
        <w:spacing w:after="0" w:line="270" w:lineRule="auto"/>
        <w:rPr>
          <w:sz w:val="20"/>
          <w:szCs w:val="20"/>
          <w:color w:val="auto"/>
        </w:rPr>
      </w:pPr>
      <w:r>
        <w:rPr>
          <w:rFonts w:ascii="Arial" w:cs="Arial" w:eastAsia="Arial" w:hAnsi="Arial"/>
          <w:sz w:val="17"/>
          <w:szCs w:val="17"/>
          <w:color w:val="auto"/>
        </w:rPr>
        <w:t>On June 26, 2013, we entered into a subscription agreement with a fund affiliated with Third Rock Ventures, LLC, or TRV, pursuant to which we issued 2,352 shares of our common stock at a price of $0.004 per share. On January 9, 2014, we entered into a subscription agreement with TRV, pursuant to which we issued 470,589 shares of our common stock at a price of $0.004 per share.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Financing</w:t>
      </w:r>
    </w:p>
    <w:p>
      <w:pPr>
        <w:spacing w:after="0" w:line="224"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On January 9, 2014, we entered into a securities purchase agreement with TRV, pursuant to which we issued, in a series of closings, an aggregate of 45,000,000 shares of our Series A Preferred Stock at a price of $1.00 per share.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following table summarizes the participation in the Series A convertible preferred stock financing by any of our directors, executive officers, holders of more than 5% of our voting securities, or any member of the immediate family of the foregoing persons.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Shares of Series A</w:t>
            </w:r>
          </w:p>
        </w:tc>
        <w:tc>
          <w:tcPr>
            <w:tcW w:w="10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Aggregate</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440" w:type="dxa"/>
            <w:vAlign w:val="bottom"/>
            <w:gridSpan w:val="2"/>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Preferred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Purchase Price Paid</w:t>
            </w:r>
          </w:p>
        </w:tc>
        <w:tc>
          <w:tcPr>
            <w:tcW w:w="160" w:type="dxa"/>
            <w:vAlign w:val="bottom"/>
          </w:tcPr>
          <w:p>
            <w:pPr>
              <w:spacing w:after="0"/>
              <w:rPr>
                <w:sz w:val="13"/>
                <w:szCs w:val="13"/>
                <w:color w:val="auto"/>
              </w:rPr>
            </w:pP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Date Purchased</w:t>
            </w:r>
          </w:p>
        </w:tc>
        <w:tc>
          <w:tcPr>
            <w:tcW w:w="20" w:type="dxa"/>
            <w:vAlign w:val="bottom"/>
          </w:tcPr>
          <w:p>
            <w:pPr>
              <w:spacing w:after="0"/>
              <w:rPr>
                <w:sz w:val="13"/>
                <w:szCs w:val="13"/>
                <w:color w:val="auto"/>
              </w:rPr>
            </w:pPr>
          </w:p>
        </w:tc>
      </w:tr>
      <w:tr>
        <w:trPr>
          <w:trHeight w:val="203"/>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Rock Ventures III, L.P.</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6,500,000*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9, 2014</w:t>
            </w:r>
          </w:p>
        </w:tc>
        <w:tc>
          <w:tcPr>
            <w:tcW w:w="20" w:type="dxa"/>
            <w:vAlign w:val="bottom"/>
          </w:tcPr>
          <w:p>
            <w:pPr>
              <w:spacing w:after="0"/>
              <w:rPr>
                <w:sz w:val="17"/>
                <w:szCs w:val="17"/>
                <w:color w:val="auto"/>
              </w:rPr>
            </w:pPr>
          </w:p>
        </w:tc>
      </w:tr>
      <w:tr>
        <w:trPr>
          <w:trHeight w:val="210"/>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Third Rock Ventures III, L.P.</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6,000,000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6,000,000</w:t>
            </w:r>
          </w:p>
        </w:tc>
        <w:tc>
          <w:tcPr>
            <w:tcW w:w="1440" w:type="dxa"/>
            <w:vAlign w:val="bottom"/>
          </w:tcPr>
          <w:p>
            <w:pPr>
              <w:jc w:val="right"/>
              <w:spacing w:after="0"/>
              <w:rPr>
                <w:sz w:val="20"/>
                <w:szCs w:val="20"/>
                <w:color w:val="auto"/>
              </w:rPr>
            </w:pPr>
            <w:r>
              <w:rPr>
                <w:rFonts w:ascii="Arial" w:cs="Arial" w:eastAsia="Arial" w:hAnsi="Arial"/>
                <w:sz w:val="17"/>
                <w:szCs w:val="17"/>
                <w:color w:val="auto"/>
              </w:rPr>
              <w:t>April 16, 2014</w:t>
            </w:r>
          </w:p>
        </w:tc>
        <w:tc>
          <w:tcPr>
            <w:tcW w:w="20" w:type="dxa"/>
            <w:vAlign w:val="bottom"/>
          </w:tcPr>
          <w:p>
            <w:pPr>
              <w:spacing w:after="0"/>
              <w:rPr>
                <w:sz w:val="18"/>
                <w:szCs w:val="18"/>
                <w:color w:val="auto"/>
              </w:rPr>
            </w:pPr>
          </w:p>
        </w:tc>
      </w:tr>
      <w:tr>
        <w:trPr>
          <w:trHeight w:val="210"/>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Rock Ventures III, L.P.</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5, 2014</w:t>
            </w:r>
          </w:p>
        </w:tc>
        <w:tc>
          <w:tcPr>
            <w:tcW w:w="20" w:type="dxa"/>
            <w:vAlign w:val="bottom"/>
          </w:tcPr>
          <w:p>
            <w:pPr>
              <w:spacing w:after="0"/>
              <w:rPr>
                <w:sz w:val="18"/>
                <w:szCs w:val="18"/>
                <w:color w:val="auto"/>
              </w:rPr>
            </w:pPr>
          </w:p>
        </w:tc>
      </w:tr>
      <w:tr>
        <w:trPr>
          <w:trHeight w:val="210"/>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Third Rock Ventures III, L.P.</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6,500,000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6,500,000</w:t>
            </w:r>
          </w:p>
        </w:tc>
        <w:tc>
          <w:tcPr>
            <w:tcW w:w="1440" w:type="dxa"/>
            <w:vAlign w:val="bottom"/>
          </w:tcPr>
          <w:p>
            <w:pPr>
              <w:jc w:val="right"/>
              <w:spacing w:after="0"/>
              <w:rPr>
                <w:sz w:val="20"/>
                <w:szCs w:val="20"/>
                <w:color w:val="auto"/>
              </w:rPr>
            </w:pPr>
            <w:r>
              <w:rPr>
                <w:rFonts w:ascii="Arial" w:cs="Arial" w:eastAsia="Arial" w:hAnsi="Arial"/>
                <w:sz w:val="17"/>
                <w:szCs w:val="17"/>
                <w:color w:val="auto"/>
              </w:rPr>
              <w:t>December 4, 2014</w:t>
            </w:r>
          </w:p>
        </w:tc>
        <w:tc>
          <w:tcPr>
            <w:tcW w:w="20" w:type="dxa"/>
            <w:vAlign w:val="bottom"/>
          </w:tcPr>
          <w:p>
            <w:pPr>
              <w:spacing w:after="0"/>
              <w:rPr>
                <w:sz w:val="18"/>
                <w:szCs w:val="18"/>
                <w:color w:val="auto"/>
              </w:rPr>
            </w:pPr>
          </w:p>
        </w:tc>
      </w:tr>
      <w:tr>
        <w:trPr>
          <w:trHeight w:val="210"/>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Rock Ventures III, L.P.</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6, 2015</w:t>
            </w:r>
          </w:p>
        </w:tc>
        <w:tc>
          <w:tcPr>
            <w:tcW w:w="20" w:type="dxa"/>
            <w:vAlign w:val="bottom"/>
          </w:tcPr>
          <w:p>
            <w:pPr>
              <w:spacing w:after="0"/>
              <w:rPr>
                <w:sz w:val="18"/>
                <w:szCs w:val="18"/>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Inclusive of the exchange of Convertible Promissory Notes Payable of $2.9 million.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Financings and Strategic Collaboration</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February 11, 2015, we entered into a securities purchase agreement with Aventis, Inc., or Aventis, an affiliate of Genzyme, pursuant to which we issued 10,000,000 shares of Series B convertible preferred stock at a purchase price of $3.00 per share. Concurrently, we entered into a strategic collaboration with Genzyme, to leverage our combined expertise and assets to develop AAV gene therapies for CNS diseases. Under the agreement, we received an upfront commitment of approximately $100 million and are eligible for up to $745 million in option and milestone payments. For more information about our collaboration with Genzyme, see the section titled "Business—Collaboration and License Agreements—Genzyme Corporation."</w:t>
      </w:r>
    </w:p>
    <w:p>
      <w:pPr>
        <w:spacing w:after="0" w:line="187"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On April 9, 2015, we entered into a stock purchase agreement with funds associated with certain other investors pursuant to which we issued in one closing an aggregate of 20,000,001 shares of our Series B convertible preferred stock at a price of $3.00 per share.</w:t>
      </w:r>
    </w:p>
    <w:p>
      <w:pPr>
        <w:spacing w:after="0" w:line="170"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following table summarizes the participation in the Series B convertible preferred stock financing by any of our directors, executive officers, holders of more than 5% of our voting securities, or any member of the immediate family of the foregoing persons: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 of Series B</w:t>
            </w:r>
          </w:p>
        </w:tc>
        <w:tc>
          <w:tcPr>
            <w:tcW w:w="100" w:type="dxa"/>
            <w:vAlign w:val="bottom"/>
          </w:tcPr>
          <w:p>
            <w:pPr>
              <w:spacing w:after="0"/>
              <w:rPr>
                <w:sz w:val="13"/>
                <w:szCs w:val="13"/>
                <w:color w:val="auto"/>
              </w:rPr>
            </w:pPr>
          </w:p>
        </w:tc>
        <w:tc>
          <w:tcPr>
            <w:tcW w:w="1400" w:type="dxa"/>
            <w:vAlign w:val="bottom"/>
            <w:gridSpan w:val="2"/>
          </w:tcPr>
          <w:p>
            <w:pPr>
              <w:ind w:left="300"/>
              <w:spacing w:after="0"/>
              <w:rPr>
                <w:sz w:val="20"/>
                <w:szCs w:val="20"/>
                <w:color w:val="auto"/>
              </w:rPr>
            </w:pPr>
            <w:r>
              <w:rPr>
                <w:rFonts w:ascii="Arial" w:cs="Arial" w:eastAsia="Arial" w:hAnsi="Arial"/>
                <w:sz w:val="13"/>
                <w:szCs w:val="13"/>
                <w:b w:val="1"/>
                <w:bCs w:val="1"/>
                <w:color w:val="auto"/>
              </w:rPr>
              <w:t>Aggregate</w:t>
            </w: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3"/>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tcBorders>
              <w:bottom w:val="single" w:sz="8" w:color="CCEEFF"/>
            </w:tcBorders>
            <w:gridSpan w:val="2"/>
          </w:tcPr>
          <w:p>
            <w:pPr>
              <w:spacing w:after="0"/>
              <w:rPr>
                <w:sz w:val="14"/>
                <w:szCs w:val="14"/>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Preferred</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9"/>
              </w:rPr>
              <w:t>Purchase Price Paid</w:t>
            </w: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Date Purchased</w:t>
            </w:r>
          </w:p>
        </w:tc>
        <w:tc>
          <w:tcPr>
            <w:tcW w:w="140" w:type="dxa"/>
            <w:vAlign w:val="bottom"/>
            <w:tcBorders>
              <w:bottom w:val="single" w:sz="8" w:color="CCEEFF"/>
            </w:tcBorders>
          </w:tcPr>
          <w:p>
            <w:pPr>
              <w:spacing w:after="0"/>
              <w:rPr>
                <w:sz w:val="14"/>
                <w:szCs w:val="14"/>
                <w:color w:val="auto"/>
              </w:rPr>
            </w:pPr>
          </w:p>
        </w:tc>
      </w:tr>
      <w:tr>
        <w:trPr>
          <w:trHeight w:val="236"/>
        </w:trPr>
        <w:tc>
          <w:tcPr>
            <w:tcW w:w="4680" w:type="dxa"/>
            <w:vAlign w:val="bottom"/>
            <w:gridSpan w:val="3"/>
            <w:shd w:val="clear" w:color="auto" w:fill="CCEEFF"/>
          </w:tcPr>
          <w:p>
            <w:pPr>
              <w:ind w:left="20"/>
              <w:spacing w:after="0" w:line="236" w:lineRule="exact"/>
              <w:rPr>
                <w:sz w:val="20"/>
                <w:szCs w:val="20"/>
                <w:color w:val="auto"/>
              </w:rPr>
            </w:pPr>
            <w:r>
              <w:rPr>
                <w:rFonts w:ascii="Arial" w:cs="Arial" w:eastAsia="Arial" w:hAnsi="Arial"/>
                <w:sz w:val="17"/>
                <w:szCs w:val="17"/>
                <w:color w:val="auto"/>
              </w:rPr>
              <w:t>Aventis, Inc.</w:t>
            </w:r>
            <w:r>
              <w:rPr>
                <w:rFonts w:ascii="Arial" w:cs="Arial" w:eastAsia="Arial" w:hAnsi="Arial"/>
                <w:sz w:val="27"/>
                <w:szCs w:val="27"/>
                <w:color w:val="auto"/>
                <w:vertAlign w:val="superscript"/>
              </w:rPr>
              <w:t>(1)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30,000,000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February 11, 2015</w:t>
            </w:r>
          </w:p>
        </w:tc>
      </w:tr>
      <w:tr>
        <w:trPr>
          <w:trHeight w:val="210"/>
        </w:trPr>
        <w:tc>
          <w:tcPr>
            <w:tcW w:w="4680" w:type="dxa"/>
            <w:vAlign w:val="bottom"/>
            <w:gridSpan w:val="3"/>
          </w:tcPr>
          <w:p>
            <w:pPr>
              <w:ind w:left="20"/>
              <w:spacing w:after="0"/>
              <w:rPr>
                <w:sz w:val="20"/>
                <w:szCs w:val="20"/>
                <w:color w:val="auto"/>
              </w:rPr>
            </w:pPr>
            <w:r>
              <w:rPr>
                <w:rFonts w:ascii="Arial" w:cs="Arial" w:eastAsia="Arial" w:hAnsi="Arial"/>
                <w:sz w:val="17"/>
                <w:szCs w:val="17"/>
                <w:color w:val="auto"/>
                <w:w w:val="99"/>
              </w:rPr>
              <w:t>Funds affiliated with Fidelity Management Research Company</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6,666,667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20,000,001</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April 9, 2015</w:t>
            </w:r>
          </w:p>
        </w:tc>
      </w:tr>
      <w:tr>
        <w:trPr>
          <w:trHeight w:val="210"/>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Brookside Capital Partners Fund, LP</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15,000,000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April 9, 2015</w:t>
            </w: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Funds affiliated with Partners Investments</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4,666,667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14,000,001</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April 9, 2015</w:t>
            </w:r>
          </w:p>
        </w:tc>
      </w:tr>
      <w:tr>
        <w:trPr>
          <w:trHeight w:val="99"/>
        </w:trPr>
        <w:tc>
          <w:tcPr>
            <w:tcW w:w="38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tabs>
          <w:tab w:leader="none" w:pos="16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Aventis, Inc. is an affiliate of Genzyme.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Stockholders</w:t>
      </w:r>
    </w:p>
    <w:p>
      <w:pPr>
        <w:spacing w:after="0" w:line="228"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In connection with the Series B redeemable convertible preferred stock financing, we entered into the Second Amended and Restated Investors' Rights Agreement, or investor rights agreement, dated as of April 9, 2015, with certain of our stockholders, including our principal stockholders and their affiliates and the Second Amended and Restated Stockholders Agreement, or Stockholders Agreement, dated as of April 9, 2015, with certain of our stockholders, including our principal stockholders and their affiliates. All of the provisions of these agreements will terminate immediately upon completion of the offering, other than the lock-up provisions contained therein and the provisions relating to registration rights, which will continue in effect following completion of the offering and entitle the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80"/>
        <w:spacing w:after="0" w:line="282" w:lineRule="auto"/>
        <w:rPr>
          <w:sz w:val="20"/>
          <w:szCs w:val="20"/>
          <w:color w:val="auto"/>
        </w:rPr>
      </w:pPr>
      <w:r>
        <w:rPr>
          <w:rFonts w:ascii="Arial" w:cs="Arial" w:eastAsia="Arial" w:hAnsi="Arial"/>
          <w:sz w:val="17"/>
          <w:szCs w:val="17"/>
          <w:color w:val="auto"/>
        </w:rPr>
        <w:t>holders of such rights to have us register their shares of our common stock for sale in the United States. See the section titled "Description of Capital Stock— Registration Rights."</w:t>
      </w:r>
    </w:p>
    <w:p>
      <w:pPr>
        <w:spacing w:after="0" w:line="170"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During the period and fiscal year ended December 31, 2013 and 2014, respectively, we incurred consulting fees to TRV in the amount of $2.4 million and $1.3 million, respectively. TRV is a management company that is party to a services agreement with Third Rock Ventures, L.P., the beneficial owner of more than 5% of our voting securities. Mr. Levin and Mr. Geraghty are members of our board of directors and Dr. Paul is our President, CEO and a member of our board of directors, and Mr. Levin is a managing member of TRV GP, LLC, which is the general partner of Third Rock Ventures GP, L.P., the general partner of Third Rock Ventures, L.P. and a managing member of TRV, Mr. Geraghty is an entrepreneur-in-residence at TRV and Dr. Paul is a venture partner at TRV. These consulting fees were paid to TRV in amounts mutually agreed upon in advance by us and TRV in consideration of certain strategic and ordinary course business operations consulting services provided to us on an as-needed basis, from time to time and at our request, by individuals related to TRV, including Dr. Paul and Mr. Geraghty but not including Mr. Levin. Such fees were payable pursuant to invoices submitted to us by TRV from time to time. None of these consulting fees were paid directly or indirectly to Mr. Levin, Mr. Geraghty or Dr. Paul. The consulting fees paid to TRV did not exceed 5% of the consolidated gross revenue of TRV during any of these fiscal years.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the section titled "Executive Compensation" for information regarding compensation of our executive officers and directors.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8" w:lineRule="exact"/>
        <w:rPr>
          <w:sz w:val="20"/>
          <w:szCs w:val="20"/>
          <w:color w:val="auto"/>
        </w:rPr>
      </w:pPr>
    </w:p>
    <w:p>
      <w:pPr>
        <w:jc w:val="both"/>
        <w:ind w:right="540" w:firstLine="338"/>
        <w:spacing w:after="0" w:line="270" w:lineRule="auto"/>
        <w:rPr>
          <w:sz w:val="20"/>
          <w:szCs w:val="20"/>
          <w:color w:val="auto"/>
        </w:rPr>
      </w:pPr>
      <w:r>
        <w:rPr>
          <w:rFonts w:ascii="Arial" w:cs="Arial" w:eastAsia="Arial" w:hAnsi="Arial"/>
          <w:sz w:val="17"/>
          <w:szCs w:val="17"/>
          <w:color w:val="auto"/>
        </w:rPr>
        <w:t>We have entered into offer letters or employment agreements with our executive officers. For more information regarding our agreements with our named executive officers for the fiscal year ended December 31, 2014, see the section titled "Executive Compensation—Narrative to Summary Compensation Table— Employment Arrangements with our Named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right="180" w:firstLine="338"/>
        <w:spacing w:after="0" w:line="270" w:lineRule="auto"/>
        <w:rPr>
          <w:sz w:val="20"/>
          <w:szCs w:val="20"/>
          <w:color w:val="auto"/>
        </w:rPr>
      </w:pPr>
      <w:r>
        <w:rPr>
          <w:rFonts w:ascii="Arial" w:cs="Arial" w:eastAsia="Arial" w:hAnsi="Arial"/>
          <w:sz w:val="17"/>
          <w:szCs w:val="17"/>
          <w:color w:val="auto"/>
        </w:rPr>
        <w:t>We have entered into or plan to enter into indemnification agreements with each of our directors and officers, the form of which is attached as an exhibit to the registration statement of which this prospectus is a part. The indemnification agreements and our amended and restated certificate of incorporation and amended and restated by laws require us to indemnify our directors and officers to the fullest extent permitted by Delaware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June 30, 2015, and as adjusted to reflect the sale of common stock offered by us in this offering assuming no exercise of the underwriters' option to purchase additional shares, for:</w:t>
      </w:r>
    </w:p>
    <w:p>
      <w:pPr>
        <w:spacing w:after="0" w:line="159" w:lineRule="exact"/>
        <w:rPr>
          <w:sz w:val="20"/>
          <w:szCs w:val="20"/>
          <w:color w:val="auto"/>
        </w:rPr>
      </w:pPr>
    </w:p>
    <w:p>
      <w:pPr>
        <w:ind w:left="1060" w:hanging="531"/>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person known by us to be the beneficial owner of more than five percent of any class of our voting securities.</w:t>
      </w:r>
    </w:p>
    <w:p>
      <w:pPr>
        <w:spacing w:after="0" w:line="224"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79" w:lineRule="exact"/>
        <w:rPr>
          <w:sz w:val="20"/>
          <w:szCs w:val="20"/>
          <w:color w:val="auto"/>
        </w:rPr>
      </w:pPr>
    </w:p>
    <w:p>
      <w:pPr>
        <w:ind w:right="100" w:firstLine="338"/>
        <w:spacing w:after="0" w:line="311" w:lineRule="auto"/>
        <w:rPr>
          <w:sz w:val="20"/>
          <w:szCs w:val="20"/>
          <w:color w:val="auto"/>
        </w:rPr>
      </w:pPr>
      <w:r>
        <w:rPr>
          <w:rFonts w:ascii="Arial" w:cs="Arial" w:eastAsia="Arial" w:hAnsi="Arial"/>
          <w:sz w:val="15"/>
          <w:szCs w:val="15"/>
          <w:color w:val="auto"/>
        </w:rPr>
        <w:t>We have based percentage ownership of our common stock before this offering on 21,034,710 shares of our common stock outstanding as of June 30, 2015, which includes 17,647,054 shares of common stock resulting from the automatic conversion of all outstanding shares of our convertible preferred stock immediately prior to the completion of this offering, as if this conversion had occurred as of June 30, 2015 and 2,160,342 shares of unvested restricted stock subject to repurchase by us. Percentage ownership of our common stock after this offering includes our sale of 5,000,000 shares of common stock in this offering.</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Shares Beneficially</w:t>
            </w:r>
          </w:p>
        </w:tc>
        <w:tc>
          <w:tcPr>
            <w:tcW w:w="17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Owned Prior to the</w:t>
            </w:r>
          </w:p>
        </w:tc>
        <w:tc>
          <w:tcPr>
            <w:tcW w:w="178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93"/>
              </w:rPr>
              <w:t>Owned After the</w:t>
            </w:r>
          </w:p>
        </w:tc>
        <w:tc>
          <w:tcPr>
            <w:tcW w:w="0" w:type="dxa"/>
            <w:vAlign w:val="bottom"/>
          </w:tcPr>
          <w:p>
            <w:pPr>
              <w:spacing w:after="0"/>
              <w:rPr>
                <w:sz w:val="1"/>
                <w:szCs w:val="1"/>
                <w:color w:val="auto"/>
              </w:rPr>
            </w:pPr>
          </w:p>
        </w:tc>
      </w:tr>
      <w:tr>
        <w:trPr>
          <w:trHeight w:val="157"/>
        </w:trPr>
        <w:tc>
          <w:tcPr>
            <w:tcW w:w="54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21"/>
                <w:szCs w:val="21"/>
                <w:b w:val="1"/>
                <w:bCs w:val="1"/>
                <w:color w:val="auto"/>
                <w:vertAlign w:val="superscript"/>
              </w:rPr>
              <w:t>(1)</w:t>
            </w:r>
          </w:p>
        </w:tc>
        <w:tc>
          <w:tcPr>
            <w:tcW w:w="160" w:type="dxa"/>
            <w:vAlign w:val="bottom"/>
            <w:vMerge w:val="restart"/>
          </w:tcPr>
          <w:p>
            <w:pPr>
              <w:spacing w:after="0"/>
              <w:rPr>
                <w:sz w:val="13"/>
                <w:szCs w:val="13"/>
                <w:color w:val="auto"/>
              </w:rPr>
            </w:pPr>
          </w:p>
        </w:tc>
        <w:tc>
          <w:tcPr>
            <w:tcW w:w="11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3"/>
                <w:szCs w:val="13"/>
                <w:b w:val="1"/>
                <w:bCs w:val="1"/>
                <w:color w:val="auto"/>
                <w:w w:val="94"/>
              </w:rPr>
              <w:t>Offering</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3"/>
                <w:szCs w:val="13"/>
                <w:b w:val="1"/>
                <w:bCs w:val="1"/>
                <w:color w:val="auto"/>
                <w:w w:val="94"/>
              </w:rPr>
              <w:t>Offering</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6"/>
              </w:rPr>
              <w:t>Percent</w:t>
            </w:r>
          </w:p>
        </w:tc>
        <w:tc>
          <w:tcPr>
            <w:tcW w:w="160" w:type="dxa"/>
            <w:vAlign w:val="bottom"/>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Percent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5% or Greater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56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Third Rock Ventures, L.P.</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11,061,176</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52.6%</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11,061,176</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49"/>
        </w:trPr>
        <w:tc>
          <w:tcPr>
            <w:tcW w:w="556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Aventis,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2,352,941</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2,352,941</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49"/>
        </w:trPr>
        <w:tc>
          <w:tcPr>
            <w:tcW w:w="556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Funds affiliated with Fidelity Management Research Company</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1,568,626</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1,568,626</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49"/>
        </w:trPr>
        <w:tc>
          <w:tcPr>
            <w:tcW w:w="556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Brookside Capital Partners Fund, LP</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1,176,470</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1,176,470</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49"/>
        </w:trPr>
        <w:tc>
          <w:tcPr>
            <w:tcW w:w="556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Funds affiliated with Partners Investments</w:t>
            </w:r>
            <w:r>
              <w:rPr>
                <w:rFonts w:ascii="Arial" w:cs="Arial" w:eastAsia="Arial" w:hAnsi="Arial"/>
                <w:sz w:val="28"/>
                <w:szCs w:val="28"/>
                <w:color w:val="auto"/>
                <w:vertAlign w:val="superscript"/>
              </w:rPr>
              <w:t>(6)</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1,098,038</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1,098,038</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419"/>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Directors and Named Executive Officers:</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56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Steven M. Paul, M.D.</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862,351</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862,351</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419"/>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Named Executive Officers</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56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Robert G. Pietrusko, Pharm.D.</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119,314</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119,314</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56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Bernard Ravina, M.D.</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119,304</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119,304</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8"/>
        </w:trPr>
        <w:tc>
          <w:tcPr>
            <w:tcW w:w="556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Directors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Mark Levin</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56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James A. Geraghty</w:t>
            </w:r>
            <w:r>
              <w:rPr>
                <w:rFonts w:ascii="Arial" w:cs="Arial" w:eastAsia="Arial" w:hAnsi="Arial"/>
                <w:sz w:val="28"/>
                <w:szCs w:val="28"/>
                <w:color w:val="auto"/>
                <w:vertAlign w:val="superscript"/>
              </w:rPr>
              <w:t>(10)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74,558</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74,558</w:t>
            </w:r>
          </w:p>
        </w:tc>
        <w:tc>
          <w:tcPr>
            <w:tcW w:w="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9"/>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All executive officers and directors as a group (14 persons)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1,489,362</w:t>
            </w: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1,489,362</w:t>
            </w: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05"/>
        </w:trPr>
        <w:tc>
          <w:tcPr>
            <w:tcW w:w="240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our outstanding common stock.</w:t>
      </w:r>
    </w:p>
    <w:p>
      <w:pPr>
        <w:spacing w:after="0" w:line="126" w:lineRule="exact"/>
        <w:rPr>
          <w:sz w:val="20"/>
          <w:szCs w:val="20"/>
          <w:color w:val="auto"/>
        </w:rPr>
      </w:pPr>
    </w:p>
    <w:p>
      <w:pPr>
        <w:ind w:left="1680" w:hanging="533"/>
        <w:spacing w:after="0"/>
        <w:tabs>
          <w:tab w:leader="none" w:pos="1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Unless otherwise indicated, the address for each beneficial owner is c/o Voyager Therapeutics, Inc., 75 Sidney Street, Cambridge, Massachusetts 02139.</w:t>
      </w:r>
    </w:p>
    <w:p>
      <w:pPr>
        <w:spacing w:after="0" w:line="125" w:lineRule="exact"/>
        <w:rPr>
          <w:rFonts w:ascii="Arial" w:cs="Arial" w:eastAsia="Arial" w:hAnsi="Arial"/>
          <w:sz w:val="13"/>
          <w:szCs w:val="13"/>
          <w:color w:val="auto"/>
        </w:rPr>
      </w:pPr>
    </w:p>
    <w:p>
      <w:pPr>
        <w:ind w:left="1680" w:right="80" w:hanging="533"/>
        <w:spacing w:after="0" w:line="243" w:lineRule="auto"/>
        <w:tabs>
          <w:tab w:leader="none" w:pos="16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address for Third Rock Ventures III, L.P., or TRV LP is 29 Newbury Street, 3rd Floor, Boston, MA 02116. Consists of (i) 10,588,235 shares of common stock issuable upon conversion of shares of Series A convertible preferred stock and (ii) 472,941 shares of common stock. All shares are held directly by TRV LP. Each of Third Rock Ventures II GP, L.P., or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right="20"/>
        <w:spacing w:after="0" w:line="243" w:lineRule="auto"/>
        <w:rPr>
          <w:sz w:val="20"/>
          <w:szCs w:val="20"/>
          <w:color w:val="auto"/>
        </w:rPr>
      </w:pPr>
      <w:r>
        <w:rPr>
          <w:rFonts w:ascii="Arial" w:cs="Arial" w:eastAsia="Arial" w:hAnsi="Arial"/>
          <w:sz w:val="13"/>
          <w:szCs w:val="13"/>
          <w:color w:val="auto"/>
        </w:rPr>
        <w:t>TRV GP, the general partner of TRV LP, Third Rock Ventures II GP, LLC, or TRV LLC, the general partner of TRV GP, and Mark Levin, Kevin Starr and Robert Tepper, the managers of TRV LLC, may be deemed to share voting and investment power over the shares held of record by TRV LP. Each of TRV GP, TRV LLC, Mark Levin, Kevin Starr and Robert Tepper disclaims beneficial ownership of all shares held by TRV LP except to the extent of their pecuniary interest therein.</w:t>
      </w:r>
    </w:p>
    <w:p>
      <w:pPr>
        <w:spacing w:after="0" w:line="175" w:lineRule="exact"/>
        <w:rPr>
          <w:sz w:val="20"/>
          <w:szCs w:val="20"/>
          <w:color w:val="auto"/>
        </w:rPr>
      </w:pPr>
    </w:p>
    <w:p>
      <w:pPr>
        <w:ind w:left="1680" w:right="340" w:hanging="533"/>
        <w:spacing w:after="0" w:line="256" w:lineRule="auto"/>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address for Aventis Inc. is 55 Corporate Drive, Bridgewater, New Jersey, 08807. Consists of 2,352,941 shares of common stock issuable upon conversion of shares of Series B convertible preferred stock. Aventis, Inc. is an affiliate of Genzyme.</w:t>
      </w:r>
    </w:p>
    <w:p>
      <w:pPr>
        <w:spacing w:after="0" w:line="100" w:lineRule="exact"/>
        <w:rPr>
          <w:rFonts w:ascii="Arial" w:cs="Arial" w:eastAsia="Arial" w:hAnsi="Arial"/>
          <w:sz w:val="13"/>
          <w:szCs w:val="13"/>
          <w:color w:val="auto"/>
        </w:rPr>
      </w:pPr>
    </w:p>
    <w:p>
      <w:pPr>
        <w:ind w:left="1680" w:right="60" w:hanging="533"/>
        <w:spacing w:after="0" w:line="258" w:lineRule="auto"/>
        <w:tabs>
          <w:tab w:leader="none" w:pos="16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shares of common stock as a result of acting as investment adviser to various investment companies registered under Section 8 of the Investment Company Act of 1940. Consists of (a) 1,286,274 shares of common stock issuable upon conversion of shares of Series B convertible preferred stock held by Fidelity Select Portfolios: Biotechnology Portfolio, and (b) 282,352 shares of common stock issuable upon conversion of shares of Series B convertible preferred stock held by Fidelity Advisor Series VII: Fidelity Advisor Biotechnology Fund. Edward C. Johnson 3d and FMR LLC, through its control of Fidelity, and the funds each has sole power to dispose of the shares owned by the Funds. Members of the family of Edward C. Johnson 3d, Chairman of FMR LLC, are the predominant owners, directly or through trusts, of Series B voting common shares of FMR LLC, representing 49% of the voting power of FMR LLC.</w:t>
      </w:r>
    </w:p>
    <w:p>
      <w:pPr>
        <w:spacing w:after="0" w:line="102" w:lineRule="exact"/>
        <w:rPr>
          <w:rFonts w:ascii="Arial" w:cs="Arial" w:eastAsia="Arial" w:hAnsi="Arial"/>
          <w:sz w:val="12"/>
          <w:szCs w:val="12"/>
          <w:color w:val="auto"/>
        </w:rPr>
      </w:pPr>
    </w:p>
    <w:p>
      <w:pPr>
        <w:ind w:left="1680" w:hanging="533"/>
        <w:spacing w:after="0" w:line="238" w:lineRule="auto"/>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Consists of 1,176,470 shares of common stock issuable upon conversion of shares of Series B convertible preferred stock held by Brookside Capital Partners Fund, L.P., or the Brookside Fund. Brookside Capital Investors, L.P. is the general partner of the Brookside Fund and as such has discretion over the portfolio securities beneficially owned by the Brookside Fund. Brookside Capital Management, LLC is the general partner of Brookside Capital Investors, L.P. Brookside Capital Management, LLC is controlled by an executive committee whose members include Dewey J. Awad, Domenic J. Ferrante, Matthew V. McPherron, William E. Pappendick IV and John M. Toussaint. The address for the Brookside Fund is John Hancock Tower, 200 Clarendon Street, Boston, MA 02116.</w:t>
      </w:r>
    </w:p>
    <w:p>
      <w:pPr>
        <w:spacing w:after="0" w:line="110" w:lineRule="exact"/>
        <w:rPr>
          <w:rFonts w:ascii="Arial" w:cs="Arial" w:eastAsia="Arial" w:hAnsi="Arial"/>
          <w:sz w:val="13"/>
          <w:szCs w:val="13"/>
          <w:color w:val="auto"/>
        </w:rPr>
      </w:pPr>
    </w:p>
    <w:p>
      <w:pPr>
        <w:ind w:left="1680" w:hanging="533"/>
        <w:spacing w:after="0" w:line="236" w:lineRule="auto"/>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Consists of (a) 6,919 shares of common stock issuable upon conversion of Series B convertible preferred stock held by PFM Healthcare Principals Fund, L.P., a Delaware limited partnership, or HCP, (b) 585,080 shares of common stock issuable upon conversion of Series B convertible preferred stock held by PFM Healthcare Opportunities Fund, L.P., a Delaware limited partnership, or HO, and (c) 506,039 shares of common stock issuable upon conversion of Series B convertible preferred stock held by Partners Investment, L.P., a Delaware limited partnership, or PI. Partner Investment Management, L.P., or PIM, is the investment advisor for HCP, HO and PI. Partner Investment Management GP, LLC , or PIM-GP is the general partner of PIM. Mr. Grossman is the portfolio manager for the health care strategy for the funds. Mr. James is the chief investment officer for PIM and member manager of PFM-GP and PIM-GP. The address of the principal business office of such entities and persons is c/o Partner Fund Management, L.P., 4 Embarcadero Center, Suite 3500, San Francisco, CA 94111.</w:t>
      </w:r>
    </w:p>
    <w:p>
      <w:pPr>
        <w:spacing w:after="0" w:line="111" w:lineRule="exact"/>
        <w:rPr>
          <w:rFonts w:ascii="Arial" w:cs="Arial" w:eastAsia="Arial" w:hAnsi="Arial"/>
          <w:sz w:val="13"/>
          <w:szCs w:val="13"/>
          <w:color w:val="auto"/>
        </w:rPr>
      </w:pPr>
    </w:p>
    <w:p>
      <w:pPr>
        <w:ind w:left="1680" w:hanging="533"/>
        <w:spacing w:after="0"/>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Consists of 862,351 shares of restricted stock.</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Consists of 117,647 shares of restricted stock and 1,667 options to purchase common stock that are excerisable within 60 days of June 30, 2015.</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Consists of 117,647 shares of restricted stock and 1,657 options to purchase common stock that are excerisable within 60 days of June 30, 2015.</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Consists of 70,588 shares of restricted stock and 3,970 options to purchase common stock that are excerisable within 60 days of June 30, 2015.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the section titled "Description of Capital Stock," you should refer to our amended and restated certificate of incorporation and amended and restated bylaws, which are or will be included as exhibits to the registration statement of which this prospectus forms a part, and to the applicable provisions of Delaware law. Immediately following the completion of this offering, our authorized capital stock will consist of 120,000,000 shares of common stock, $0.001 par value per share, and 5,000,000 shares of undesignated preferred stock, $0.001 par value per share.</w:t>
      </w:r>
    </w:p>
    <w:p>
      <w:pPr>
        <w:spacing w:after="0" w:line="164" w:lineRule="exact"/>
        <w:rPr>
          <w:sz w:val="20"/>
          <w:szCs w:val="20"/>
          <w:color w:val="auto"/>
        </w:rPr>
      </w:pPr>
    </w:p>
    <w:p>
      <w:pPr>
        <w:ind w:right="80" w:firstLine="332"/>
        <w:spacing w:after="0" w:line="311" w:lineRule="auto"/>
        <w:rPr>
          <w:sz w:val="20"/>
          <w:szCs w:val="20"/>
          <w:color w:val="auto"/>
        </w:rPr>
      </w:pPr>
      <w:r>
        <w:rPr>
          <w:rFonts w:ascii="Arial" w:cs="Arial" w:eastAsia="Arial" w:hAnsi="Arial"/>
          <w:sz w:val="15"/>
          <w:szCs w:val="15"/>
          <w:color w:val="auto"/>
        </w:rPr>
        <w:t>Assuming the conversion of all outstanding shares of our convertible preferred stock into 17,647,054 shares of our common stock, which will occur immediately prior to the completion of this offering, as of June 30, 2015, there were 21,034,710 shares of our common stock outstanding including 2,160,342 shares of unvested restricted stock subject to repuchase by us, held by 58 stockholders of record, and no shares of our convertible preferred stock outstanding. Our board of directors is authorized, without stockholder approval, except as required by the listing standards of The NASDAQ Stock Market, to issue additional shares of our capital stock.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Upon the completion of this offering, we will be authorized to issue one class of common stock. Holders of our common stock are entitled to one vote for each share of common stock held of record for the election of directors and on all matters submitted to a vote of stockholders.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Except as described in the section titled "Anti-takeover Provisions" below, a majority vote of the holders of common stock is generally required to take action under our amended and restated certificate of incorporation and amended and restated by-laws. All of our outstanding shares of common stock are, and the shares of common stock to be issued in this offering will be,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right="220" w:firstLine="341"/>
        <w:spacing w:after="0" w:line="306" w:lineRule="auto"/>
        <w:rPr>
          <w:sz w:val="20"/>
          <w:szCs w:val="20"/>
          <w:color w:val="auto"/>
        </w:rPr>
      </w:pPr>
      <w:r>
        <w:rPr>
          <w:rFonts w:ascii="Arial" w:cs="Arial" w:eastAsia="Arial" w:hAnsi="Arial"/>
          <w:sz w:val="15"/>
          <w:szCs w:val="15"/>
          <w:color w:val="auto"/>
        </w:rPr>
        <w:t>Upon the completion of this offering, our board of directors will be authorized, without action by the stockholders, to designate and issue up to an aggregate of 5,000,000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stock, diluting the voting power of our common stock, impairing the liquidation rights of our common stock, or delaying, deferring or preventing a change in control of our company, which might harm the market price of our common stock. See the section titled "Anti-takeover Provisions" below.</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Our board of directors will make any determination to issue such shares based on its judgment as to our company's best interests and the best interests of our stockholders. Upon the completion of this offering, we will have no shares of preferred stock outstanding and we have no current plans to issue any shares of preferred stock following completion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2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Upon the completion of this offering, the holders of 17,647,054 shares of our common stock, including shares issuable upon the conversion of our convertible preferred stock or their permitted transferees, are entitled to rights with respect to the registration of these securities under the Securities Act. These rights are provided under the terms of the investor rights agreement. The investor rights agreement includes demand registration rights, short-form registration rights and piggyback registration rights. All fees, costs and expenses of underwritten registrations under the investor rights agreement will be borne by us and all selling expenses, including underwriting discounts and selling commissions, will be borne by the holders of the shares being registered.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Upon the completion of this offering, the holders of 17,647,054 shares of our common stock, including shares issuable upon the conversion of our convertible preferred stock or their permitted transferees, are entitled to demand registration rights. Under the terms of the investor rights agreement, we will be required, upon the written request of either holders of 25% of these securities, or Aventis, in each case for at least $3.0 million, to file a registration statement and use commercially reasonable efforts to effect the registration of all or a portion of these shares for public resale. We are required to effect only two registrations pursuant to this provision of the investor rights agreement. A demand for registration may not be made until 180 days after the completion of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Short-Form Registration Rights</w:t>
      </w:r>
    </w:p>
    <w:p>
      <w:pPr>
        <w:spacing w:after="0" w:line="224"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Upon the completion of this offering, the holders of 17,647,054 shares of our common stock, including shares issuable upon the conversion of our convertible preferred stock or their permitted transferees, are also entitled to short-form registration rights. Pursuant to the investor rights agreement, if we are eligible to file a registration statement on Form S-3, upon the request of either 25% of these holders to sell registrable securities, or Aventis, in each case for an aggregate price of at least $1.0 million, we will be required to use our commercially reasonable efforts to effect a registration of such shares. We are required to effect only one registration in any 12-month period pursuant to this provision of the investor rights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ind w:right="280" w:firstLine="341"/>
        <w:spacing w:after="0" w:line="283" w:lineRule="auto"/>
        <w:rPr>
          <w:sz w:val="20"/>
          <w:szCs w:val="20"/>
          <w:color w:val="auto"/>
        </w:rPr>
      </w:pPr>
      <w:r>
        <w:rPr>
          <w:rFonts w:ascii="Arial" w:cs="Arial" w:eastAsia="Arial" w:hAnsi="Arial"/>
          <w:sz w:val="16"/>
          <w:szCs w:val="16"/>
          <w:color w:val="auto"/>
        </w:rPr>
        <w:t>Upon the completion of this offering, the holders of 17,647,054 shares of our common stock, including shares issuable upon the conversion of our convertible preferred stock or their permitted transferees, are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 rights agreement, we and the underwriters may limit the number of shares included in the underwritten offering if the underwriters determine in good faith that marketing factors require a limitation of the number of shares to be underwritten.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registration rights granted under the investor rights agreement will terminate upon the earlier of (i) a deemed liquidation event, as defined in our amended and restated certificate of incorporation, (ii) at such time when all registrable securities could be sold without restriction under Rule 144 of the Securities Act or (iii) the fifth anniversary of our initial public offering.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28"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will contain certain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the board of directors.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provisions include:</w:t>
      </w:r>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will provide that our board of directors will be divided into three classes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Our amended and restated certificate of incorporation will also provide that, subject to any rights of holders of preferred stock to elect additional directors under specified circumstances, the number of directors will be fixed exclusively pursuant to a resolution adopted by our board of directors. Upon completion of this offering, we expect that our board of directors will have six members.</w:t>
      </w:r>
    </w:p>
    <w:p>
      <w:pPr>
        <w:spacing w:after="0" w:line="188"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i w:val="1"/>
          <w:iCs w:val="1"/>
          <w:color w:val="auto"/>
        </w:rPr>
        <w:t xml:space="preserve">Action by Written Consent; Special Meetings of Stockholders. </w:t>
      </w:r>
      <w:r>
        <w:rPr>
          <w:rFonts w:ascii="Arial" w:cs="Arial" w:eastAsia="Arial" w:hAnsi="Arial"/>
          <w:sz w:val="17"/>
          <w:szCs w:val="17"/>
          <w:color w:val="auto"/>
        </w:rPr>
        <w:t>Our amended and restated certificate of incorporation will provide that stockholder action can be</w:t>
      </w:r>
      <w:r>
        <w:rPr>
          <w:rFonts w:ascii="Arial" w:cs="Arial" w:eastAsia="Arial" w:hAnsi="Arial"/>
          <w:sz w:val="17"/>
          <w:szCs w:val="17"/>
          <w:i w:val="1"/>
          <w:iCs w:val="1"/>
          <w:color w:val="auto"/>
        </w:rPr>
        <w:t xml:space="preserve"> </w:t>
      </w:r>
      <w:r>
        <w:rPr>
          <w:rFonts w:ascii="Arial" w:cs="Arial" w:eastAsia="Arial" w:hAnsi="Arial"/>
          <w:sz w:val="17"/>
          <w:szCs w:val="17"/>
          <w:color w:val="auto"/>
        </w:rPr>
        <w:t>taken only at an annual or special meeting of stockholders and cannot be taken by written consent in lieu of a meeting. Our amended and restated certificate of incorporation and the bylaws will also provide that, except as otherwise required by law, special meetings of the stockholders can be called only by or at the direction of the board of directors pursuant to a resolution adopted by a majority of the total number of directors. Stockholders will not be permitted to call a special meeting or to require the board of directors to call a special meeting.</w:t>
      </w:r>
    </w:p>
    <w:p>
      <w:pPr>
        <w:spacing w:after="0" w:line="187"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i w:val="1"/>
          <w:iCs w:val="1"/>
          <w:color w:val="auto"/>
        </w:rPr>
        <w:t xml:space="preserve">Removal of Directors. </w:t>
      </w:r>
      <w:r>
        <w:rPr>
          <w:rFonts w:ascii="Arial" w:cs="Arial" w:eastAsia="Arial" w:hAnsi="Arial"/>
          <w:sz w:val="17"/>
          <w:szCs w:val="17"/>
          <w:color w:val="auto"/>
        </w:rPr>
        <w:t>Our amended and restated certificate of incorporation will provide that our directors may be removed only for cause by the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vote of at least 75% of the votes that all our stockholders would be entitled to cast in an annual election of directors, voting together as a single class, at a meeting of the stockholders called for that purpose. This requirement of a supermajority vote to remove directors could enable a minority of our stockholders to prevent a change in the composition of our board.</w:t>
      </w:r>
    </w:p>
    <w:p>
      <w:pPr>
        <w:spacing w:after="0" w:line="185" w:lineRule="exact"/>
        <w:rPr>
          <w:sz w:val="20"/>
          <w:szCs w:val="20"/>
          <w:color w:val="auto"/>
        </w:rPr>
      </w:pPr>
    </w:p>
    <w:p>
      <w:pPr>
        <w:ind w:right="120" w:firstLine="338"/>
        <w:spacing w:after="0" w:line="261" w:lineRule="auto"/>
        <w:rPr>
          <w:sz w:val="20"/>
          <w:szCs w:val="20"/>
          <w:color w:val="auto"/>
        </w:rPr>
      </w:pPr>
      <w:r>
        <w:rPr>
          <w:rFonts w:ascii="Arial" w:cs="Arial" w:eastAsia="Arial" w:hAnsi="Arial"/>
          <w:sz w:val="17"/>
          <w:szCs w:val="17"/>
          <w:i w:val="1"/>
          <w:iCs w:val="1"/>
          <w:color w:val="auto"/>
        </w:rPr>
        <w:t xml:space="preserve">Advance Notice Procedures. </w:t>
      </w:r>
      <w:r>
        <w:rPr>
          <w:rFonts w:ascii="Arial" w:cs="Arial" w:eastAsia="Arial" w:hAnsi="Arial"/>
          <w:sz w:val="17"/>
          <w:szCs w:val="17"/>
          <w:color w:val="auto"/>
        </w:rPr>
        <w:t>Our amended and restated bylaws will establish an advance notice procedure for stockholder proposals to be brought before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amended and restated bylaws will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solicitation of proxies to elect its own slate of directors or otherwise attempting to obtain control of the company.</w:t>
      </w:r>
    </w:p>
    <w:p>
      <w:pPr>
        <w:spacing w:after="0" w:line="224"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i w:val="1"/>
          <w:iCs w:val="1"/>
          <w:color w:val="auto"/>
        </w:rPr>
        <w:t xml:space="preserve">Super Majority Approval Requirements. </w:t>
      </w:r>
      <w:r>
        <w:rPr>
          <w:rFonts w:ascii="Arial" w:cs="Arial" w:eastAsia="Arial" w:hAnsi="Arial"/>
          <w:sz w:val="15"/>
          <w:szCs w:val="15"/>
          <w:color w:val="auto"/>
        </w:rPr>
        <w:t>The Delaware General Corporation Law generally provides that the affirmative vote of a majority of the shares entitled</w:t>
      </w:r>
      <w:r>
        <w:rPr>
          <w:rFonts w:ascii="Arial" w:cs="Arial" w:eastAsia="Arial" w:hAnsi="Arial"/>
          <w:sz w:val="15"/>
          <w:szCs w:val="15"/>
          <w:i w:val="1"/>
          <w:iCs w:val="1"/>
          <w:color w:val="auto"/>
        </w:rPr>
        <w:t xml:space="preserve"> </w:t>
      </w:r>
      <w:r>
        <w:rPr>
          <w:rFonts w:ascii="Arial" w:cs="Arial" w:eastAsia="Arial" w:hAnsi="Arial"/>
          <w:sz w:val="15"/>
          <w:szCs w:val="15"/>
          <w:color w:val="auto"/>
        </w:rPr>
        <w:t>to vote on any matter is required to amend a corporation's certificate of incorporation or bylaws, unless either a corporation's certificate of incorporation or bylaws requires a greater percentage. A majority vote of our board of directors or the affirmative vote of holders of at least 75% of the total votes of the outstanding shares of capital stock of the Company entitled to vote with respect thereto, voting together as a single class, will be required to amend, alter, change or repeal our amended and restated certificate of incorporation. In addition, the affirmative vote of the holders of at least 75% of the total votes of the outstanding shares of capital stock of the Company entitled to vote with respect thereto, voting together as a single class, will be required to amend, alter, change or repeal, or to adopt any provisions inconsistent with, any of the provisions in our certificate of incorporation relating to amendments to our amended and restated certificate of incorporation and amended and restated bylaws and as described in the sections titled "Action by Written Consent; Special Meetings of Stockholders," "Classified Board" and "Removal of Directors" above. This requirement of a supermajority vote to approve amendments to our amended and restated bylaws and amended and restated certificate of incorporation could enable a minority of our stockholders to exercise veto power over any such amendments.</w:t>
      </w:r>
    </w:p>
    <w:p>
      <w:pPr>
        <w:spacing w:after="0" w:line="166"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i w:val="1"/>
          <w:iCs w:val="1"/>
          <w:color w:val="auto"/>
        </w:rPr>
        <w:t xml:space="preserve">Authorized but Unissued Shares. </w:t>
      </w:r>
      <w:r>
        <w:rPr>
          <w:rFonts w:ascii="Arial" w:cs="Arial" w:eastAsia="Arial" w:hAnsi="Arial"/>
          <w:sz w:val="16"/>
          <w:szCs w:val="16"/>
          <w:color w:val="auto"/>
        </w:rPr>
        <w:t>Our authorized but unissued shares of common stock and preferred stock will be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These additional shares may be utilized for a variety of corporate purposes, including future public offerings to raise additional capital and corporate acquisitions.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69" w:lineRule="exact"/>
        <w:rPr>
          <w:sz w:val="20"/>
          <w:szCs w:val="20"/>
          <w:color w:val="auto"/>
        </w:rPr>
      </w:pPr>
    </w:p>
    <w:p>
      <w:pPr>
        <w:ind w:right="40" w:firstLine="341"/>
        <w:spacing w:after="0" w:line="298" w:lineRule="auto"/>
        <w:rPr>
          <w:sz w:val="20"/>
          <w:szCs w:val="20"/>
          <w:color w:val="auto"/>
        </w:rPr>
      </w:pPr>
      <w:r>
        <w:rPr>
          <w:rFonts w:ascii="Arial" w:cs="Arial" w:eastAsia="Arial" w:hAnsi="Arial"/>
          <w:sz w:val="15"/>
          <w:szCs w:val="15"/>
          <w:i w:val="1"/>
          <w:iCs w:val="1"/>
          <w:color w:val="auto"/>
        </w:rPr>
        <w:t xml:space="preserve">Exclusive Forum. </w:t>
      </w:r>
      <w:r>
        <w:rPr>
          <w:rFonts w:ascii="Arial" w:cs="Arial" w:eastAsia="Arial" w:hAnsi="Arial"/>
          <w:sz w:val="15"/>
          <w:szCs w:val="15"/>
          <w:color w:val="auto"/>
        </w:rPr>
        <w:t>Our amended and restated certificate of incorporation will provide that, subject to limited exceptions, the state or federal courts located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amended and restated certificate of incorporation or our amended and restated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Although we believe these provisions benefit us by providing increased consistency in the application of Delaware law for the specified types of actions and proceedings,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24" w:lineRule="exact"/>
        <w:rPr>
          <w:sz w:val="20"/>
          <w:szCs w:val="20"/>
          <w:color w:val="auto"/>
        </w:rPr>
      </w:pPr>
    </w:p>
    <w:p>
      <w:pPr>
        <w:ind w:right="60" w:firstLine="341"/>
        <w:spacing w:after="0" w:line="322" w:lineRule="auto"/>
        <w:rPr>
          <w:sz w:val="20"/>
          <w:szCs w:val="20"/>
          <w:color w:val="auto"/>
        </w:rPr>
      </w:pPr>
      <w:r>
        <w:rPr>
          <w:rFonts w:ascii="Arial" w:cs="Arial" w:eastAsia="Arial" w:hAnsi="Arial"/>
          <w:sz w:val="15"/>
          <w:szCs w:val="15"/>
          <w:color w:val="auto"/>
        </w:rPr>
        <w:t>Upon completion of this offering, we will be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79" w:lineRule="exact"/>
        <w:rPr>
          <w:sz w:val="20"/>
          <w:szCs w:val="20"/>
          <w:color w:val="auto"/>
        </w:rPr>
      </w:pPr>
    </w:p>
    <w:p>
      <w:pPr>
        <w:ind w:right="140" w:firstLine="341"/>
        <w:spacing w:after="0" w:line="301"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75%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64" w:lineRule="exact"/>
        <w:rPr>
          <w:sz w:val="20"/>
          <w:szCs w:val="20"/>
          <w:color w:val="auto"/>
        </w:rPr>
      </w:pPr>
    </w:p>
    <w:p>
      <w:pPr>
        <w:ind w:right="220" w:firstLine="332"/>
        <w:spacing w:after="0" w:line="294"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the completion of this offering, the transfer agent and registrar for our common stock will be Computershare Trust N.A.</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NASDAQ Global Select 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"VYGR".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right="100" w:firstLine="341"/>
        <w:spacing w:after="0" w:line="293" w:lineRule="auto"/>
        <w:rPr>
          <w:sz w:val="20"/>
          <w:szCs w:val="20"/>
          <w:color w:val="auto"/>
        </w:rPr>
      </w:pPr>
      <w:r>
        <w:rPr>
          <w:rFonts w:ascii="Arial" w:cs="Arial" w:eastAsia="Arial" w:hAnsi="Arial"/>
          <w:sz w:val="15"/>
          <w:szCs w:val="15"/>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w:t>
      </w:r>
    </w:p>
    <w:p>
      <w:pPr>
        <w:spacing w:after="0" w:line="3"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Restricted Shares</w:t>
      </w:r>
    </w:p>
    <w:p>
      <w:pPr>
        <w:spacing w:after="0" w:line="228"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Following the completion of this offering, based on the number of shares of our capital stock outstanding as of June 30, 2015, we will have a total of 26,034,710 shares of our common stock outstanding. Of these outstanding shares, all of the 5,000,000 shares of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85"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common stock have entered into market standoff agreements with us or lock-up agreements with the underwriters under which they have agreed, subject to specific exceptions, not to sell any of our stock for at least 180 days following the date of this prospectus. As a result of these agreements and the provisions of our Investors Rights Agreement described above in the section titled "Description of Capital Stock—Registration Rights," subject to the provisions of Rule 144 or Rule 701, 26,034,710 shares of common stock, including 2,160,342 shares of unvested restricted stock subject to repurchase by us, will be available for sale in the public market as follows:</w:t>
      </w:r>
    </w:p>
    <w:p>
      <w:pPr>
        <w:spacing w:after="0" w:line="200" w:lineRule="exact"/>
        <w:rPr>
          <w:sz w:val="20"/>
          <w:szCs w:val="20"/>
          <w:color w:val="auto"/>
        </w:rPr>
      </w:pPr>
    </w:p>
    <w:p>
      <w:pPr>
        <w:ind w:left="1060" w:hanging="531"/>
        <w:spacing w:after="0" w:line="282"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beginning on the date of this prospectus, the 5,000,000 shares of common stock sold in this offering will be immediately available for sale in the public market;</w:t>
      </w:r>
    </w:p>
    <w:p>
      <w:pPr>
        <w:spacing w:after="0" w:line="196" w:lineRule="exact"/>
        <w:rPr>
          <w:rFonts w:ascii="Arial" w:cs="Arial" w:eastAsia="Arial" w:hAnsi="Arial"/>
          <w:sz w:val="17"/>
          <w:szCs w:val="17"/>
          <w:color w:val="auto"/>
        </w:rPr>
      </w:pPr>
    </w:p>
    <w:p>
      <w:pPr>
        <w:ind w:left="1060" w:right="80" w:hanging="531"/>
        <w:spacing w:after="0" w:line="352" w:lineRule="auto"/>
        <w:tabs>
          <w:tab w:leader="none" w:pos="10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21,034,710 additional shares of common stock will become eligible for sale in the public market, of which 12,550,538 shares will be held by affiliates and subject to the volume and other restrictions of Rule 144, as described below; and</w:t>
      </w:r>
    </w:p>
    <w:p>
      <w:pPr>
        <w:spacing w:after="0" w:line="136" w:lineRule="exact"/>
        <w:rPr>
          <w:rFonts w:ascii="Arial" w:cs="Arial" w:eastAsia="Arial" w:hAnsi="Arial"/>
          <w:sz w:val="15"/>
          <w:szCs w:val="15"/>
          <w:color w:val="auto"/>
        </w:rPr>
      </w:pPr>
    </w:p>
    <w:p>
      <w:pPr>
        <w:ind w:left="1060" w:right="300" w:hanging="531"/>
        <w:spacing w:after="0" w:line="282"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remainder of the shares of common stock will be eligible for sale in the public market from time to time thereafter, subject in some cases to the volume and other restrictions of Rule 144,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right="360" w:firstLine="341"/>
        <w:spacing w:after="0" w:line="315" w:lineRule="auto"/>
        <w:rPr>
          <w:sz w:val="20"/>
          <w:szCs w:val="20"/>
          <w:color w:val="auto"/>
        </w:rPr>
      </w:pPr>
      <w:r>
        <w:rPr>
          <w:rFonts w:ascii="Arial" w:cs="Arial" w:eastAsia="Arial" w:hAnsi="Arial"/>
          <w:sz w:val="16"/>
          <w:szCs w:val="16"/>
          <w:color w:val="auto"/>
        </w:rPr>
        <w:t>In connection with this offering, we, and all of our directors and officers, and the holders of substantially all of our outstanding stock and stock options have agreed that, without the prior written consent of Cowen and Company, LLC and Piper Jaffray &amp; Co. on behalf of the underwriters, we and</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they will not, during the period ending 180 days after the date of this prospectus (the "restricted period"):</w:t>
      </w:r>
    </w:p>
    <w:p>
      <w:pPr>
        <w:spacing w:after="0" w:line="237" w:lineRule="exact"/>
        <w:rPr>
          <w:sz w:val="20"/>
          <w:szCs w:val="20"/>
          <w:color w:val="auto"/>
        </w:rPr>
      </w:pPr>
    </w:p>
    <w:p>
      <w:pPr>
        <w:ind w:left="1060" w:right="180" w:hanging="531"/>
        <w:spacing w:after="0" w:line="270"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w:t>
      </w:r>
    </w:p>
    <w:p>
      <w:pPr>
        <w:spacing w:after="0" w:line="205" w:lineRule="exact"/>
        <w:rPr>
          <w:rFonts w:ascii="Arial" w:cs="Arial" w:eastAsia="Arial" w:hAnsi="Arial"/>
          <w:sz w:val="17"/>
          <w:szCs w:val="17"/>
          <w:color w:val="auto"/>
        </w:rPr>
      </w:pPr>
    </w:p>
    <w:p>
      <w:pPr>
        <w:ind w:left="1060" w:right="80" w:hanging="531"/>
        <w:spacing w:after="0" w:line="282"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our common stock,</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all of our directors and officers, and the holders of substantially all of our common stock and stock options have agreed that, without the prior written consent of Cowen and Company, LLC and Piper Jaffray &amp; Co. on behalf of the underwriters, during the restricted period, no registration statement with the SEC relating to the offering of any shares of common stock or any security convertible into or exercisable or exchangeable for our common stock will be filed.</w:t>
      </w:r>
    </w:p>
    <w:p>
      <w:pPr>
        <w:spacing w:after="0" w:line="169"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Following the lock-up periods set forth in the agreements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146" w:lineRule="exact"/>
        <w:rPr>
          <w:sz w:val="20"/>
          <w:szCs w:val="20"/>
          <w:color w:val="auto"/>
        </w:rPr>
      </w:pPr>
    </w:p>
    <w:p>
      <w:pPr>
        <w:ind w:right="200" w:firstLine="341"/>
        <w:spacing w:after="0" w:line="265"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certain of our security holders, including our amended and restated investors rights agreement and the standard forms of our option agreements under our equity incentive plans that contain market stand-off provisions imposing restrictions on the ability of such security holders to offer, sell or transfer our equity securities for a period of 180 days following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 Resales of Restricted Securities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99" w:lineRule="exact"/>
        <w:rPr>
          <w:sz w:val="20"/>
          <w:szCs w:val="20"/>
          <w:color w:val="auto"/>
        </w:rPr>
      </w:pPr>
    </w:p>
    <w:p>
      <w:pPr>
        <w:ind w:left="1060" w:hanging="531"/>
        <w:spacing w:after="0"/>
        <w:tabs>
          <w:tab w:leader="none" w:pos="10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 outstanding, which will equal approximately 260,347 shares immediately after this offering; or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Select Market during the four calendar weeks preceding the filing of a notice on Form 144 with respect to such sale.</w:t>
      </w:r>
    </w:p>
    <w:p>
      <w:pPr>
        <w:spacing w:after="0" w:line="170" w:lineRule="exact"/>
        <w:rPr>
          <w:sz w:val="20"/>
          <w:szCs w:val="20"/>
          <w:color w:val="auto"/>
        </w:rPr>
      </w:pPr>
    </w:p>
    <w:p>
      <w:pPr>
        <w:ind w:right="280" w:firstLine="332"/>
        <w:spacing w:after="0" w:line="265"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Securities and Exchange Commission and concurrently with either the placing of a sale order with the broker or the execution directly with a market maker.</w:t>
      </w:r>
    </w:p>
    <w:p>
      <w:pPr>
        <w:spacing w:after="0" w:line="185"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Upon the completion of this offering, the holders of 17,647,054 shares of our common stock issued or issuable will be entitled to specified rights with respect to the registration of the offer and sale of their shares under the Securities Act. Registration of these shares under the Securities Act would result in the shares becoming freely tradable without restriction under the Securities Act immediately upon the effectiveness of the registration statement. See the section titled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28"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As soon as practicable after the completion of this offering, we intend to file a Form S-8 registration statement under the Securities Act to register shares of our common stock subject to options outstanding or reserved for issuance under our stock plans. This registration statement will become effective immediately upon filing, and shares covered by this registration statement will thereupon be eligible for sale in the public markets, subject to Rule 144 limitations applicable to affiliates and any lock-up agreements. For a more complete discussion of our stock plans, see the section titled "Executive Compensation—Stock Option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MATERIAL U.S. FEDERAL INCOME TAX CONSEQUENCES</w:t>
      </w:r>
    </w:p>
    <w:p>
      <w:pPr>
        <w:spacing w:after="0" w:line="228" w:lineRule="exact"/>
        <w:rPr>
          <w:sz w:val="20"/>
          <w:szCs w:val="20"/>
          <w:color w:val="auto"/>
        </w:rPr>
      </w:pPr>
    </w:p>
    <w:p>
      <w:pPr>
        <w:ind w:right="80" w:firstLine="338"/>
        <w:spacing w:after="0" w:line="311" w:lineRule="auto"/>
        <w:rPr>
          <w:sz w:val="20"/>
          <w:szCs w:val="20"/>
          <w:color w:val="auto"/>
        </w:rPr>
      </w:pPr>
      <w:r>
        <w:rPr>
          <w:rFonts w:ascii="Arial" w:cs="Arial" w:eastAsia="Arial" w:hAnsi="Arial"/>
          <w:sz w:val="15"/>
          <w:szCs w:val="15"/>
          <w:color w:val="auto"/>
        </w:rPr>
        <w:t>The following is a summary of the material U.S. federal income and estate tax considerations relating to the purchase, ownership and disposition of our common stock by Non-U.S. Holders (defined below). This summary does not purport to be a complete analysis of all the potential tax considerations relevant to Non-U.S. Holders of our common stock. This summary is based upon the Code, the Treasury regulations promulgated or proposed thereunder and administrative and judicial interpretations thereof, all as of the date hereof and all of which are subject to differing interpretations and to change at any time, possibly on a retroactive basis.</w:t>
      </w:r>
    </w:p>
    <w:p>
      <w:pPr>
        <w:spacing w:after="0" w:line="155"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This summary assumes that shares of our common stock are held as "capital assets" within the meaning of Section 1221 of the Code (generally, property held for investment). This summary does not purport to deal with all aspects of U.S. federal income and estate taxation that might be relevant to particular Non-U.S. Holders in light of their particular investment circumstances or status, nor does it address specific tax considerations that may be relevant to particular persons (including, for example, financial institutions, broker-dealers, insurance companies, partnerships or other pass-through entities, certain U.S. expatriates, tax-exempt organizations, pension plans, "controlled foreign corporations", "passive foreign investment companies", corporations that accumulate earnings to avoid U.S. federal income tax, persons in special situations, such as those who have elected to mark securities to market or those who hold common stock as part of a straddle, hedge, conversion transaction, synthetic security or other integrated investment, holders who have acquired our common stock pursuant to the exercise of a stock option or otherwise as compensation, or holders subject to the alternative minimum tax or the 3.8% Medicare tax on net investment income). In addition, except as explicitly addressed herein with respect to estate tax, this summary does not address estate and gift tax considerations or considerations under the tax laws of any state, local or non-U.S. jurisdiction.</w:t>
      </w:r>
    </w:p>
    <w:p>
      <w:pPr>
        <w:spacing w:after="0" w:line="176"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For purposes of this summary, a "Non-U.S. Holder" means a beneficial owner of common stock that for U.S. federal income tax purposes is not an entity treated as a partnership and is not:</w:t>
      </w:r>
    </w:p>
    <w:p>
      <w:pPr>
        <w:spacing w:after="0" w:line="183" w:lineRule="exact"/>
        <w:rPr>
          <w:sz w:val="20"/>
          <w:szCs w:val="20"/>
          <w:color w:val="auto"/>
        </w:rPr>
      </w:pPr>
    </w:p>
    <w:p>
      <w:pPr>
        <w:ind w:left="1060" w:hanging="531"/>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50" w:lineRule="exact"/>
        <w:rPr>
          <w:rFonts w:ascii="Arial" w:cs="Arial" w:eastAsia="Arial" w:hAnsi="Arial"/>
          <w:sz w:val="17"/>
          <w:szCs w:val="17"/>
          <w:color w:val="auto"/>
        </w:rPr>
      </w:pPr>
    </w:p>
    <w:p>
      <w:pPr>
        <w:ind w:left="1060" w:right="140" w:hanging="531"/>
        <w:spacing w:after="0" w:line="282"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corporation or any other organization taxable as a corporation for U.S. federal income tax purposes, created or organized in or under the laws of the United States, any state thereof or the District of Columbia;</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 estate, the income of which is included in gross income for U.S. federal income tax purposes regardless of its source; or</w:t>
      </w:r>
    </w:p>
    <w:p>
      <w:pPr>
        <w:spacing w:after="0" w:line="237" w:lineRule="exact"/>
        <w:rPr>
          <w:rFonts w:ascii="Arial" w:cs="Arial" w:eastAsia="Arial" w:hAnsi="Arial"/>
          <w:sz w:val="17"/>
          <w:szCs w:val="17"/>
          <w:color w:val="auto"/>
        </w:rPr>
      </w:pPr>
    </w:p>
    <w:p>
      <w:pPr>
        <w:ind w:left="1060" w:right="180" w:hanging="531"/>
        <w:spacing w:after="0" w:line="270"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trust's administration and one or more U.S. persons have the authority to control all of the trust's substantial decisions or (2) the trust has a valid election in effect under applicable Treasury regulations to be treated as a U.S. person.</w:t>
      </w:r>
    </w:p>
    <w:p>
      <w:pPr>
        <w:spacing w:after="0" w:line="179" w:lineRule="exact"/>
        <w:rPr>
          <w:sz w:val="20"/>
          <w:szCs w:val="20"/>
          <w:color w:val="auto"/>
        </w:rPr>
      </w:pPr>
    </w:p>
    <w:p>
      <w:pPr>
        <w:jc w:val="both"/>
        <w:ind w:right="160" w:firstLine="341"/>
        <w:spacing w:after="0" w:line="265" w:lineRule="auto"/>
        <w:rPr>
          <w:sz w:val="20"/>
          <w:szCs w:val="20"/>
          <w:color w:val="auto"/>
        </w:rPr>
      </w:pPr>
      <w:r>
        <w:rPr>
          <w:rFonts w:ascii="Arial" w:cs="Arial" w:eastAsia="Arial" w:hAnsi="Arial"/>
          <w:sz w:val="17"/>
          <w:szCs w:val="17"/>
          <w:color w:val="auto"/>
        </w:rPr>
        <w:t>If an entity that is treated as a partnership for U.S. federal income tax purposes holds our common stock, the tax treatment of persons treated as its partners for U.S. federal income tax purposes will generally depend upon the status of the partner and the activities of the partnership. Entities that are treated as partnerships for U.S. federal income tax purposes and persons holding our common stock through an entity treated as a partnership for U.S. federal income tax purposes are urged to consult their own tax advisors.</w:t>
      </w:r>
    </w:p>
    <w:p>
      <w:pPr>
        <w:spacing w:after="0" w:line="185" w:lineRule="exact"/>
        <w:rPr>
          <w:sz w:val="20"/>
          <w:szCs w:val="20"/>
          <w:color w:val="auto"/>
        </w:rPr>
      </w:pPr>
    </w:p>
    <w:p>
      <w:pPr>
        <w:jc w:val="both"/>
        <w:ind w:right="200" w:firstLine="338"/>
        <w:spacing w:after="0" w:line="270" w:lineRule="auto"/>
        <w:rPr>
          <w:sz w:val="20"/>
          <w:szCs w:val="20"/>
          <w:color w:val="auto"/>
        </w:rPr>
      </w:pPr>
      <w:r>
        <w:rPr>
          <w:rFonts w:ascii="Arial" w:cs="Arial" w:eastAsia="Arial" w:hAnsi="Arial"/>
          <w:sz w:val="17"/>
          <w:szCs w:val="17"/>
          <w:color w:val="auto"/>
        </w:rPr>
        <w:t>There can be no assurance that the Internal Revenue Service ("IRS") will not challenge one or more of the tax consequences described herein, and we have not obtained, nor do we intend to obtain a ruling from the IRS with respect to the U.S. federal income or estate tax consequences to a Non-U.S. Holder of the purchase, ownership or disposition of our common stock.</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700" w:firstLine="341"/>
        <w:spacing w:after="0" w:line="272" w:lineRule="auto"/>
        <w:rPr>
          <w:sz w:val="20"/>
          <w:szCs w:val="20"/>
          <w:color w:val="auto"/>
        </w:rPr>
      </w:pPr>
      <w:r>
        <w:rPr>
          <w:rFonts w:ascii="Arial" w:cs="Arial" w:eastAsia="Arial" w:hAnsi="Arial"/>
          <w:sz w:val="17"/>
          <w:szCs w:val="17"/>
          <w:b w:val="1"/>
          <w:bCs w:val="1"/>
          <w:color w:val="auto"/>
        </w:rPr>
        <w:t>THIS SUMMARY IS NOT INTENDED TO BE TAX ADVICE. NON-U.S. HOLDERS ARE URGED TO CONSULT THEIR TAX ADVISORS CONCERNING THE U.S. FEDERAL INCOME AND ESTATE TAXATION, STATE, LOCAL AND NON-U.S. TAXATION AND OTHER TAX CONSEQUENCES TO THEM OF THE PURCHASE, OWNERSHIP AND DISPOSITION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228" w:lineRule="exact"/>
        <w:rPr>
          <w:sz w:val="20"/>
          <w:szCs w:val="20"/>
          <w:color w:val="auto"/>
        </w:rPr>
      </w:pPr>
    </w:p>
    <w:p>
      <w:pPr>
        <w:ind w:right="600" w:firstLine="341"/>
        <w:spacing w:after="0" w:line="282" w:lineRule="auto"/>
        <w:rPr>
          <w:sz w:val="20"/>
          <w:szCs w:val="20"/>
          <w:color w:val="auto"/>
        </w:rPr>
      </w:pPr>
      <w:r>
        <w:rPr>
          <w:rFonts w:ascii="Arial" w:cs="Arial" w:eastAsia="Arial" w:hAnsi="Arial"/>
          <w:sz w:val="17"/>
          <w:szCs w:val="17"/>
          <w:color w:val="auto"/>
        </w:rPr>
        <w:t>Dividends paid to a Non-U.S. Holder generally will be subject to a 30% U.S. federal withholding tax unless such Non-U.S. Holder provides us or another applicable withholding agent, as the case may be, with the appropriate IRS Form W-8, such as:</w:t>
      </w:r>
    </w:p>
    <w:p>
      <w:pPr>
        <w:spacing w:after="0" w:line="183" w:lineRule="exact"/>
        <w:rPr>
          <w:sz w:val="20"/>
          <w:szCs w:val="20"/>
          <w:color w:val="auto"/>
        </w:rPr>
      </w:pPr>
    </w:p>
    <w:p>
      <w:pPr>
        <w:ind w:left="1060" w:right="20" w:hanging="531"/>
        <w:spacing w:after="0" w:line="282"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IRS Form W-8BEN (or successor form) certifying, under penalties of perjury, that such holder is not a United States person (as defined under the Code) and is eligible for a reduction in the rate of, or exemption from, withholding under an applicable income tax treaty, or</w:t>
      </w:r>
    </w:p>
    <w:p>
      <w:pPr>
        <w:spacing w:after="0" w:line="196" w:lineRule="exact"/>
        <w:rPr>
          <w:rFonts w:ascii="Arial" w:cs="Arial" w:eastAsia="Arial" w:hAnsi="Arial"/>
          <w:sz w:val="17"/>
          <w:szCs w:val="17"/>
          <w:color w:val="auto"/>
        </w:rPr>
      </w:pPr>
    </w:p>
    <w:p>
      <w:pPr>
        <w:ind w:left="1060" w:right="480" w:hanging="531"/>
        <w:spacing w:after="0" w:line="270"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IRS Form W-8ECI (or successor form) certifying that a dividend paid on common stock is not subject to withholding tax because it is effectively connected with a trade or business in the United States of the Non-U.S. Holder (in which case such dividend generally will be subject to regular graduated U.S. tax rates as described below).</w:t>
      </w:r>
    </w:p>
    <w:p>
      <w:pPr>
        <w:spacing w:after="0" w:line="179"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certification requirement described above must be provided to us or another applicable withholding agent prior to the payment of dividends and must be updated periodically. The certification also may require a Non-U.S. Holder that claims treaty benefits of a reduction in the rate of, or exemption from, withholding on dividends to provide its U.S. taxpayer identification number. Special certification and other requirements apply in the case of certain Non-U.S. Holders that hold shares of our common stock through intermediaries or are pass-through entities for U.S. federal income tax purposes.</w:t>
      </w:r>
    </w:p>
    <w:p>
      <w:pPr>
        <w:spacing w:after="0" w:line="169" w:lineRule="exact"/>
        <w:rPr>
          <w:sz w:val="20"/>
          <w:szCs w:val="20"/>
          <w:color w:val="auto"/>
        </w:rPr>
      </w:pPr>
    </w:p>
    <w:p>
      <w:pPr>
        <w:ind w:right="360" w:firstLine="341"/>
        <w:spacing w:after="0" w:line="315" w:lineRule="auto"/>
        <w:rPr>
          <w:sz w:val="20"/>
          <w:szCs w:val="20"/>
          <w:color w:val="auto"/>
        </w:rPr>
      </w:pPr>
      <w:r>
        <w:rPr>
          <w:rFonts w:ascii="Arial" w:cs="Arial" w:eastAsia="Arial" w:hAnsi="Arial"/>
          <w:sz w:val="16"/>
          <w:szCs w:val="16"/>
          <w:color w:val="auto"/>
        </w:rPr>
        <w:t>Each Non-U.S. Holder is urged to consult its own tax advisor about the specific methods for satisfying these requirements. A claim for exemption will not be valid if the person receiving the applicable form has actual knowledge or reason to know that the statements on the form are false.</w:t>
      </w:r>
    </w:p>
    <w:p>
      <w:pPr>
        <w:spacing w:after="0" w:line="146" w:lineRule="exact"/>
        <w:rPr>
          <w:sz w:val="20"/>
          <w:szCs w:val="20"/>
          <w:color w:val="auto"/>
        </w:rPr>
      </w:pPr>
    </w:p>
    <w:p>
      <w:pPr>
        <w:ind w:right="140" w:firstLine="341"/>
        <w:spacing w:after="0" w:line="306" w:lineRule="auto"/>
        <w:rPr>
          <w:sz w:val="20"/>
          <w:szCs w:val="20"/>
          <w:color w:val="auto"/>
        </w:rPr>
      </w:pPr>
      <w:r>
        <w:rPr>
          <w:rFonts w:ascii="Arial" w:cs="Arial" w:eastAsia="Arial" w:hAnsi="Arial"/>
          <w:sz w:val="15"/>
          <w:szCs w:val="15"/>
          <w:color w:val="auto"/>
        </w:rPr>
        <w:t>If dividends are effectively connected with a trade or business in the United States of a Non-U.S. Holder (and, if required by an applicable income tax treaty, attributable to a U.S. permanent establishment or fixed base), the Non-U.S. Holder, although exempt from the withholding tax described above (provided that the certifications described above are satisfied), generally will be subject to U.S. federal income tax on such dividends on a net income basis in the same manner as if it were a U.S. person. In addition, if a Non-U.S. Holder is treated as a corporation for U.S. federal income tax purposes, the Non-U.S. Holder may be subject to an additional "branch profits tax" equal to 30% (unless reduced by an applicable income tax treaty) of such effectively connected dividend, as adjusted for certain items.</w:t>
      </w:r>
    </w:p>
    <w:p>
      <w:pPr>
        <w:spacing w:after="0" w:line="159"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Non-U.S. Holders that do not timely provide us or another applicable withholding agent with the required certification, but which are eligible for a reduced rate of, or an exemption from, U.S. federal withholding tax, may obtain a refund or credit of any excess amount withheld by timely filing an appropriate claim for refund with the IRS.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Taxable Disposition of Our Common Stock</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Subject to the discussion below under the sections titled "—Additional Withholding and Reporting Requirements" and "—Backup Withholding and Information Reporting", in general, a Non-U.S. Holder will not be subject to U.S. federal income tax or withholding tax on gain realized upon such holder's sale, exchange or other taxable disposition of shares of our common stock unless (i) such Non-U.S. Holder is an individual who is present in the United States for 183 days or more in the taxable year of disposition, and certain other conditions are met; (ii) we are or have been a "United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States real property holding corporation", as defined in the Code (a "USRPHC"), at any time within the shorter of the five-year period preceding the disposition and the Non-U.S. Holder's holding period in the shares of our common stock, and certain other requirements are met; or (iii) such gain is effectively connected with the conduct by such Non-U.S. Holder of a trade or business in the United States (and, if required by an applicable income tax treaty, is attributable to a permanent establishment or fixed base maintained by such Non-U.S. Holder in the United States).</w:t>
      </w:r>
    </w:p>
    <w:p>
      <w:pPr>
        <w:spacing w:after="0" w:line="185" w:lineRule="exact"/>
        <w:rPr>
          <w:sz w:val="20"/>
          <w:szCs w:val="20"/>
          <w:color w:val="auto"/>
        </w:rPr>
      </w:pPr>
    </w:p>
    <w:p>
      <w:pPr>
        <w:jc w:val="both"/>
        <w:ind w:right="120" w:firstLine="341"/>
        <w:spacing w:after="0" w:line="262" w:lineRule="auto"/>
        <w:rPr>
          <w:sz w:val="20"/>
          <w:szCs w:val="20"/>
          <w:color w:val="auto"/>
        </w:rPr>
      </w:pPr>
      <w:r>
        <w:rPr>
          <w:rFonts w:ascii="Arial" w:cs="Arial" w:eastAsia="Arial" w:hAnsi="Arial"/>
          <w:sz w:val="17"/>
          <w:szCs w:val="17"/>
          <w:color w:val="auto"/>
        </w:rPr>
        <w:t>If the first exception applies, the Non-U.S. Holder generally will be subject to U.S. federal income tax at a rate of 30% (or at a reduced rate under an applicable income tax treaty) on the amount by which such Non-U.S. Holder's capital gains allocable to U.S. sources exceed capital losses allocable to U.S. sources during the taxable year of the disposition. If the third exception applies, the Non-U.S. Holder generally will be subject to U.S. federal income tax with respect to such gain on a net income basis in the same manner as if it were a U.S. person, and a Non-U.S. Holder that is a corporation for U.S. federal income tax purposes may also be subject to a branch profits tax with respect to such effectively connected gain, as adjusted for certain items, at a rate of 30% (or at a reduced rate under an applicable income tax treaty).</w:t>
      </w:r>
    </w:p>
    <w:p>
      <w:pPr>
        <w:spacing w:after="0" w:line="188"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Regarding the second exception, generally, a corporation is a USRPHC only if the fair market value of its U.S. real property interests (as defined in the Code) equals or exceeds 50% of the sum of the fair market value of its worldwide real property interests plus its other assets used or held for use in a trade or business. Although there can be no assurance in this regard, we believe that we are not, and do not anticipate becoming, a USRPHC. However, because the determination of whether we are a USRPHC depends on the fair market value of our U.S. real property interests relative to the fair market value of our other business assets, there can be no assurance that we have not been a USRPHC in the past and will not become a USRPHC in the future. Even if we became a USRPHC, a Non-U.S. Holder would not be subject to U.S. federal income tax on a sale, exchange or other taxable disposition of our common stock by reason of our status as USRPHC so long as our common stock is regularly traded on an established securities market (within the meaning of the applicable regulations) and such Non-U.S. Holder does not own and is not deemed to own (directly, indirectly or constructively) more than 5% of our outstanding common stock at any time during the shorter of the five year period ending on the date of disposition and such holder's holding period. However, no assurance can be provided that our common stock will be regularly traded on an established securities market for purposes of the rules described above. Prospective investors are encouraged to consult their own tax advisors regarding the possible consequences to them if we are, or were to become, a USRPHC.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and Reporting Requirements</w:t>
      </w:r>
    </w:p>
    <w:p>
      <w:pPr>
        <w:spacing w:after="0" w:line="228"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Legislation enacted in March 2010 and related guidance (commonly referred to as "FATCA") will impose, in certain circumstances, a U.S. federal withholding tax at a rate of 30% on payments of (a) dividends on our common stock, and (b) gross proceeds from the sale or other disposition of our common stock on or after January 1, 2017. In the case of payments made to a "foreign financial institution" as defined under FATCA (including, among other entities, an investment fund), the tax generally will be imposed, subject to certain exceptions, unless such institution (i) enters into (or is otherwise subject to) and complies with an agreement with the U.S. government (a "FATCA Agreement") or (ii) complies with an applicable intergovernmental agreement between the United States and a foreign jurisdiction (an "IGA") or any foreign law implementing an applicable IGA, in either case to, among other things, collect and provide to the U.S. or other relevant tax authorities certain information regarding U.S. account holders of such institution. In the case of payments made to a foreign entity that is not a foreign financial institution, the tax generally will be imposed, subject to certain exceptions, unless such foreign entity provides the withholding agent with a certification that it does not have any "substantial U.S. owners" (generally, any specified U.S. persons that directly or indirectly own more than a specified percentage of such entity) or that identifies its substantial U.S.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311" w:lineRule="auto"/>
        <w:rPr>
          <w:sz w:val="20"/>
          <w:szCs w:val="20"/>
          <w:color w:val="auto"/>
        </w:rPr>
      </w:pPr>
      <w:r>
        <w:rPr>
          <w:rFonts w:ascii="Arial" w:cs="Arial" w:eastAsia="Arial" w:hAnsi="Arial"/>
          <w:sz w:val="15"/>
          <w:szCs w:val="15"/>
          <w:color w:val="auto"/>
        </w:rPr>
        <w:t>owners. If our common stock is held through a foreign financial institution that enters into (or is otherwise subject to) a FATCA Agreement, such foreign financial institution (or, in certain cases, a person paying amounts to such foreign financial institution) generally will be required, subject to certain exceptions, to apply FATCA withholding on payments of dividends and proceeds described above made to (x) a person (including an individual) that fails to comply with certain information requests or (y) a foreign financial institution that has not entered into a FATCA Agreement and is not otherwise exempt from FATCA pursuant to an IGA.</w:t>
      </w:r>
    </w:p>
    <w:p>
      <w:pPr>
        <w:spacing w:after="0" w:line="155"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Prospective investors should consult their own tax advisors regarding the possible impact of these rules on their investment in our common stock, and the entities through which they hold our common stock, including, without limitation, the process and deadlines for meeting the applicable requirements to prevent the imposition of this 30% withholding tax under FATCA.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the holder and the tax withheld, if any, with respect to the distributions. Non-U.S. Holders may have to comply with specific certification procedures to establish that the holder is not a United States person (as defined in the Code) in order to avoid backup withholding at the applicable rate, currently 28%, with respect to dividends on our common stock. Dividends paid to Non-U.S. Holders subject to U.S. withholding, as described above under the section titled "—Distributions on Our Common Stock", generally will be exempt from U.S. backup withholding.</w:t>
      </w:r>
    </w:p>
    <w:p>
      <w:pPr>
        <w:spacing w:after="0" w:line="187"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under penalties of perjury, that it is not a United States person (as defined under the Code) and satisfies certain other requirements (and the payor does not have actual knowledge or reason to know that the beneficial owner is a United States person),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w:t>
      </w:r>
    </w:p>
    <w:p>
      <w:pPr>
        <w:spacing w:after="0" w:line="187"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in which the Non-U.S. Holder is incorporated, under the provisions of a specific treaty or agreement.</w:t>
      </w:r>
    </w:p>
    <w:p>
      <w:pPr>
        <w:spacing w:after="0" w:line="170"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Common stock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right="20" w:firstLine="338"/>
        <w:spacing w:after="0" w:line="294" w:lineRule="auto"/>
        <w:rPr>
          <w:sz w:val="20"/>
          <w:szCs w:val="20"/>
          <w:color w:val="auto"/>
        </w:rPr>
      </w:pPr>
      <w:r>
        <w:rPr>
          <w:rFonts w:ascii="Arial" w:cs="Arial" w:eastAsia="Arial" w:hAnsi="Arial"/>
          <w:sz w:val="16"/>
          <w:szCs w:val="16"/>
          <w:color w:val="auto"/>
        </w:rPr>
        <w:t>We and the underwriters for the offering named below have entered into an underwriting agreement with respect to the shares of common stock being offered. Subject to the terms and conditions of the underwriting agreement, each underwriter has severally agreed to purchase from us the number of shares of common stock set forth opposite its name below. Cowen and Company, LLC and Piper Jaffray &amp; Co. are the representatives of the underwriters.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Number</w:t>
            </w:r>
          </w:p>
        </w:tc>
        <w:tc>
          <w:tcPr>
            <w:tcW w:w="0" w:type="dxa"/>
            <w:vAlign w:val="bottom"/>
          </w:tcPr>
          <w:p>
            <w:pPr>
              <w:spacing w:after="0"/>
              <w:rPr>
                <w:sz w:val="1"/>
                <w:szCs w:val="1"/>
                <w:color w:val="auto"/>
              </w:rPr>
            </w:pPr>
          </w:p>
        </w:tc>
      </w:tr>
      <w:tr>
        <w:trPr>
          <w:trHeight w:val="157"/>
        </w:trPr>
        <w:tc>
          <w:tcPr>
            <w:tcW w:w="702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Cowen and Company, LLC</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Piper Jaffray &amp; Co.</w:t>
            </w:r>
          </w:p>
        </w:tc>
        <w:tc>
          <w:tcPr>
            <w:tcW w:w="800" w:type="dxa"/>
            <w:vAlign w:val="bottom"/>
          </w:tcPr>
          <w:p>
            <w:pPr>
              <w:jc w:val="right"/>
              <w:spacing w:after="0"/>
              <w:rPr>
                <w:sz w:val="20"/>
                <w:szCs w:val="20"/>
                <w:color w:val="auto"/>
              </w:rPr>
            </w:pPr>
            <w:r>
              <w:rPr>
                <w:rFonts w:ascii="Arial" w:cs="Arial" w:eastAsia="Arial" w:hAnsi="Arial"/>
                <w:sz w:val="17"/>
                <w:szCs w:val="17"/>
                <w:color w:val="auto"/>
              </w:rPr>
              <w:t>1,950,000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Wedbush Securities Inc.</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Nomura Securities International, Inc.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00" w:firstLine="338"/>
        <w:spacing w:after="0" w:line="287" w:lineRule="auto"/>
        <w:rPr>
          <w:sz w:val="20"/>
          <w:szCs w:val="20"/>
          <w:color w:val="auto"/>
        </w:rPr>
      </w:pPr>
      <w:r>
        <w:rPr>
          <w:rFonts w:ascii="Arial" w:cs="Arial" w:eastAsia="Arial" w:hAnsi="Arial"/>
          <w:sz w:val="16"/>
          <w:szCs w:val="16"/>
          <w:color w:val="auto"/>
        </w:rPr>
        <w:t>The underwriting agreement provides that the obligations of the underwriters are subject to certain conditions precedent and that the underwriters have agreed, severally and not jointly, to purchase all of the shares of common stock sold under the underwriting agreement if any of these shares are purchased, other than those shares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169"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We have agreed to indemnify the underwriters against specified liabilities, including liabilities under the Securities Act, and to contribute to payments the underwriters may be required to make in respect thereof.</w:t>
      </w:r>
    </w:p>
    <w:p>
      <w:pPr>
        <w:spacing w:after="0" w:line="170"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underwriters are offering the shares of common stock,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 to Purchase Additional Shares</w:t>
      </w:r>
    </w:p>
    <w:p>
      <w:pPr>
        <w:spacing w:after="0" w:line="228" w:lineRule="exact"/>
        <w:rPr>
          <w:sz w:val="20"/>
          <w:szCs w:val="20"/>
          <w:color w:val="auto"/>
        </w:rPr>
      </w:pPr>
    </w:p>
    <w:p>
      <w:pPr>
        <w:ind w:right="180" w:firstLine="338"/>
        <w:spacing w:after="0" w:line="287" w:lineRule="auto"/>
        <w:rPr>
          <w:sz w:val="20"/>
          <w:szCs w:val="20"/>
          <w:color w:val="auto"/>
        </w:rPr>
      </w:pPr>
      <w:r>
        <w:rPr>
          <w:rFonts w:ascii="Arial" w:cs="Arial" w:eastAsia="Arial" w:hAnsi="Arial"/>
          <w:sz w:val="16"/>
          <w:szCs w:val="16"/>
          <w:color w:val="auto"/>
        </w:rPr>
        <w:t>We have granted to the underwriters an option to purchase up to additional 750,000 shares of common stock at the public offering price, less the underwriting discount, in this offering of common stock. This option is exercisable for a period of 30 days. The underwriters may exercise this option solely for the purpose of covering overallotments, if any, made in connection with the sale of common stock offered hereby. To the extent that the underwriters exercise this option, the underwriters will purchase additional shares from us in approximately the same proportion as shown in the table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and Commissions</w:t>
      </w:r>
    </w:p>
    <w:p>
      <w:pPr>
        <w:spacing w:after="0" w:line="228"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us. These amounts are shown assuming both no exercise and full exercise of the underwriters' overallotment option.</w:t>
      </w:r>
    </w:p>
    <w:p>
      <w:pPr>
        <w:spacing w:after="0" w:line="170"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estimate that the total expenses of this offering of common stock, excluding underwriting discounts and commissions, will be approximately $2,200,000 and are payable by us. We have also agreed to reimburse the underwriters for certain of their expenses as set forth in the underwriting agreement, including legal fees incurred in the qualification of this offering with the Financial</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Regulatory Authority, or FINRA, in an amount of up to $30,000, which amount is deemed to be underwriting compensation by FINRA.</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3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85"/>
              <w:spacing w:after="0" w:line="124" w:lineRule="exact"/>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263"/>
              <w:spacing w:after="0" w:line="124" w:lineRule="exact"/>
              <w:rPr>
                <w:sz w:val="20"/>
                <w:szCs w:val="20"/>
                <w:color w:val="auto"/>
              </w:rPr>
            </w:pPr>
            <w:r>
              <w:rPr>
                <w:rFonts w:ascii="Arial" w:cs="Arial" w:eastAsia="Arial" w:hAnsi="Arial"/>
                <w:sz w:val="13"/>
                <w:szCs w:val="13"/>
                <w:b w:val="1"/>
                <w:bCs w:val="1"/>
                <w:color w:val="auto"/>
              </w:rPr>
              <w:t>With</w:t>
            </w:r>
          </w:p>
        </w:tc>
        <w:tc>
          <w:tcPr>
            <w:tcW w:w="160" w:type="dxa"/>
            <w:vAlign w:val="bottom"/>
          </w:tcPr>
          <w:p>
            <w:pPr>
              <w:spacing w:after="0"/>
              <w:rPr>
                <w:sz w:val="10"/>
                <w:szCs w:val="10"/>
                <w:color w:val="auto"/>
              </w:rPr>
            </w:pPr>
          </w:p>
        </w:tc>
      </w:tr>
      <w:tr>
        <w:trPr>
          <w:trHeight w:val="157"/>
        </w:trPr>
        <w:tc>
          <w:tcPr>
            <w:tcW w:w="3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w w:val="91"/>
              </w:rPr>
              <w:t>Overallotment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1"/>
              </w:rPr>
              <w:t>Overallotment</w:t>
            </w:r>
          </w:p>
        </w:tc>
        <w:tc>
          <w:tcPr>
            <w:tcW w:w="160" w:type="dxa"/>
            <w:vAlign w:val="bottom"/>
          </w:tcPr>
          <w:p>
            <w:pPr>
              <w:spacing w:after="0"/>
              <w:rPr>
                <w:sz w:val="13"/>
                <w:szCs w:val="13"/>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2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80,500,000</w:t>
            </w:r>
          </w:p>
        </w:tc>
        <w:tc>
          <w:tcPr>
            <w:tcW w:w="160" w:type="dxa"/>
            <w:vAlign w:val="bottom"/>
            <w:shd w:val="clear" w:color="auto" w:fill="CCEEFF"/>
          </w:tcPr>
          <w:p>
            <w:pPr>
              <w:spacing w:after="0"/>
              <w:rPr>
                <w:sz w:val="17"/>
                <w:szCs w:val="17"/>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12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0.98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4,900,000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5,635,000</w:t>
            </w:r>
          </w:p>
        </w:tc>
        <w:tc>
          <w:tcPr>
            <w:tcW w:w="16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Voyager</w:t>
            </w:r>
          </w:p>
        </w:tc>
        <w:tc>
          <w:tcPr>
            <w:tcW w:w="12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74,865,000</w:t>
            </w:r>
          </w:p>
        </w:tc>
        <w:tc>
          <w:tcPr>
            <w:tcW w:w="160" w:type="dxa"/>
            <w:vAlign w:val="bottom"/>
            <w:shd w:val="clear" w:color="auto" w:fill="CCEEFF"/>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underwriters propose to offer the shares of common stock to the public at the public offering price set forth on the cover of this prospectus. The underwriters may offer the shares of common stock to securities dealers at the public offering price less a concession not in excess of $0.588 per share. If all of the shares are not sold at the public offering price, the underwriters may change the offering price and other selling terms. Sales of shares of common stock made outside of the United States may be made by affiliates of certain of the underwriters. Certain of the underwriters may sell shares to the public through one or more of their affiliates as selling agents.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Discretionary Accounts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do not intend to confirm sales of the shares of common stock to any accounts over which they have discretionary authority.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28" w:lineRule="exact"/>
        <w:rPr>
          <w:sz w:val="20"/>
          <w:szCs w:val="20"/>
          <w:color w:val="auto"/>
        </w:rPr>
      </w:pPr>
    </w:p>
    <w:p>
      <w:pPr>
        <w:ind w:right="480" w:firstLine="341"/>
        <w:spacing w:after="0" w:line="352" w:lineRule="auto"/>
        <w:rPr>
          <w:sz w:val="20"/>
          <w:szCs w:val="20"/>
          <w:color w:val="auto"/>
        </w:rPr>
      </w:pPr>
      <w:r>
        <w:rPr>
          <w:rFonts w:ascii="Arial" w:cs="Arial" w:eastAsia="Arial" w:hAnsi="Arial"/>
          <w:sz w:val="15"/>
          <w:szCs w:val="15"/>
          <w:color w:val="auto"/>
        </w:rPr>
        <w:t>Prior to this offering, there has been no public market for shares of our common stock. The initial public offering price will be determined by negotiations between us and the representatives of the underwriters. In addition to prevailing market conditions, the factors to be considered in these negotiations include:</w:t>
      </w:r>
    </w:p>
    <w:p>
      <w:pPr>
        <w:spacing w:after="0" w:line="136" w:lineRule="exact"/>
        <w:rPr>
          <w:sz w:val="20"/>
          <w:szCs w:val="20"/>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history of, and prospects for, our company and the industry in which we compete;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our past and present financial information;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present state of our development;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224"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An active trading market for our common stock may not develop, of if such a market develops, may not be sustained. It is also possible that after the offering the shares will not trade in the public market at or above the initial public offering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"VYGR."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228"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In connection with this offering of common stock, the underwriters may engage in stabilizing transactions, overallotment transactions, syndicate covering transactions, penalty bids and purchases to cover positions created by short sales.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right="300" w:hanging="531"/>
        <w:spacing w:after="0" w:line="352" w:lineRule="auto"/>
        <w:tabs>
          <w:tab w:leader="none" w:pos="10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149" w:lineRule="exact"/>
        <w:rPr>
          <w:rFonts w:ascii="Arial" w:cs="Arial" w:eastAsia="Arial" w:hAnsi="Arial"/>
          <w:sz w:val="15"/>
          <w:szCs w:val="15"/>
          <w:color w:val="auto"/>
        </w:rPr>
      </w:pPr>
    </w:p>
    <w:p>
      <w:pPr>
        <w:ind w:left="1060" w:right="60" w:hanging="531"/>
        <w:spacing w:after="0" w:line="283"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186" w:lineRule="exact"/>
        <w:rPr>
          <w:rFonts w:ascii="Arial" w:cs="Arial" w:eastAsia="Arial" w:hAnsi="Arial"/>
          <w:sz w:val="16"/>
          <w:szCs w:val="16"/>
          <w:color w:val="auto"/>
        </w:rPr>
      </w:pPr>
    </w:p>
    <w:p>
      <w:pPr>
        <w:ind w:left="1060" w:right="40" w:hanging="531"/>
        <w:spacing w:after="0" w:line="261"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203" w:lineRule="exact"/>
        <w:rPr>
          <w:rFonts w:ascii="Arial" w:cs="Arial" w:eastAsia="Arial" w:hAnsi="Arial"/>
          <w:sz w:val="17"/>
          <w:szCs w:val="17"/>
          <w:color w:val="auto"/>
        </w:rPr>
      </w:pPr>
    </w:p>
    <w:p>
      <w:pPr>
        <w:ind w:left="1060" w:right="560" w:hanging="531"/>
        <w:spacing w:after="0" w:line="315"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46"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shares of our common stock. These transactions may be effected on The NASDAQ Global Select Market, in the over-the-counter market or otherwise and, if commenced, may be discontinued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Pursuant to certain "lock-up" agreements, we and our executive officers, directors and certain of our other stockholders,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and Piper Jaffray &amp; Co., for a period of 180 days after the date of the underwriting agreement.</w:t>
      </w:r>
    </w:p>
    <w:p>
      <w:pPr>
        <w:spacing w:after="0" w:line="18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The lock-up agreements include customary exceptions.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Cowen and Company, LLC and Piper Jaffray &amp; Co.,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and Piper Jaffray &amp; Co.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and Piper Jaffray &amp; Co.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Offer, Sale and Distribution of Shares</w:t>
      </w:r>
    </w:p>
    <w:p>
      <w:pPr>
        <w:spacing w:after="0" w:line="228" w:lineRule="exact"/>
        <w:rPr>
          <w:sz w:val="20"/>
          <w:szCs w:val="20"/>
          <w:color w:val="auto"/>
        </w:rPr>
      </w:pPr>
    </w:p>
    <w:p>
      <w:pPr>
        <w:ind w:right="400" w:firstLine="332"/>
        <w:spacing w:after="0" w:line="303" w:lineRule="auto"/>
        <w:rPr>
          <w:sz w:val="20"/>
          <w:szCs w:val="20"/>
          <w:color w:val="auto"/>
        </w:rPr>
      </w:pPr>
      <w:r>
        <w:rPr>
          <w:rFonts w:ascii="Arial" w:cs="Arial" w:eastAsia="Arial" w:hAnsi="Arial"/>
          <w:sz w:val="15"/>
          <w:szCs w:val="15"/>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Certain of the underwriters and their affiliates have provided, and may in the future provide, various investment banking, commercial banking and other financial services for us and our affiliates for which they have received, and may in the future receive, customary fees.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No action has been taken in any jurisdiction except the United States that would permit a public offering of our common stock, or the possession, circulation or distribution of this prospectus or any other material relating to us or our common stock in any jurisdiction where action for that purpose is required. Accordingly, the shares may not be offered or sold, directly or indirectly, and neither this prospectus nor any other offering material or advertisements in connection with the shares may be distributed or published, in or from any country or jurisdiction except in compliance with any applicable rules and regulations of any such country or jurisdiction.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Canada</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not subject to, the prospectus requirements of applicable securities laws.</w:t>
      </w:r>
    </w:p>
    <w:p>
      <w:pPr>
        <w:spacing w:after="0" w:line="185" w:lineRule="exact"/>
        <w:rPr>
          <w:sz w:val="20"/>
          <w:szCs w:val="20"/>
          <w:color w:val="auto"/>
        </w:rPr>
      </w:pPr>
    </w:p>
    <w:p>
      <w:pPr>
        <w:ind w:right="180" w:firstLine="341"/>
        <w:spacing w:after="0" w:line="315"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the underwriters has, separately and not jointly, represented and agreed that:</w:t>
      </w:r>
    </w:p>
    <w:p>
      <w:pPr>
        <w:spacing w:after="0" w:line="237" w:lineRule="exact"/>
        <w:rPr>
          <w:sz w:val="20"/>
          <w:szCs w:val="20"/>
          <w:color w:val="auto"/>
        </w:rPr>
      </w:pPr>
    </w:p>
    <w:p>
      <w:pPr>
        <w:ind w:left="1060" w:right="360" w:hanging="531"/>
        <w:spacing w:after="0" w:line="311" w:lineRule="auto"/>
        <w:tabs>
          <w:tab w:leader="none" w:pos="10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it has not made or will not make an offer of the securities to the public in the United Kingdom within the meaning of section 102B of the Financial Services and Markets Act 2000 (as amended), or the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 or FSA;</w:t>
      </w:r>
    </w:p>
    <w:p>
      <w:pPr>
        <w:spacing w:after="0" w:line="180" w:lineRule="exact"/>
        <w:rPr>
          <w:rFonts w:ascii="Arial" w:cs="Arial" w:eastAsia="Arial" w:hAnsi="Arial"/>
          <w:sz w:val="15"/>
          <w:szCs w:val="15"/>
          <w:color w:val="auto"/>
        </w:rPr>
      </w:pPr>
    </w:p>
    <w:p>
      <w:pPr>
        <w:ind w:left="1060" w:hanging="531"/>
        <w:spacing w:after="0" w:line="265"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198"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securities in, from or otherwise involving the United Kingdom.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Switzerland</w:t>
      </w:r>
    </w:p>
    <w:p>
      <w:pPr>
        <w:spacing w:after="0" w:line="224"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Israel</w:t>
      </w:r>
    </w:p>
    <w:p>
      <w:pPr>
        <w:spacing w:after="0" w:line="224" w:lineRule="exact"/>
        <w:rPr>
          <w:sz w:val="20"/>
          <w:szCs w:val="20"/>
          <w:color w:val="auto"/>
        </w:rPr>
      </w:pPr>
    </w:p>
    <w:p>
      <w:pPr>
        <w:ind w:right="180" w:firstLine="341"/>
        <w:spacing w:after="0" w:line="293" w:lineRule="auto"/>
        <w:rPr>
          <w:sz w:val="20"/>
          <w:szCs w:val="20"/>
          <w:color w:val="auto"/>
        </w:rPr>
      </w:pPr>
      <w:r>
        <w:rPr>
          <w:rFonts w:ascii="Arial" w:cs="Arial" w:eastAsia="Arial" w:hAnsi="Arial"/>
          <w:sz w:val="15"/>
          <w:szCs w:val="15"/>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w:t>
      </w:r>
    </w:p>
    <w:p>
      <w:pPr>
        <w:spacing w:after="0" w:line="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54" w:lineRule="exact"/>
        <w:rPr>
          <w:sz w:val="20"/>
          <w:szCs w:val="20"/>
          <w:color w:val="auto"/>
        </w:rPr>
      </w:pPr>
    </w:p>
    <w:p>
      <w:pPr>
        <w:ind w:left="40" w:right="420" w:firstLine="298"/>
        <w:spacing w:after="0" w:line="282"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 – 1968. In particular, we may request, as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w:t>
      </w:r>
    </w:p>
    <w:p>
      <w:pPr>
        <w:spacing w:after="0" w:line="2" w:lineRule="exact"/>
        <w:rPr>
          <w:sz w:val="20"/>
          <w:szCs w:val="20"/>
          <w:color w:val="auto"/>
        </w:rPr>
      </w:pPr>
    </w:p>
    <w:p>
      <w:pPr>
        <w:jc w:val="both"/>
        <w:ind w:right="100" w:firstLine="5"/>
        <w:spacing w:after="0" w:line="290" w:lineRule="auto"/>
        <w:tabs>
          <w:tab w:leader="none" w:pos="23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relation to each Member State of the European Economic Area, or the EEA, which has implemented the European Prospectus Directive (each, a "Relevant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Member State"), an offer of our shares may not be made to the public in a Relevant Member State other than:</w:t>
      </w:r>
    </w:p>
    <w:p>
      <w:pPr>
        <w:spacing w:after="0" w:line="231" w:lineRule="exact"/>
        <w:rPr>
          <w:sz w:val="20"/>
          <w:szCs w:val="20"/>
          <w:color w:val="auto"/>
        </w:rPr>
      </w:pPr>
    </w:p>
    <w:p>
      <w:pPr>
        <w:ind w:left="1060" w:hanging="531"/>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European Prospectus Directive;</w:t>
      </w:r>
    </w:p>
    <w:p>
      <w:pPr>
        <w:spacing w:after="0" w:line="250"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European Prospectus Directive), subject to obtaining the prior consent of the relevant dealer or dealers nominated by us for any such offer,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European Prospectus Directive,</w:t>
      </w:r>
    </w:p>
    <w:p>
      <w:pPr>
        <w:spacing w:after="0" w:line="224"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provided that no such offer of our shares shall require us or any underwriter to publish a prospectus pursuant to Article 3 of the European Prospectus Directive or supplement prospectus pursuant to Article 16 of the European Prospectus Directive.</w:t>
      </w:r>
    </w:p>
    <w:p>
      <w:pPr>
        <w:spacing w:after="0" w:line="170"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For the purposes of this description, the expression an "offer to the public" in relation to the securities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Relevant Member State by any measure implementing the European Prospectus Directive in that member state, and the expression "European Prospectus Directive" means Directive 2003/71/EC (and amendments 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76"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Hong Kong</w:t>
      </w:r>
    </w:p>
    <w:p>
      <w:pPr>
        <w:spacing w:after="0" w:line="224" w:lineRule="exact"/>
        <w:rPr>
          <w:sz w:val="20"/>
          <w:szCs w:val="20"/>
          <w:color w:val="auto"/>
        </w:rPr>
      </w:pPr>
    </w:p>
    <w:p>
      <w:pPr>
        <w:ind w:right="380" w:firstLine="338"/>
        <w:spacing w:after="0" w:line="315" w:lineRule="auto"/>
        <w:rPr>
          <w:sz w:val="20"/>
          <w:szCs w:val="20"/>
          <w:color w:val="auto"/>
        </w:rPr>
      </w:pPr>
      <w:r>
        <w:rPr>
          <w:rFonts w:ascii="Arial" w:cs="Arial" w:eastAsia="Arial" w:hAnsi="Arial"/>
          <w:sz w:val="16"/>
          <w:szCs w:val="16"/>
          <w:color w:val="auto"/>
        </w:rPr>
        <w:t>The contents of this document have not been reviewed or approved by any regulatory authority in Hong Kong. This document does not constitute an offer or invitation to the public in Hong Kong to acquire shares. Accordingly, unless permitted by the securities laws of Hong Kong, no person may issue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or have in its possession for the purposes of issue, this document or any advertisement, invitation or document relating to the shares,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 Ordinance (Cap. 571, Laws of Hong Kong) ("SFO") and the subsidiary legislation made thereunder); or in circumstances which do not result in this document being a "prospectus" as defined in the Companies (Winding Up and Miscellaneous Provisions) Ordinance (Cap. 32, Laws of Hong Kong) ("CO"); or which do not constitute an offer or an invitation to the public for the purposes of the SFO or the CO. The offer of the shares is personal to the person to whom this document has been delivered, and a subscription for shares will only be accepted from such person. No person to whom a copy of this document is issued may issue, circulate or distribute this document in Hong Kong, or make or give a copy of this document to any other person. You are advised to exercise caution in relation to the offer. If you are in any doubt about any of the contents of this document, you should obtain independent professional advice.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Singapore</w:t>
      </w:r>
    </w:p>
    <w:p>
      <w:pPr>
        <w:spacing w:after="0" w:line="224"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pursuant to Section 274 of the Securities and Futures Act, Chapter 289 of Singapore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 the shares are subscribed or purchased pursuant to an offer made in reliance on Section 275 of the SFA by a relevant person which is:</w:t>
      </w:r>
    </w:p>
    <w:p>
      <w:pPr>
        <w:spacing w:after="0" w:line="237" w:lineRule="exact"/>
        <w:rPr>
          <w:sz w:val="20"/>
          <w:szCs w:val="20"/>
          <w:color w:val="auto"/>
        </w:rPr>
      </w:pPr>
    </w:p>
    <w:p>
      <w:pPr>
        <w:ind w:left="1060" w:right="160" w:hanging="531"/>
        <w:spacing w:after="0" w:line="282" w:lineRule="auto"/>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the sole business of which is to hold investments and the entire share capital of which is owned by one or more individuals, each of whom is an accredited investor; or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w:t>
      </w:r>
    </w:p>
    <w:p>
      <w:pPr>
        <w:spacing w:after="0" w:line="236"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color w:val="auto"/>
        </w:rPr>
        <w:t>shares, debentures and units of shares, and debentures of that corporation, or the beneficiaries' rights and interest (howsoever described) in that trust shall not be transferable for six months after that corporation or that trust has acquired the shares under Section 275 except:</w:t>
      </w:r>
    </w:p>
    <w:p>
      <w:pPr>
        <w:spacing w:after="0" w:line="183" w:lineRule="exact"/>
        <w:rPr>
          <w:sz w:val="20"/>
          <w:szCs w:val="20"/>
          <w:color w:val="auto"/>
        </w:rPr>
      </w:pPr>
    </w:p>
    <w:p>
      <w:pPr>
        <w:ind w:left="1060" w:right="140" w:hanging="531"/>
        <w:spacing w:after="0" w:line="282" w:lineRule="auto"/>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(as defined in Section 275(2) of the SFA), or any person pursuant to Section 275(1A) of the SFA (in the case of that corporation) or Section 276(4)(i)(B) of the SFA (in the case of that trust);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500" w:firstLine="341"/>
        <w:spacing w:after="0" w:line="352" w:lineRule="auto"/>
        <w:rPr>
          <w:sz w:val="20"/>
          <w:szCs w:val="20"/>
          <w:color w:val="auto"/>
        </w:rPr>
      </w:pPr>
      <w:r>
        <w:rPr>
          <w:rFonts w:ascii="Arial" w:cs="Arial" w:eastAsia="Arial" w:hAnsi="Arial"/>
          <w:sz w:val="15"/>
          <w:szCs w:val="15"/>
          <w:color w:val="auto"/>
        </w:rPr>
        <w:t>Goodwin Procter LLP, Boston, Massachusetts, which has acted as our counsel in connection with this offering, will pass upon the validity of the shares of common stock being offered by this prospectus. The underwriters have been represented in this offering by Cooley LLP, Boston, Massachusetts.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right="60" w:firstLine="338"/>
        <w:spacing w:after="0" w:line="322" w:lineRule="auto"/>
        <w:rPr>
          <w:sz w:val="20"/>
          <w:szCs w:val="20"/>
          <w:color w:val="auto"/>
        </w:rPr>
      </w:pPr>
      <w:r>
        <w:rPr>
          <w:rFonts w:ascii="Arial" w:cs="Arial" w:eastAsia="Arial" w:hAnsi="Arial"/>
          <w:sz w:val="15"/>
          <w:szCs w:val="15"/>
          <w:color w:val="auto"/>
        </w:rPr>
        <w:t>The financial statements of Voyager Therapeutics, Inc. at December 31, 2014 and 2013, and for each of the two periods in the period ended December 31, 2014,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ADDITIONAL INFORMATION</w:t>
      </w:r>
    </w:p>
    <w:p>
      <w:pPr>
        <w:spacing w:after="0" w:line="228"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76"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www.voyagertherapeutics.com.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95"/>
        </w:trPr>
        <w:tc>
          <w:tcPr>
            <w:tcW w:w="9880" w:type="dxa"/>
            <w:vAlign w:val="bottom"/>
            <w:gridSpan w:val="9"/>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40" w:type="dxa"/>
            <w:vAlign w:val="bottom"/>
            <w:gridSpan w:val="3"/>
          </w:tcPr>
          <w:p>
            <w:pPr>
              <w:jc w:val="center"/>
              <w:ind w:right="3080"/>
              <w:spacing w:after="0"/>
              <w:rPr>
                <w:sz w:val="20"/>
                <w:szCs w:val="20"/>
                <w:color w:val="auto"/>
              </w:rPr>
            </w:pPr>
            <w:r>
              <w:rPr>
                <w:rFonts w:ascii="Arial" w:cs="Arial" w:eastAsia="Arial" w:hAnsi="Arial"/>
                <w:sz w:val="17"/>
                <w:szCs w:val="17"/>
                <w:b w:val="1"/>
                <w:bCs w:val="1"/>
                <w:color w:val="auto"/>
                <w:w w:val="90"/>
              </w:rPr>
              <w:t>Voyager Therapeutics, Inc.</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80" w:type="dxa"/>
            <w:vAlign w:val="bottom"/>
            <w:gridSpan w:val="4"/>
          </w:tcPr>
          <w:p>
            <w:pPr>
              <w:jc w:val="center"/>
              <w:ind w:right="1660"/>
              <w:spacing w:after="0"/>
              <w:rPr>
                <w:sz w:val="20"/>
                <w:szCs w:val="20"/>
                <w:color w:val="auto"/>
              </w:rPr>
            </w:pPr>
            <w:r>
              <w:rPr>
                <w:rFonts w:ascii="Arial" w:cs="Arial" w:eastAsia="Arial" w:hAnsi="Arial"/>
                <w:sz w:val="17"/>
                <w:szCs w:val="17"/>
                <w:b w:val="1"/>
                <w:bCs w:val="1"/>
                <w:color w:val="auto"/>
                <w:w w:val="90"/>
              </w:rPr>
              <w:t>Index to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720" w:type="dxa"/>
            <w:vAlign w:val="bottom"/>
            <w:gridSpan w:val="8"/>
          </w:tcPr>
          <w:p>
            <w:pPr>
              <w:spacing w:after="0"/>
              <w:rPr>
                <w:rFonts w:ascii="Arial" w:cs="Arial" w:eastAsia="Arial" w:hAnsi="Arial"/>
                <w:sz w:val="17"/>
                <w:szCs w:val="17"/>
                <w:color w:val="0000EE"/>
              </w:rPr>
            </w:pPr>
            <w:hyperlink w:anchor="page180">
              <w:r>
                <w:rPr>
                  <w:rFonts w:ascii="Arial" w:cs="Arial" w:eastAsia="Arial" w:hAnsi="Arial"/>
                  <w:sz w:val="17"/>
                  <w:szCs w:val="17"/>
                  <w:color w:val="0000EE"/>
                </w:rPr>
                <w:t>Report of Independent Registered Public Accounting Firm</w:t>
              </w:r>
            </w:hyperlink>
          </w:p>
        </w:tc>
        <w:tc>
          <w:tcPr>
            <w:tcW w:w="1540" w:type="dxa"/>
            <w:vAlign w:val="bottom"/>
            <w:gridSpan w:val="2"/>
          </w:tcPr>
          <w:p>
            <w:pPr>
              <w:spacing w:after="0"/>
              <w:rPr>
                <w:rFonts w:ascii="Arial" w:cs="Arial" w:eastAsia="Arial" w:hAnsi="Arial"/>
                <w:sz w:val="17"/>
                <w:szCs w:val="17"/>
                <w:color w:val="0000EE"/>
              </w:rPr>
            </w:pPr>
            <w:hyperlink w:anchor="page180">
              <w:r>
                <w:rPr>
                  <w:rFonts w:ascii="Arial" w:cs="Arial" w:eastAsia="Arial" w:hAnsi="Arial"/>
                  <w:sz w:val="17"/>
                  <w:szCs w:val="17"/>
                  <w:color w:val="0000EE"/>
                </w:rPr>
                <w:t>F-2</w:t>
              </w:r>
            </w:hyperlink>
          </w:p>
        </w:tc>
      </w:tr>
      <w:tr>
        <w:trPr>
          <w:trHeight w:val="190"/>
        </w:trPr>
        <w:tc>
          <w:tcPr>
            <w:tcW w:w="1160" w:type="dxa"/>
            <w:vAlign w:val="bottom"/>
          </w:tcPr>
          <w:p>
            <w:pPr>
              <w:spacing w:after="0"/>
              <w:rPr>
                <w:sz w:val="16"/>
                <w:szCs w:val="16"/>
                <w:color w:val="auto"/>
              </w:rPr>
            </w:pPr>
          </w:p>
        </w:tc>
        <w:tc>
          <w:tcPr>
            <w:tcW w:w="3980" w:type="dxa"/>
            <w:vAlign w:val="bottom"/>
            <w:tcBorders>
              <w:top w:val="single" w:sz="8" w:color="0000EE"/>
            </w:tcBorders>
            <w:gridSpan w:val="6"/>
          </w:tcPr>
          <w:p>
            <w:pPr>
              <w:spacing w:after="0" w:line="189" w:lineRule="exact"/>
              <w:rPr>
                <w:rFonts w:ascii="Arial" w:cs="Arial" w:eastAsia="Arial" w:hAnsi="Arial"/>
                <w:sz w:val="17"/>
                <w:szCs w:val="17"/>
                <w:color w:val="0000EE"/>
              </w:rPr>
            </w:pPr>
            <w:hyperlink w:anchor="page181">
              <w:r>
                <w:rPr>
                  <w:rFonts w:ascii="Arial" w:cs="Arial" w:eastAsia="Arial" w:hAnsi="Arial"/>
                  <w:sz w:val="17"/>
                  <w:szCs w:val="17"/>
                  <w:color w:val="0000EE"/>
                </w:rPr>
                <w:t>Balance Sheets</w:t>
              </w:r>
            </w:hyperlink>
          </w:p>
        </w:tc>
        <w:tc>
          <w:tcPr>
            <w:tcW w:w="4740" w:type="dxa"/>
            <w:vAlign w:val="bottom"/>
            <w:gridSpan w:val="2"/>
          </w:tcPr>
          <w:p>
            <w:pPr>
              <w:spacing w:after="0"/>
              <w:rPr>
                <w:sz w:val="16"/>
                <w:szCs w:val="16"/>
                <w:color w:val="auto"/>
              </w:rPr>
            </w:pPr>
          </w:p>
        </w:tc>
        <w:tc>
          <w:tcPr>
            <w:tcW w:w="240" w:type="dxa"/>
            <w:vAlign w:val="bottom"/>
            <w:tcBorders>
              <w:top w:val="single" w:sz="8" w:color="0000EE"/>
            </w:tcBorders>
          </w:tcPr>
          <w:p>
            <w:pPr>
              <w:spacing w:after="0" w:line="189"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F-3</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720" w:type="dxa"/>
            <w:vAlign w:val="bottom"/>
            <w:gridSpan w:val="8"/>
          </w:tcPr>
          <w:p>
            <w:pPr>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Statements of Operations and Comprehensive Loss</w:t>
              </w:r>
            </w:hyperlink>
          </w:p>
        </w:tc>
        <w:tc>
          <w:tcPr>
            <w:tcW w:w="1540" w:type="dxa"/>
            <w:vAlign w:val="bottom"/>
            <w:gridSpan w:val="2"/>
          </w:tcPr>
          <w:p>
            <w:pPr>
              <w:spacing w:after="0" w:line="189" w:lineRule="exact"/>
              <w:rPr>
                <w:rFonts w:ascii="Arial" w:cs="Arial" w:eastAsia="Arial" w:hAnsi="Arial"/>
                <w:sz w:val="17"/>
                <w:szCs w:val="17"/>
                <w:color w:val="0000EE"/>
              </w:rPr>
            </w:pPr>
            <w:hyperlink w:anchor="page182">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720" w:type="dxa"/>
            <w:vAlign w:val="bottom"/>
            <w:gridSpan w:val="8"/>
          </w:tcPr>
          <w:p>
            <w:pPr>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Statements of Redeemable Convertible Preferred Stock and Stockholders' Equity (Deficit)</w:t>
              </w:r>
            </w:hyperlink>
          </w:p>
        </w:tc>
        <w:tc>
          <w:tcPr>
            <w:tcW w:w="1540" w:type="dxa"/>
            <w:vAlign w:val="bottom"/>
            <w:gridSpan w:val="2"/>
          </w:tcPr>
          <w:p>
            <w:pPr>
              <w:spacing w:after="0" w:line="189" w:lineRule="exact"/>
              <w:rPr>
                <w:rFonts w:ascii="Arial" w:cs="Arial" w:eastAsia="Arial" w:hAnsi="Arial"/>
                <w:sz w:val="17"/>
                <w:szCs w:val="17"/>
                <w:color w:val="0000EE"/>
              </w:rPr>
            </w:pPr>
            <w:hyperlink w:anchor="page183">
              <w:r>
                <w:rPr>
                  <w:rFonts w:ascii="Arial" w:cs="Arial" w:eastAsia="Arial" w:hAnsi="Arial"/>
                  <w:sz w:val="17"/>
                  <w:szCs w:val="17"/>
                  <w:color w:val="0000EE"/>
                </w:rPr>
                <w:t>F-5</w:t>
              </w:r>
            </w:hyperlink>
          </w:p>
        </w:tc>
      </w:tr>
      <w:tr>
        <w:trPr>
          <w:trHeight w:val="190"/>
        </w:trPr>
        <w:tc>
          <w:tcPr>
            <w:tcW w:w="1160" w:type="dxa"/>
            <w:vAlign w:val="bottom"/>
          </w:tcPr>
          <w:p>
            <w:pPr>
              <w:spacing w:after="0"/>
              <w:rPr>
                <w:sz w:val="16"/>
                <w:szCs w:val="16"/>
                <w:color w:val="auto"/>
              </w:rPr>
            </w:pPr>
          </w:p>
        </w:tc>
        <w:tc>
          <w:tcPr>
            <w:tcW w:w="6140" w:type="dxa"/>
            <w:vAlign w:val="bottom"/>
            <w:tcBorders>
              <w:top w:val="single" w:sz="8" w:color="0000EE"/>
            </w:tcBorders>
            <w:gridSpan w:val="7"/>
          </w:tcPr>
          <w:p>
            <w:pPr>
              <w:spacing w:after="0" w:line="189" w:lineRule="exact"/>
              <w:rPr>
                <w:rFonts w:ascii="Arial" w:cs="Arial" w:eastAsia="Arial" w:hAnsi="Arial"/>
                <w:sz w:val="17"/>
                <w:szCs w:val="17"/>
                <w:color w:val="0000EE"/>
              </w:rPr>
            </w:pPr>
            <w:hyperlink w:anchor="page184">
              <w:r>
                <w:rPr>
                  <w:rFonts w:ascii="Arial" w:cs="Arial" w:eastAsia="Arial" w:hAnsi="Arial"/>
                  <w:sz w:val="17"/>
                  <w:szCs w:val="17"/>
                  <w:color w:val="0000EE"/>
                </w:rPr>
                <w:t>Statements of Cash Flows</w:t>
              </w:r>
            </w:hyperlink>
          </w:p>
        </w:tc>
        <w:tc>
          <w:tcPr>
            <w:tcW w:w="2580" w:type="dxa"/>
            <w:vAlign w:val="bottom"/>
          </w:tcPr>
          <w:p>
            <w:pPr>
              <w:spacing w:after="0"/>
              <w:rPr>
                <w:sz w:val="16"/>
                <w:szCs w:val="16"/>
                <w:color w:val="auto"/>
              </w:rPr>
            </w:pPr>
          </w:p>
        </w:tc>
        <w:tc>
          <w:tcPr>
            <w:tcW w:w="240" w:type="dxa"/>
            <w:vAlign w:val="bottom"/>
            <w:tcBorders>
              <w:top w:val="single" w:sz="8" w:color="0000EE"/>
            </w:tcBorders>
          </w:tcPr>
          <w:p>
            <w:pPr>
              <w:spacing w:after="0" w:line="189" w:lineRule="exact"/>
              <w:rPr>
                <w:rFonts w:ascii="Arial" w:cs="Arial" w:eastAsia="Arial" w:hAnsi="Arial"/>
                <w:sz w:val="17"/>
                <w:szCs w:val="17"/>
                <w:color w:val="0000EE"/>
                <w:w w:val="86"/>
              </w:rPr>
            </w:pPr>
            <w:hyperlink w:anchor="page184">
              <w:r>
                <w:rPr>
                  <w:rFonts w:ascii="Arial" w:cs="Arial" w:eastAsia="Arial" w:hAnsi="Arial"/>
                  <w:sz w:val="17"/>
                  <w:szCs w:val="17"/>
                  <w:color w:val="0000EE"/>
                  <w:w w:val="86"/>
                </w:rPr>
                <w:t>F-6</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720" w:type="dxa"/>
            <w:vAlign w:val="bottom"/>
            <w:gridSpan w:val="8"/>
          </w:tcPr>
          <w:p>
            <w:pPr>
              <w:spacing w:after="0" w:line="189" w:lineRule="exact"/>
              <w:rPr>
                <w:rFonts w:ascii="Arial" w:cs="Arial" w:eastAsia="Arial" w:hAnsi="Arial"/>
                <w:sz w:val="17"/>
                <w:szCs w:val="17"/>
                <w:color w:val="0000EE"/>
              </w:rPr>
            </w:pPr>
            <w:hyperlink w:anchor="page185">
              <w:r>
                <w:rPr>
                  <w:rFonts w:ascii="Arial" w:cs="Arial" w:eastAsia="Arial" w:hAnsi="Arial"/>
                  <w:sz w:val="17"/>
                  <w:szCs w:val="17"/>
                  <w:color w:val="0000EE"/>
                </w:rPr>
                <w:t>Notes to Financial Statements</w:t>
              </w:r>
            </w:hyperlink>
          </w:p>
        </w:tc>
        <w:tc>
          <w:tcPr>
            <w:tcW w:w="1540" w:type="dxa"/>
            <w:vAlign w:val="bottom"/>
            <w:gridSpan w:val="2"/>
          </w:tcPr>
          <w:p>
            <w:pPr>
              <w:spacing w:after="0" w:line="189" w:lineRule="exact"/>
              <w:rPr>
                <w:rFonts w:ascii="Arial" w:cs="Arial" w:eastAsia="Arial" w:hAnsi="Arial"/>
                <w:sz w:val="17"/>
                <w:szCs w:val="17"/>
                <w:color w:val="0000EE"/>
              </w:rPr>
            </w:pPr>
            <w:hyperlink w:anchor="page185">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40" w:type="dxa"/>
            <w:vAlign w:val="bottom"/>
            <w:gridSpan w:val="2"/>
          </w:tcPr>
          <w:p>
            <w:pPr>
              <w:jc w:val="center"/>
              <w:ind w:right="3580"/>
              <w:spacing w:after="0"/>
              <w:rPr>
                <w:sz w:val="20"/>
                <w:szCs w:val="20"/>
                <w:color w:val="auto"/>
              </w:rPr>
            </w:pPr>
            <w:r>
              <w:rPr>
                <w:rFonts w:ascii="Arial" w:cs="Arial" w:eastAsia="Arial" w:hAnsi="Arial"/>
                <w:sz w:val="17"/>
                <w:szCs w:val="17"/>
                <w:color w:val="auto"/>
                <w:w w:val="93"/>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Voyager Therapeutics, Inc.</w:t>
      </w:r>
    </w:p>
    <w:p>
      <w:pPr>
        <w:spacing w:after="0" w:line="218" w:lineRule="exact"/>
        <w:rPr>
          <w:sz w:val="20"/>
          <w:szCs w:val="20"/>
          <w:color w:val="auto"/>
        </w:rPr>
      </w:pPr>
    </w:p>
    <w:p>
      <w:pPr>
        <w:jc w:val="both"/>
        <w:ind w:right="100" w:firstLine="338"/>
        <w:spacing w:after="0" w:line="294" w:lineRule="auto"/>
        <w:rPr>
          <w:sz w:val="20"/>
          <w:szCs w:val="20"/>
          <w:color w:val="auto"/>
        </w:rPr>
      </w:pPr>
      <w:r>
        <w:rPr>
          <w:rFonts w:ascii="Arial" w:cs="Arial" w:eastAsia="Arial" w:hAnsi="Arial"/>
          <w:sz w:val="16"/>
          <w:szCs w:val="16"/>
          <w:color w:val="auto"/>
        </w:rPr>
        <w:t>We have audited the accompanying balance sheets of Voyager Therapeutics, Inc. (the "Company") as of December 31, 2014 and 2013, and the related statements of operations, redeemable convertible preferred stock and stockholders' equity (deficit), and cash flows for the periods then ended. These financial statements are the responsibility of the Company's management. Our responsibility is to express an opinion on these financial statements based on our audits.</w:t>
      </w:r>
    </w:p>
    <w:p>
      <w:pPr>
        <w:spacing w:after="0" w:line="163"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ind w:right="180" w:firstLine="341"/>
        <w:spacing w:after="0" w:line="352"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Voyager Therapeutics, Inc. at December 31, 2014 and 2013, and the results of its operations and its cash flows for the periods then ended, in conformity with U.S. generally accounting principles.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June 19, 2015, except for Note 15(b)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 to which the date is October 30, 2015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Pro Forma</w:t>
            </w:r>
          </w:p>
        </w:tc>
      </w:tr>
      <w:tr>
        <w:trPr>
          <w:trHeight w:val="157"/>
        </w:trPr>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June 30,</w:t>
            </w:r>
          </w:p>
        </w:tc>
        <w:tc>
          <w:tcPr>
            <w:tcW w:w="6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7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center"/>
              <w:ind w:right="14"/>
              <w:spacing w:after="0" w:line="138" w:lineRule="exact"/>
              <w:rPr>
                <w:sz w:val="20"/>
                <w:szCs w:val="20"/>
                <w:color w:val="auto"/>
              </w:rPr>
            </w:pPr>
            <w:r>
              <w:rPr>
                <w:rFonts w:ascii="Arial" w:cs="Arial" w:eastAsia="Arial" w:hAnsi="Arial"/>
                <w:sz w:val="13"/>
                <w:szCs w:val="13"/>
                <w:b w:val="1"/>
                <w:bCs w:val="1"/>
                <w:color w:val="auto"/>
                <w:w w:val="89"/>
              </w:rPr>
              <w:t>2015</w:t>
            </w:r>
          </w:p>
        </w:tc>
        <w:tc>
          <w:tcPr>
            <w:tcW w:w="140" w:type="dxa"/>
            <w:vAlign w:val="bottom"/>
          </w:tcPr>
          <w:p>
            <w:pPr>
              <w:spacing w:after="0"/>
              <w:rPr>
                <w:sz w:val="11"/>
                <w:szCs w:val="11"/>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4"/>
              <w:spacing w:after="0" w:line="138"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(unaudited)</w:t>
            </w:r>
          </w:p>
        </w:tc>
        <w:tc>
          <w:tcPr>
            <w:tcW w:w="140" w:type="dxa"/>
            <w:vAlign w:val="bottom"/>
          </w:tcPr>
          <w:p>
            <w:pPr>
              <w:spacing w:after="0"/>
              <w:rPr>
                <w:sz w:val="11"/>
                <w:szCs w:val="11"/>
                <w:color w:val="auto"/>
              </w:rPr>
            </w:pPr>
          </w:p>
        </w:tc>
      </w:tr>
      <w:tr>
        <w:trPr>
          <w:trHeight w:val="144"/>
        </w:trPr>
        <w:tc>
          <w:tcPr>
            <w:tcW w:w="57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5780" w:type="dxa"/>
            <w:vAlign w:val="bottom"/>
          </w:tcPr>
          <w:p>
            <w:pPr>
              <w:ind w:left="20"/>
              <w:spacing w:after="0" w:line="144" w:lineRule="exact"/>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7,035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84,748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84,748</w:t>
            </w:r>
          </w:p>
        </w:tc>
      </w:tr>
      <w:tr>
        <w:trPr>
          <w:trHeight w:val="144"/>
        </w:trPr>
        <w:tc>
          <w:tcPr>
            <w:tcW w:w="5780" w:type="dxa"/>
            <w:vAlign w:val="bottom"/>
          </w:tcPr>
          <w:p>
            <w:pPr>
              <w:ind w:left="280"/>
              <w:spacing w:after="0" w:line="144" w:lineRule="exact"/>
              <w:rPr>
                <w:sz w:val="20"/>
                <w:szCs w:val="20"/>
                <w:color w:val="auto"/>
              </w:rPr>
            </w:pPr>
            <w:r>
              <w:rPr>
                <w:rFonts w:ascii="Arial" w:cs="Arial" w:eastAsia="Arial" w:hAnsi="Arial"/>
                <w:sz w:val="13"/>
                <w:szCs w:val="13"/>
                <w:color w:val="auto"/>
              </w:rPr>
              <w:t>Marketable securities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23,870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23,870</w:t>
            </w: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1,323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573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573</w:t>
            </w:r>
          </w:p>
        </w:tc>
      </w:tr>
      <w:tr>
        <w:trPr>
          <w:trHeight w:val="137"/>
        </w:trPr>
        <w:tc>
          <w:tcPr>
            <w:tcW w:w="5780" w:type="dxa"/>
            <w:vAlign w:val="bottom"/>
          </w:tcPr>
          <w:p>
            <w:pPr>
              <w:ind w:left="420"/>
              <w:spacing w:after="0" w:line="138" w:lineRule="exact"/>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135</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8,358</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109,191</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109,191</w:t>
            </w:r>
          </w:p>
        </w:tc>
        <w:tc>
          <w:tcPr>
            <w:tcW w:w="140" w:type="dxa"/>
            <w:vAlign w:val="bottom"/>
          </w:tcPr>
          <w:p>
            <w:pPr>
              <w:spacing w:after="0"/>
              <w:rPr>
                <w:sz w:val="11"/>
                <w:szCs w:val="11"/>
                <w:color w:val="auto"/>
              </w:rPr>
            </w:pPr>
          </w:p>
        </w:tc>
      </w:tr>
      <w:tr>
        <w:trPr>
          <w:trHeight w:val="144"/>
        </w:trPr>
        <w:tc>
          <w:tcPr>
            <w:tcW w:w="57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2,804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3,240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3,240</w:t>
            </w:r>
          </w:p>
        </w:tc>
      </w:tr>
      <w:tr>
        <w:trPr>
          <w:trHeight w:val="144"/>
        </w:trPr>
        <w:tc>
          <w:tcPr>
            <w:tcW w:w="5780" w:type="dxa"/>
            <w:vAlign w:val="bottom"/>
          </w:tcPr>
          <w:p>
            <w:pPr>
              <w:ind w:left="20"/>
              <w:spacing w:after="0" w:line="144" w:lineRule="exact"/>
              <w:rPr>
                <w:sz w:val="20"/>
                <w:szCs w:val="20"/>
                <w:color w:val="auto"/>
              </w:rPr>
            </w:pPr>
            <w:r>
              <w:rPr>
                <w:rFonts w:ascii="Arial" w:cs="Arial" w:eastAsia="Arial" w:hAnsi="Arial"/>
                <w:sz w:val="13"/>
                <w:szCs w:val="13"/>
                <w:color w:val="auto"/>
              </w:rPr>
              <w:t>Deposits and other non-current assets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335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1,304</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1,304</w:t>
            </w:r>
          </w:p>
        </w:tc>
      </w:tr>
      <w:tr>
        <w:trPr>
          <w:trHeight w:val="144"/>
        </w:trPr>
        <w:tc>
          <w:tcPr>
            <w:tcW w:w="57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Marketable securities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60,029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60,029</w:t>
            </w:r>
          </w:p>
        </w:tc>
      </w:tr>
      <w:tr>
        <w:trPr>
          <w:trHeight w:val="137"/>
        </w:trPr>
        <w:tc>
          <w:tcPr>
            <w:tcW w:w="5780" w:type="dxa"/>
            <w:vAlign w:val="bottom"/>
          </w:tcPr>
          <w:p>
            <w:pPr>
              <w:ind w:left="420"/>
              <w:spacing w:after="0" w:line="138" w:lineRule="exact"/>
              <w:rPr>
                <w:sz w:val="20"/>
                <w:szCs w:val="20"/>
                <w:color w:val="auto"/>
              </w:rPr>
            </w:pPr>
            <w:r>
              <w:rPr>
                <w:rFonts w:ascii="Arial" w:cs="Arial" w:eastAsia="Arial" w:hAnsi="Arial"/>
                <w:sz w:val="13"/>
                <w:szCs w:val="13"/>
                <w:color w:val="auto"/>
              </w:rPr>
              <w:t>Total assets</w:t>
            </w:r>
          </w:p>
        </w:tc>
        <w:tc>
          <w:tcPr>
            <w:tcW w:w="1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149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11,497</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173,764</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173,764</w:t>
            </w:r>
          </w:p>
        </w:tc>
        <w:tc>
          <w:tcPr>
            <w:tcW w:w="140" w:type="dxa"/>
            <w:vAlign w:val="bottom"/>
          </w:tcPr>
          <w:p>
            <w:pPr>
              <w:spacing w:after="0"/>
              <w:rPr>
                <w:sz w:val="11"/>
                <w:szCs w:val="1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578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4"/>
        </w:trPr>
        <w:tc>
          <w:tcPr>
            <w:tcW w:w="5780" w:type="dxa"/>
            <w:vAlign w:val="bottom"/>
          </w:tcPr>
          <w:p>
            <w:pPr>
              <w:ind w:left="20"/>
              <w:spacing w:after="0" w:line="144" w:lineRule="exact"/>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950</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1,459</w:t>
            </w:r>
          </w:p>
        </w:tc>
      </w:tr>
      <w:tr>
        <w:trPr>
          <w:trHeight w:val="144"/>
        </w:trPr>
        <w:tc>
          <w:tcPr>
            <w:tcW w:w="5780" w:type="dxa"/>
            <w:vAlign w:val="bottom"/>
          </w:tcPr>
          <w:p>
            <w:pPr>
              <w:ind w:left="280"/>
              <w:spacing w:after="0" w:line="144" w:lineRule="exact"/>
              <w:rPr>
                <w:sz w:val="20"/>
                <w:szCs w:val="20"/>
                <w:color w:val="auto"/>
              </w:rPr>
            </w:pPr>
            <w:r>
              <w:rPr>
                <w:rFonts w:ascii="Arial" w:cs="Arial" w:eastAsia="Arial" w:hAnsi="Arial"/>
                <w:sz w:val="13"/>
                <w:szCs w:val="13"/>
                <w:color w:val="auto"/>
              </w:rPr>
              <w:t>Accrued expenses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105</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642</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1,453</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1,453</w:t>
            </w: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Convertible promissory notes payable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2,927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144"/>
        </w:trPr>
        <w:tc>
          <w:tcPr>
            <w:tcW w:w="5780" w:type="dxa"/>
            <w:vAlign w:val="bottom"/>
          </w:tcPr>
          <w:p>
            <w:pPr>
              <w:ind w:left="280"/>
              <w:spacing w:after="0" w:line="144" w:lineRule="exact"/>
              <w:rPr>
                <w:sz w:val="20"/>
                <w:szCs w:val="20"/>
                <w:color w:val="auto"/>
              </w:rPr>
            </w:pPr>
            <w:r>
              <w:rPr>
                <w:rFonts w:ascii="Arial" w:cs="Arial" w:eastAsia="Arial" w:hAnsi="Arial"/>
                <w:sz w:val="13"/>
                <w:szCs w:val="13"/>
                <w:color w:val="auto"/>
              </w:rPr>
              <w:t>Deferred rent, current portion</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278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289</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289</w:t>
            </w: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Deferred revenue, current portion</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19,589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19,589</w:t>
            </w:r>
          </w:p>
        </w:tc>
      </w:tr>
      <w:tr>
        <w:trPr>
          <w:trHeight w:val="137"/>
        </w:trPr>
        <w:tc>
          <w:tcPr>
            <w:tcW w:w="5780" w:type="dxa"/>
            <w:vAlign w:val="bottom"/>
          </w:tcPr>
          <w:p>
            <w:pPr>
              <w:ind w:left="420"/>
              <w:spacing w:after="0" w:line="138" w:lineRule="exact"/>
              <w:rPr>
                <w:sz w:val="20"/>
                <w:szCs w:val="20"/>
                <w:color w:val="auto"/>
              </w:rPr>
            </w:pPr>
            <w:r>
              <w:rPr>
                <w:rFonts w:ascii="Arial" w:cs="Arial" w:eastAsia="Arial" w:hAnsi="Arial"/>
                <w:sz w:val="13"/>
                <w:szCs w:val="13"/>
                <w:color w:val="auto"/>
              </w:rPr>
              <w:t>Total current liabilities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3,982</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2,474</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22,790</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22,790</w:t>
            </w:r>
          </w:p>
        </w:tc>
        <w:tc>
          <w:tcPr>
            <w:tcW w:w="140" w:type="dxa"/>
            <w:vAlign w:val="bottom"/>
          </w:tcPr>
          <w:p>
            <w:pPr>
              <w:spacing w:after="0"/>
              <w:rPr>
                <w:sz w:val="11"/>
                <w:szCs w:val="11"/>
                <w:color w:val="auto"/>
              </w:rPr>
            </w:pPr>
          </w:p>
        </w:tc>
      </w:tr>
      <w:tr>
        <w:trPr>
          <w:trHeight w:val="30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rent, net of current portion</w:t>
            </w:r>
          </w:p>
        </w:tc>
        <w:tc>
          <w:tcPr>
            <w:tcW w:w="1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1,169</w:t>
            </w:r>
          </w:p>
        </w:tc>
        <w:tc>
          <w:tcPr>
            <w:tcW w:w="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1,169</w:t>
            </w:r>
          </w:p>
        </w:tc>
      </w:tr>
      <w:tr>
        <w:trPr>
          <w:trHeight w:val="144"/>
        </w:trPr>
        <w:tc>
          <w:tcPr>
            <w:tcW w:w="5780" w:type="dxa"/>
            <w:vAlign w:val="bottom"/>
          </w:tcPr>
          <w:p>
            <w:pPr>
              <w:ind w:left="20"/>
              <w:spacing w:after="0" w:line="144" w:lineRule="exact"/>
              <w:rPr>
                <w:sz w:val="20"/>
                <w:szCs w:val="20"/>
                <w:color w:val="auto"/>
              </w:rPr>
            </w:pPr>
            <w:r>
              <w:rPr>
                <w:rFonts w:ascii="Arial" w:cs="Arial" w:eastAsia="Arial" w:hAnsi="Arial"/>
                <w:sz w:val="13"/>
                <w:szCs w:val="13"/>
                <w:color w:val="auto"/>
              </w:rPr>
              <w:t>Deferred revenue, net of current portion</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45,017</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45,017</w:t>
            </w:r>
          </w:p>
        </w:tc>
      </w:tr>
      <w:tr>
        <w:trPr>
          <w:trHeight w:val="144"/>
        </w:trPr>
        <w:tc>
          <w:tcPr>
            <w:tcW w:w="57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Other non-current liabilities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73</w:t>
            </w:r>
          </w:p>
        </w:tc>
      </w:tr>
      <w:tr>
        <w:trPr>
          <w:trHeight w:val="144"/>
        </w:trPr>
        <w:tc>
          <w:tcPr>
            <w:tcW w:w="5780" w:type="dxa"/>
            <w:vAlign w:val="bottom"/>
          </w:tcPr>
          <w:p>
            <w:pPr>
              <w:ind w:left="20"/>
              <w:spacing w:after="0" w:line="144" w:lineRule="exact"/>
              <w:rPr>
                <w:sz w:val="20"/>
                <w:szCs w:val="20"/>
                <w:color w:val="auto"/>
              </w:rPr>
            </w:pPr>
            <w:r>
              <w:rPr>
                <w:rFonts w:ascii="Arial" w:cs="Arial" w:eastAsia="Arial" w:hAnsi="Arial"/>
                <w:sz w:val="13"/>
                <w:szCs w:val="13"/>
                <w:color w:val="auto"/>
              </w:rPr>
              <w:t>Preferred stock tranche liability</w:t>
            </w:r>
          </w:p>
        </w:tc>
        <w:tc>
          <w:tcPr>
            <w:tcW w:w="12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6,305</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7"/>
        </w:trPr>
        <w:tc>
          <w:tcPr>
            <w:tcW w:w="578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Total liabilities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3,982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10,348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69,049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69,049</w:t>
            </w:r>
          </w:p>
        </w:tc>
      </w:tr>
      <w:tr>
        <w:trPr>
          <w:trHeight w:val="137"/>
        </w:trPr>
        <w:tc>
          <w:tcPr>
            <w:tcW w:w="5780" w:type="dxa"/>
            <w:vAlign w:val="bottom"/>
          </w:tcPr>
          <w:p>
            <w:pPr>
              <w:ind w:left="20"/>
              <w:spacing w:after="0" w:line="138" w:lineRule="exact"/>
              <w:rPr>
                <w:sz w:val="20"/>
                <w:szCs w:val="20"/>
                <w:color w:val="auto"/>
              </w:rPr>
            </w:pPr>
            <w:r>
              <w:rPr>
                <w:rFonts w:ascii="Arial" w:cs="Arial" w:eastAsia="Arial" w:hAnsi="Arial"/>
                <w:sz w:val="13"/>
                <w:szCs w:val="13"/>
                <w:color w:val="auto"/>
              </w:rPr>
              <w:t>Commitments and contingencies (see note 8)</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93"/>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Redeemable convertible preferred stock (Series A), $0.001 par value: 0, 45,000,000 and 45,000,000 shares</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44"/>
        </w:trPr>
        <w:tc>
          <w:tcPr>
            <w:tcW w:w="57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w w:val="94"/>
              </w:rPr>
              <w:t>authorized at December 31, 2013 and 2014, and June 30, 2015 (unaudited), respectively; 0, 25,000,000</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57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w w:val="97"/>
              </w:rPr>
              <w:t>and 45,000,000 shares issued and outstanding at December 31, 2013 and 2014, and June 30, 2015</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57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w w:val="93"/>
              </w:rPr>
              <w:t>(unaudited), respectively; aggregate liquidation preference of $0, $26,086, and $47,714 at December 31,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57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w w:val="99"/>
              </w:rPr>
              <w:t>2013 and 2014, and June 30, 2015 (unaudited), respectively; no shares issued and outstanding at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3"/>
        </w:trPr>
        <w:tc>
          <w:tcPr>
            <w:tcW w:w="5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30, 2015 pro forma (unaudited)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21,979</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59,242</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293"/>
        </w:trPr>
        <w:tc>
          <w:tcPr>
            <w:tcW w:w="5780" w:type="dxa"/>
            <w:vAlign w:val="bottom"/>
          </w:tcPr>
          <w:p>
            <w:pPr>
              <w:ind w:left="20"/>
              <w:spacing w:after="0"/>
              <w:rPr>
                <w:sz w:val="20"/>
                <w:szCs w:val="20"/>
                <w:color w:val="auto"/>
              </w:rPr>
            </w:pPr>
            <w:r>
              <w:rPr>
                <w:rFonts w:ascii="Arial" w:cs="Arial" w:eastAsia="Arial" w:hAnsi="Arial"/>
                <w:sz w:val="13"/>
                <w:szCs w:val="13"/>
                <w:color w:val="auto"/>
              </w:rPr>
              <w:t>Redeemable convertible preferred stock (Series B), $0.001 par value: 0, 0 and 30,000,001 shares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5780" w:type="dxa"/>
            <w:vAlign w:val="bottom"/>
          </w:tcPr>
          <w:p>
            <w:pPr>
              <w:ind w:left="140"/>
              <w:spacing w:after="0" w:line="144" w:lineRule="exact"/>
              <w:rPr>
                <w:sz w:val="20"/>
                <w:szCs w:val="20"/>
                <w:color w:val="auto"/>
              </w:rPr>
            </w:pPr>
            <w:r>
              <w:rPr>
                <w:rFonts w:ascii="Arial" w:cs="Arial" w:eastAsia="Arial" w:hAnsi="Arial"/>
                <w:sz w:val="13"/>
                <w:szCs w:val="13"/>
                <w:color w:val="auto"/>
                <w:w w:val="99"/>
              </w:rPr>
              <w:t>authorized at December 31, 2013 and 2014, and June 30, 2015 (unaudited), respectively; 0, 0 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tcPr>
          <w:p>
            <w:pPr>
              <w:ind w:left="140"/>
              <w:spacing w:after="0" w:line="144" w:lineRule="exact"/>
              <w:rPr>
                <w:sz w:val="20"/>
                <w:szCs w:val="20"/>
                <w:color w:val="auto"/>
              </w:rPr>
            </w:pPr>
            <w:r>
              <w:rPr>
                <w:rFonts w:ascii="Arial" w:cs="Arial" w:eastAsia="Arial" w:hAnsi="Arial"/>
                <w:sz w:val="13"/>
                <w:szCs w:val="13"/>
                <w:color w:val="auto"/>
              </w:rPr>
              <w:t>30,000,001 shares issued and outstanding at December 31, 2013 and 2014, and June 30, 2015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tcPr>
          <w:p>
            <w:pPr>
              <w:ind w:left="140"/>
              <w:spacing w:after="0" w:line="144" w:lineRule="exact"/>
              <w:rPr>
                <w:sz w:val="20"/>
                <w:szCs w:val="20"/>
                <w:color w:val="auto"/>
              </w:rPr>
            </w:pPr>
            <w:r>
              <w:rPr>
                <w:rFonts w:ascii="Arial" w:cs="Arial" w:eastAsia="Arial" w:hAnsi="Arial"/>
                <w:sz w:val="13"/>
                <w:szCs w:val="13"/>
                <w:color w:val="auto"/>
                <w:w w:val="96"/>
              </w:rPr>
              <w:t>(unaudited), respectively; aggregate liquidation preference of 0, 0 and $92,012 at December 31, 2013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tcPr>
          <w:p>
            <w:pPr>
              <w:ind w:left="140"/>
              <w:spacing w:after="0" w:line="144" w:lineRule="exact"/>
              <w:rPr>
                <w:sz w:val="20"/>
                <w:szCs w:val="20"/>
                <w:color w:val="auto"/>
              </w:rPr>
            </w:pPr>
            <w:r>
              <w:rPr>
                <w:rFonts w:ascii="Arial" w:cs="Arial" w:eastAsia="Arial" w:hAnsi="Arial"/>
                <w:sz w:val="13"/>
                <w:szCs w:val="13"/>
                <w:color w:val="auto"/>
                <w:w w:val="92"/>
              </w:rPr>
              <w:t>and 2014, and June 30, 2015, respectively; no shares issued and outstanding at June 30, 2015 pro forma</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5780" w:type="dxa"/>
            <w:vAlign w:val="bottom"/>
          </w:tcPr>
          <w:p>
            <w:pPr>
              <w:ind w:left="140"/>
              <w:spacing w:after="0"/>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87,022</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302"/>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 (deficit):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35"/>
        </w:trPr>
        <w:tc>
          <w:tcPr>
            <w:tcW w:w="5780" w:type="dxa"/>
            <w:vAlign w:val="bottom"/>
          </w:tcPr>
          <w:p>
            <w:pPr>
              <w:ind w:left="280"/>
              <w:spacing w:after="0" w:line="136" w:lineRule="exact"/>
              <w:rPr>
                <w:sz w:val="20"/>
                <w:szCs w:val="20"/>
                <w:color w:val="auto"/>
              </w:rPr>
            </w:pPr>
            <w:r>
              <w:rPr>
                <w:rFonts w:ascii="Arial" w:cs="Arial" w:eastAsia="Arial" w:hAnsi="Arial"/>
                <w:sz w:val="13"/>
                <w:szCs w:val="13"/>
                <w:color w:val="auto"/>
              </w:rPr>
              <w:t>Common stock, $0.001 par value: 10,000, 65,000,000, and 95,000,000 shares authorized at</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5780" w:type="dxa"/>
            <w:vAlign w:val="bottom"/>
          </w:tcPr>
          <w:p>
            <w:pPr>
              <w:ind w:left="400"/>
              <w:spacing w:after="0" w:line="144" w:lineRule="exact"/>
              <w:rPr>
                <w:sz w:val="20"/>
                <w:szCs w:val="20"/>
                <w:color w:val="auto"/>
              </w:rPr>
            </w:pPr>
            <w:r>
              <w:rPr>
                <w:rFonts w:ascii="Arial" w:cs="Arial" w:eastAsia="Arial" w:hAnsi="Arial"/>
                <w:sz w:val="13"/>
                <w:szCs w:val="13"/>
                <w:color w:val="auto"/>
                <w:w w:val="97"/>
              </w:rPr>
              <w:t>December 31, 2013 and 2014, and June 30, 2015 (unaudited), respectively; 2,352, 814,834 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tcPr>
          <w:p>
            <w:pPr>
              <w:ind w:left="400"/>
              <w:spacing w:after="0" w:line="144" w:lineRule="exact"/>
              <w:rPr>
                <w:sz w:val="20"/>
                <w:szCs w:val="20"/>
                <w:color w:val="auto"/>
              </w:rPr>
            </w:pPr>
            <w:r>
              <w:rPr>
                <w:rFonts w:ascii="Arial" w:cs="Arial" w:eastAsia="Arial" w:hAnsi="Arial"/>
                <w:sz w:val="13"/>
                <w:szCs w:val="13"/>
                <w:color w:val="auto"/>
                <w:w w:val="98"/>
              </w:rPr>
              <w:t>1,227,314 shares issued and outstanding at December 31, 2013 and 2014, and June 30, 2015</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780" w:type="dxa"/>
            <w:vAlign w:val="bottom"/>
          </w:tcPr>
          <w:p>
            <w:pPr>
              <w:ind w:left="400"/>
              <w:spacing w:after="0" w:line="144" w:lineRule="exact"/>
              <w:rPr>
                <w:sz w:val="20"/>
                <w:szCs w:val="20"/>
                <w:color w:val="auto"/>
              </w:rPr>
            </w:pPr>
            <w:r>
              <w:rPr>
                <w:rFonts w:ascii="Arial" w:cs="Arial" w:eastAsia="Arial" w:hAnsi="Arial"/>
                <w:sz w:val="13"/>
                <w:szCs w:val="13"/>
                <w:color w:val="auto"/>
                <w:w w:val="96"/>
              </w:rPr>
              <w:t>(unaudited), respectively; 18,874,368 shares issued and outstanding at June 30, 2015 pro forma</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5780" w:type="dxa"/>
            <w:vAlign w:val="bottom"/>
          </w:tcPr>
          <w:p>
            <w:pPr>
              <w:ind w:left="400"/>
              <w:spacing w:after="0"/>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19</w:t>
            </w: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Additional paid-in capital</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143,338</w:t>
            </w:r>
          </w:p>
        </w:tc>
      </w:tr>
      <w:tr>
        <w:trPr>
          <w:trHeight w:val="144"/>
        </w:trPr>
        <w:tc>
          <w:tcPr>
            <w:tcW w:w="5780" w:type="dxa"/>
            <w:vAlign w:val="bottom"/>
          </w:tcPr>
          <w:p>
            <w:pPr>
              <w:ind w:left="280"/>
              <w:spacing w:after="0" w:line="144" w:lineRule="exact"/>
              <w:rPr>
                <w:sz w:val="20"/>
                <w:szCs w:val="20"/>
                <w:color w:val="auto"/>
              </w:rPr>
            </w:pPr>
            <w:r>
              <w:rPr>
                <w:rFonts w:ascii="Arial" w:cs="Arial" w:eastAsia="Arial" w:hAnsi="Arial"/>
                <w:sz w:val="13"/>
                <w:szCs w:val="13"/>
                <w:color w:val="auto"/>
              </w:rPr>
              <w:t>Accumulated other comprehensive loss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(20)</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(20)</w:t>
            </w:r>
          </w:p>
        </w:tc>
      </w:tr>
      <w:tr>
        <w:trPr>
          <w:trHeight w:val="144"/>
        </w:trPr>
        <w:tc>
          <w:tcPr>
            <w:tcW w:w="578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Accumulated deficit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(3,833)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(20,831)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(41,530)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(38,622)</w:t>
            </w:r>
          </w:p>
        </w:tc>
      </w:tr>
      <w:tr>
        <w:trPr>
          <w:trHeight w:val="137"/>
        </w:trPr>
        <w:tc>
          <w:tcPr>
            <w:tcW w:w="5780" w:type="dxa"/>
            <w:vAlign w:val="bottom"/>
          </w:tcPr>
          <w:p>
            <w:pPr>
              <w:ind w:left="420"/>
              <w:spacing w:after="0" w:line="138" w:lineRule="exact"/>
              <w:rPr>
                <w:sz w:val="20"/>
                <w:szCs w:val="20"/>
                <w:color w:val="auto"/>
              </w:rPr>
            </w:pPr>
            <w:r>
              <w:rPr>
                <w:rFonts w:ascii="Arial" w:cs="Arial" w:eastAsia="Arial" w:hAnsi="Arial"/>
                <w:sz w:val="13"/>
                <w:szCs w:val="13"/>
                <w:color w:val="auto"/>
              </w:rPr>
              <w:t>Total stockholders' equity (deficit)</w:t>
            </w: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7"/>
              </w:rPr>
              <w:t>(3,833)</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4"/>
              </w:rPr>
              <w:t>(20,830)</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(41,549)</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104,715</w:t>
            </w:r>
          </w:p>
        </w:tc>
        <w:tc>
          <w:tcPr>
            <w:tcW w:w="140" w:type="dxa"/>
            <w:vAlign w:val="bottom"/>
          </w:tcPr>
          <w:p>
            <w:pPr>
              <w:spacing w:after="0"/>
              <w:rPr>
                <w:sz w:val="11"/>
                <w:szCs w:val="11"/>
                <w:color w:val="auto"/>
              </w:rPr>
            </w:pPr>
          </w:p>
        </w:tc>
      </w:tr>
      <w:tr>
        <w:trPr>
          <w:trHeight w:val="137"/>
        </w:trPr>
        <w:tc>
          <w:tcPr>
            <w:tcW w:w="578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11,497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173,764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173,764</w:t>
            </w: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(amounts in thousands, except per share and share data)</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Period from</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jc w:val="center"/>
              <w:ind w:right="340"/>
              <w:spacing w:after="0" w:line="144" w:lineRule="exact"/>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(inception) to</w:t>
            </w:r>
          </w:p>
        </w:tc>
        <w:tc>
          <w:tcPr>
            <w:tcW w:w="100" w:type="dxa"/>
            <w:vAlign w:val="bottom"/>
          </w:tcPr>
          <w:p>
            <w:pPr>
              <w:spacing w:after="0"/>
              <w:rPr>
                <w:sz w:val="12"/>
                <w:szCs w:val="12"/>
                <w:color w:val="auto"/>
              </w:rPr>
            </w:pPr>
          </w:p>
        </w:tc>
        <w:tc>
          <w:tcPr>
            <w:tcW w:w="104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Year Ended</w:t>
            </w:r>
          </w:p>
        </w:tc>
        <w:tc>
          <w:tcPr>
            <w:tcW w:w="200" w:type="dxa"/>
            <w:vAlign w:val="bottom"/>
          </w:tcPr>
          <w:p>
            <w:pPr>
              <w:spacing w:after="0"/>
              <w:rPr>
                <w:sz w:val="12"/>
                <w:szCs w:val="12"/>
                <w:color w:val="auto"/>
              </w:rPr>
            </w:pPr>
          </w:p>
        </w:tc>
        <w:tc>
          <w:tcPr>
            <w:tcW w:w="1060" w:type="dxa"/>
            <w:vAlign w:val="bottom"/>
            <w:gridSpan w:val="3"/>
          </w:tcPr>
          <w:p>
            <w:pPr>
              <w:jc w:val="center"/>
              <w:ind w:left="498"/>
              <w:spacing w:after="0" w:line="144" w:lineRule="exact"/>
              <w:rPr>
                <w:sz w:val="20"/>
                <w:szCs w:val="20"/>
                <w:color w:val="auto"/>
              </w:rPr>
            </w:pPr>
            <w:r>
              <w:rPr>
                <w:rFonts w:ascii="Arial" w:cs="Arial" w:eastAsia="Arial" w:hAnsi="Arial"/>
                <w:sz w:val="13"/>
                <w:szCs w:val="13"/>
                <w:b w:val="1"/>
                <w:bCs w:val="1"/>
                <w:color w:val="auto"/>
                <w:w w:val="92"/>
              </w:rPr>
              <w:t>June 30,</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2"/>
                <w:szCs w:val="2"/>
                <w:color w:val="auto"/>
              </w:rPr>
            </w:pPr>
          </w:p>
        </w:tc>
        <w:tc>
          <w:tcPr>
            <w:tcW w:w="1040" w:type="dxa"/>
            <w:vAlign w:val="bottom"/>
            <w:gridSpan w:val="3"/>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4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gridSpan w:val="5"/>
          </w:tcPr>
          <w:p>
            <w:pPr>
              <w:jc w:val="center"/>
              <w:ind w:right="32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Collaboration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7,460</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11,978</w:t>
            </w:r>
          </w:p>
        </w:tc>
        <w:tc>
          <w:tcPr>
            <w:tcW w:w="0" w:type="dxa"/>
            <w:vAlign w:val="bottom"/>
          </w:tcPr>
          <w:p>
            <w:pPr>
              <w:spacing w:after="0"/>
              <w:rPr>
                <w:sz w:val="1"/>
                <w:szCs w:val="1"/>
                <w:color w:val="auto"/>
              </w:rPr>
            </w:pPr>
          </w:p>
        </w:tc>
      </w:tr>
      <w:tr>
        <w:trPr>
          <w:trHeight w:val="210"/>
        </w:trPr>
        <w:tc>
          <w:tcPr>
            <w:tcW w:w="47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5,469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2,676</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4,277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3,766</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14,367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16,255</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(3,766)</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(6,215)</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80"/>
              <w:spacing w:after="0"/>
              <w:rPr>
                <w:sz w:val="20"/>
                <w:szCs w:val="20"/>
                <w:color w:val="auto"/>
              </w:rPr>
            </w:pPr>
            <w:r>
              <w:rPr>
                <w:rFonts w:ascii="Arial" w:cs="Arial" w:eastAsia="Arial" w:hAnsi="Arial"/>
                <w:sz w:val="17"/>
                <w:szCs w:val="17"/>
                <w:color w:val="auto"/>
              </w:rPr>
              <w:t>Interest income (expense), net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financing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(1,949)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(9,750)</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7"/>
                <w:szCs w:val="17"/>
                <w:color w:val="auto"/>
              </w:rPr>
              <w:t>Total other expense, net</w:t>
            </w: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(1,407)</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(16,317)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(7,622)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(18,472)</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unrealized loss on available-for-sale-securities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rPr>
                <w:sz w:val="20"/>
                <w:szCs w:val="20"/>
                <w:color w:val="auto"/>
              </w:rPr>
            </w:pPr>
            <w:r>
              <w:rPr>
                <w:rFonts w:ascii="Arial" w:cs="Arial" w:eastAsia="Arial" w:hAnsi="Arial"/>
                <w:sz w:val="17"/>
                <w:szCs w:val="17"/>
                <w:color w:val="auto"/>
              </w:rPr>
              <w:t>Total other comprehensive loss</w:t>
            </w: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(16,317)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(7,622)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(18,492)</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Reconciliation of net loss to net loss attributable to common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7"/>
                <w:szCs w:val="17"/>
                <w:color w:val="auto"/>
              </w:rPr>
              <w:t>stockholders: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(16,317)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(7,622)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(18,472)</w:t>
            </w:r>
          </w:p>
        </w:tc>
        <w:tc>
          <w:tcPr>
            <w:tcW w:w="0" w:type="dxa"/>
            <w:vAlign w:val="bottom"/>
          </w:tcPr>
          <w:p>
            <w:pPr>
              <w:spacing w:after="0"/>
              <w:rPr>
                <w:sz w:val="1"/>
                <w:szCs w:val="1"/>
                <w:color w:val="auto"/>
              </w:rPr>
            </w:pPr>
          </w:p>
        </w:tc>
      </w:tr>
      <w:tr>
        <w:trPr>
          <w:trHeight w:val="201"/>
        </w:trPr>
        <w:tc>
          <w:tcPr>
            <w:tcW w:w="4720" w:type="dxa"/>
            <w:vAlign w:val="bottom"/>
          </w:tcPr>
          <w:p>
            <w:pPr>
              <w:ind w:left="20"/>
              <w:spacing w:after="0"/>
              <w:rPr>
                <w:sz w:val="20"/>
                <w:szCs w:val="20"/>
                <w:color w:val="auto"/>
              </w:rPr>
            </w:pPr>
            <w:r>
              <w:rPr>
                <w:rFonts w:ascii="Arial" w:cs="Arial" w:eastAsia="Arial" w:hAnsi="Arial"/>
                <w:sz w:val="17"/>
                <w:szCs w:val="17"/>
                <w:color w:val="auto"/>
              </w:rPr>
              <w:t>Accretion of redeemable convertible preferred stock to</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7"/>
                <w:szCs w:val="17"/>
                <w:color w:val="auto"/>
              </w:rPr>
              <w:t>redemption value</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(1,366)</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(453)</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(3,451)</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Accrued dividends on Series A redeemable convertible preferred</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(8,075)</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3"/>
              </w:rPr>
              <w:t>Net loss per share attributable to common stockholders, basic and</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(1,629.68)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(27.83)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(15.18)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7"/>
                <w:szCs w:val="17"/>
                <w:color w:val="auto"/>
                <w:w w:val="94"/>
              </w:rPr>
              <w:t>Weighted-average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2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2,352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635,448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532,007</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1,083,112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4"/>
              </w:rPr>
              <w:t>Pro forma net loss per share attributable to common stockholders,</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and diluted (unaudited)</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(3.75)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(0.59)</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7"/>
                <w:szCs w:val="17"/>
                <w:color w:val="auto"/>
                <w:w w:val="97"/>
              </w:rPr>
              <w:t>Pro forma weighted-average common shares outstanding, basic</w:t>
            </w: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7"/>
                <w:szCs w:val="17"/>
                <w:color w:val="auto"/>
              </w:rPr>
              <w:t>and diluted (unaudited)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3,834,803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14,713,271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Redeemable Convertible Preferred Stock and Stockholders' Equity (Deficit)</w:t>
      </w:r>
    </w:p>
    <w:p>
      <w:pPr>
        <w:spacing w:after="0" w:line="224"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900" w:type="dxa"/>
            <w:vAlign w:val="bottom"/>
            <w:gridSpan w:val="3"/>
          </w:tcPr>
          <w:p>
            <w:pPr>
              <w:jc w:val="center"/>
              <w:ind w:left="374"/>
              <w:spacing w:after="0"/>
              <w:rPr>
                <w:sz w:val="20"/>
                <w:szCs w:val="20"/>
                <w:color w:val="auto"/>
              </w:rPr>
            </w:pPr>
            <w:r>
              <w:rPr>
                <w:rFonts w:ascii="Arial" w:cs="Arial" w:eastAsia="Arial" w:hAnsi="Arial"/>
                <w:sz w:val="13"/>
                <w:szCs w:val="13"/>
                <w:b w:val="1"/>
                <w:bCs w:val="1"/>
                <w:color w:val="auto"/>
                <w:w w:val="88"/>
              </w:rPr>
              <w:t>Series A</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left="334"/>
              <w:spacing w:after="0"/>
              <w:rPr>
                <w:sz w:val="20"/>
                <w:szCs w:val="20"/>
                <w:color w:val="auto"/>
              </w:rPr>
            </w:pPr>
            <w:r>
              <w:rPr>
                <w:rFonts w:ascii="Arial" w:cs="Arial" w:eastAsia="Arial" w:hAnsi="Arial"/>
                <w:sz w:val="13"/>
                <w:szCs w:val="13"/>
                <w:b w:val="1"/>
                <w:bCs w:val="1"/>
                <w:color w:val="auto"/>
                <w:w w:val="88"/>
              </w:rPr>
              <w:t>Series B</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140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Redeemable</w:t>
            </w:r>
          </w:p>
        </w:tc>
        <w:tc>
          <w:tcPr>
            <w:tcW w:w="1440" w:type="dxa"/>
            <w:vAlign w:val="bottom"/>
            <w:tcBorders>
              <w:right w:val="single" w:sz="8" w:color="auto"/>
            </w:tcBorders>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Redeemable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1400" w:type="dxa"/>
            <w:vAlign w:val="bottom"/>
            <w:gridSpan w:val="5"/>
            <w:vMerge w:val="restart"/>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1440" w:type="dxa"/>
            <w:vAlign w:val="bottom"/>
            <w:tcBorders>
              <w:right w:val="single" w:sz="8" w:color="auto"/>
            </w:tcBorders>
            <w:gridSpan w:val="5"/>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Convertible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40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1440" w:type="dxa"/>
            <w:vAlign w:val="bottom"/>
            <w:tcBorders>
              <w:right w:val="single" w:sz="8" w:color="auto"/>
            </w:tcBorders>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3"/>
            <w:vMerge w:val="restart"/>
          </w:tcPr>
          <w:p>
            <w:pPr>
              <w:jc w:val="right"/>
              <w:ind w:right="100"/>
              <w:spacing w:after="0" w:line="144"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14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0"/>
              </w:rPr>
              <w:t>Preferred Stock</w:t>
            </w:r>
          </w:p>
        </w:tc>
        <w:tc>
          <w:tcPr>
            <w:tcW w:w="144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0"/>
              </w:rPr>
              <w:t>Preferred Stock</w:t>
            </w:r>
          </w:p>
        </w:tc>
        <w:tc>
          <w:tcPr>
            <w:tcW w:w="80" w:type="dxa"/>
            <w:vAlign w:val="bottom"/>
          </w:tcPr>
          <w:p>
            <w:pPr>
              <w:spacing w:after="0"/>
              <w:rPr>
                <w:sz w:val="5"/>
                <w:szCs w:val="5"/>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40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1440" w:type="dxa"/>
            <w:vAlign w:val="bottom"/>
            <w:tcBorders>
              <w:right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right"/>
              <w:ind w:right="180"/>
              <w:spacing w:after="0" w:line="144" w:lineRule="exact"/>
              <w:rPr>
                <w:sz w:val="20"/>
                <w:szCs w:val="20"/>
                <w:color w:val="auto"/>
              </w:rPr>
            </w:pPr>
            <w:r>
              <w:rPr>
                <w:rFonts w:ascii="Arial" w:cs="Arial" w:eastAsia="Arial" w:hAnsi="Arial"/>
                <w:sz w:val="13"/>
                <w:szCs w:val="13"/>
                <w:b w:val="1"/>
                <w:bCs w:val="1"/>
                <w:color w:val="auto"/>
                <w:w w:val="96"/>
              </w:rPr>
              <w:t>Paid-In</w:t>
            </w:r>
          </w:p>
        </w:tc>
        <w:tc>
          <w:tcPr>
            <w:tcW w:w="980" w:type="dxa"/>
            <w:vAlign w:val="bottom"/>
            <w:gridSpan w:val="3"/>
            <w:vMerge w:val="restart"/>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Comprehensive</w:t>
            </w:r>
          </w:p>
        </w:tc>
        <w:tc>
          <w:tcPr>
            <w:tcW w:w="840" w:type="dxa"/>
            <w:vAlign w:val="bottom"/>
            <w:gridSpan w:val="3"/>
            <w:vMerge w:val="restart"/>
          </w:tcPr>
          <w:p>
            <w:pPr>
              <w:jc w:val="right"/>
              <w:ind w:right="8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7"/>
                <w:szCs w:val="7"/>
                <w:color w:val="auto"/>
              </w:rPr>
            </w:pPr>
          </w:p>
        </w:tc>
        <w:tc>
          <w:tcPr>
            <w:tcW w:w="980" w:type="dxa"/>
            <w:vAlign w:val="bottom"/>
            <w:gridSpan w:val="2"/>
            <w:vMerge w:val="restart"/>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4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0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Equity (Deficit)</w:t>
            </w: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Balance at June 19,</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2013 (inception)</w:t>
            </w:r>
          </w:p>
        </w:tc>
        <w:tc>
          <w:tcPr>
            <w:tcW w:w="900" w:type="dxa"/>
            <w:vAlign w:val="bottom"/>
            <w:gridSpan w:val="3"/>
            <w:shd w:val="clear" w:color="auto" w:fill="CCEEFF"/>
          </w:tcPr>
          <w:p>
            <w:pPr>
              <w:jc w:val="right"/>
              <w:ind w:right="7"/>
              <w:spacing w:after="0"/>
              <w:rPr>
                <w:sz w:val="20"/>
                <w:szCs w:val="20"/>
                <w:color w:val="auto"/>
              </w:rPr>
            </w:pPr>
            <w:r>
              <w:rPr>
                <w:rFonts w:ascii="Arial" w:cs="Arial" w:eastAsia="Arial" w:hAnsi="Arial"/>
                <w:sz w:val="13"/>
                <w:szCs w:val="13"/>
                <w:color w:val="auto"/>
              </w:rPr>
              <w:t>— $</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7"/>
              <w:spacing w:after="0"/>
              <w:rPr>
                <w:sz w:val="20"/>
                <w:szCs w:val="20"/>
                <w:color w:val="auto"/>
              </w:rPr>
            </w:pPr>
            <w:r>
              <w:rPr>
                <w:rFonts w:ascii="Arial" w:cs="Arial" w:eastAsia="Arial" w:hAnsi="Arial"/>
                <w:sz w:val="13"/>
                <w:szCs w:val="13"/>
                <w:color w:val="auto"/>
              </w:rPr>
              <w:t>— $</w:t>
            </w: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 $</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7"/>
              <w:spacing w:after="0"/>
              <w:rPr>
                <w:sz w:val="20"/>
                <w:szCs w:val="20"/>
                <w:color w:val="auto"/>
              </w:rPr>
            </w:pPr>
            <w:r>
              <w:rPr>
                <w:rFonts w:ascii="Arial" w:cs="Arial" w:eastAsia="Arial" w:hAnsi="Arial"/>
                <w:sz w:val="13"/>
                <w:szCs w:val="13"/>
                <w:color w:val="auto"/>
              </w:rPr>
              <w:t>— $</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Issuance of common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2,352</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(3,833)</w:t>
            </w: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(3,833)</w:t>
            </w:r>
          </w:p>
        </w:tc>
        <w:tc>
          <w:tcPr>
            <w:tcW w:w="0" w:type="dxa"/>
            <w:vAlign w:val="bottom"/>
          </w:tcPr>
          <w:p>
            <w:pPr>
              <w:spacing w:after="0"/>
              <w:rPr>
                <w:sz w:val="1"/>
                <w:szCs w:val="1"/>
                <w:color w:val="auto"/>
              </w:rPr>
            </w:pPr>
          </w:p>
        </w:tc>
      </w:tr>
      <w:tr>
        <w:trPr>
          <w:trHeight w:val="124"/>
        </w:trPr>
        <w:tc>
          <w:tcPr>
            <w:tcW w:w="1400" w:type="dxa"/>
            <w:vAlign w:val="bottom"/>
            <w:tcBorders>
              <w:top w:val="single" w:sz="8" w:color="CCEEFF"/>
            </w:tcBorders>
          </w:tcPr>
          <w:p>
            <w:pPr>
              <w:spacing w:after="0" w:line="124" w:lineRule="exact"/>
              <w:rPr>
                <w:sz w:val="20"/>
                <w:szCs w:val="20"/>
                <w:color w:val="auto"/>
              </w:rPr>
            </w:pPr>
            <w:r>
              <w:rPr>
                <w:rFonts w:ascii="Arial" w:cs="Arial" w:eastAsia="Arial" w:hAnsi="Arial"/>
                <w:sz w:val="13"/>
                <w:szCs w:val="13"/>
                <w:b w:val="1"/>
                <w:bCs w:val="1"/>
                <w:color w:val="auto"/>
              </w:rPr>
              <w:t>Balance at</w:t>
            </w: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CCEEFF"/>
              <w:right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400" w:type="dxa"/>
            <w:vAlign w:val="bottom"/>
          </w:tcPr>
          <w:p>
            <w:pPr>
              <w:ind w:left="120"/>
              <w:spacing w:after="0"/>
              <w:rPr>
                <w:sz w:val="20"/>
                <w:szCs w:val="20"/>
                <w:color w:val="auto"/>
              </w:rPr>
            </w:pPr>
            <w:r>
              <w:rPr>
                <w:rFonts w:ascii="Arial" w:cs="Arial" w:eastAsia="Arial" w:hAnsi="Arial"/>
                <w:sz w:val="13"/>
                <w:szCs w:val="13"/>
                <w:b w:val="1"/>
                <w:bCs w:val="1"/>
                <w:color w:val="auto"/>
              </w:rPr>
              <w:t>December 31, 2013</w:t>
            </w:r>
          </w:p>
        </w:tc>
        <w:tc>
          <w:tcPr>
            <w:tcW w:w="900" w:type="dxa"/>
            <w:vAlign w:val="bottom"/>
            <w:gridSpan w:val="3"/>
          </w:tcPr>
          <w:p>
            <w:pPr>
              <w:jc w:val="right"/>
              <w:ind w:right="7"/>
              <w:spacing w:after="0"/>
              <w:rPr>
                <w:sz w:val="20"/>
                <w:szCs w:val="20"/>
                <w:color w:val="auto"/>
              </w:rPr>
            </w:pPr>
            <w:r>
              <w:rPr>
                <w:rFonts w:ascii="Arial" w:cs="Arial" w:eastAsia="Arial" w:hAnsi="Arial"/>
                <w:sz w:val="13"/>
                <w:szCs w:val="13"/>
                <w:color w:val="auto"/>
              </w:rPr>
              <w:t>— $</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7"/>
              <w:spacing w:after="0"/>
              <w:rPr>
                <w:sz w:val="20"/>
                <w:szCs w:val="20"/>
                <w:color w:val="auto"/>
              </w:rPr>
            </w:pPr>
            <w:r>
              <w:rPr>
                <w:rFonts w:ascii="Arial" w:cs="Arial" w:eastAsia="Arial" w:hAnsi="Arial"/>
                <w:sz w:val="13"/>
                <w:szCs w:val="13"/>
                <w:color w:val="auto"/>
              </w:rPr>
              <w:t>— $</w:t>
            </w: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2,352</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1020" w:type="dxa"/>
            <w:vAlign w:val="bottom"/>
            <w:gridSpan w:val="3"/>
          </w:tcPr>
          <w:p>
            <w:pPr>
              <w:jc w:val="right"/>
              <w:ind w:right="7"/>
              <w:spacing w:after="0"/>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(3,833)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(3,833)</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Issuance of common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for services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494,118</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Initial issuance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Series A 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 including</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exchange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notes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w w:val="97"/>
              </w:rPr>
              <w:t>payable of $2,929 and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w w:val="97"/>
              </w:rPr>
              <w:t>net of tranche rights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$2,600 and issuance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rPr>
              <w:t>costs of $22</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6,500,000</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3,878</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Subsequent issuance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w w:val="99"/>
              </w:rPr>
              <w:t>preferred stock, net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costs of $9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18,500,000</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18,491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Reclassification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tranche rights upon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issuance of Series A</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(1,756)</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Vesting of restricted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318,364</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Stock-based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w w:val="94"/>
              </w:rPr>
              <w:t>compensation expense</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425</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7"/>
              </w:rPr>
              <w:t>Accretion of redeemable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stock to redemption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value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1,366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(681)</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(1,366)</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20"/>
                <w:szCs w:val="20"/>
                <w:color w:val="auto"/>
              </w:rPr>
            </w:pPr>
            <w:r>
              <w:rPr>
                <w:rFonts w:ascii="Arial" w:cs="Arial" w:eastAsia="Arial" w:hAnsi="Arial"/>
                <w:sz w:val="13"/>
                <w:szCs w:val="13"/>
                <w:color w:val="auto"/>
              </w:rPr>
              <w:t>Net loss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(16,317)</w:t>
            </w: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(16,317)</w:t>
            </w:r>
          </w:p>
        </w:tc>
        <w:tc>
          <w:tcPr>
            <w:tcW w:w="0" w:type="dxa"/>
            <w:vAlign w:val="bottom"/>
          </w:tcPr>
          <w:p>
            <w:pPr>
              <w:spacing w:after="0"/>
              <w:rPr>
                <w:sz w:val="1"/>
                <w:szCs w:val="1"/>
                <w:color w:val="auto"/>
              </w:rPr>
            </w:pPr>
          </w:p>
        </w:tc>
      </w:tr>
      <w:tr>
        <w:trPr>
          <w:trHeight w:val="127"/>
        </w:trPr>
        <w:tc>
          <w:tcPr>
            <w:tcW w:w="140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 at</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December 31, 2014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25,000,000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21,979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814,834</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(20,831)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(20,830)</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Issuance of Series 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 net of issuance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rPr>
              <w:t>costs of $1</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20,000,000</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19,999</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Reclassification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tranche rights upon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issuance of Series A</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redeemable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16,055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Issuance of Series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 net of discount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w w:val="93"/>
              </w:rPr>
              <w:t>of $5,000 and issuance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rPr>
              <w:t>costs of $220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30,000,001</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5"/>
              </w:rPr>
              <w:t>84,780</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Vesting of restricted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411,417</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rPr>
              <w:t>Stock-based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w w:val="94"/>
              </w:rPr>
              <w:t>compensation expense</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1,204</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1,204</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4"/>
              </w:rPr>
              <w:t>Exercises of vested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1,063</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1400" w:type="dxa"/>
            <w:vAlign w:val="bottom"/>
          </w:tcPr>
          <w:p>
            <w:pPr>
              <w:spacing w:after="0" w:line="136" w:lineRule="exact"/>
              <w:rPr>
                <w:sz w:val="20"/>
                <w:szCs w:val="20"/>
                <w:color w:val="auto"/>
              </w:rPr>
            </w:pPr>
            <w:r>
              <w:rPr>
                <w:rFonts w:ascii="Arial" w:cs="Arial" w:eastAsia="Arial" w:hAnsi="Arial"/>
                <w:sz w:val="13"/>
                <w:szCs w:val="13"/>
                <w:color w:val="auto"/>
                <w:w w:val="97"/>
              </w:rPr>
              <w:t>Accretion of redeemable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 to redemption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120"/>
              <w:spacing w:after="0"/>
              <w:rPr>
                <w:sz w:val="20"/>
                <w:szCs w:val="20"/>
                <w:color w:val="auto"/>
              </w:rPr>
            </w:pPr>
            <w:r>
              <w:rPr>
                <w:rFonts w:ascii="Arial" w:cs="Arial" w:eastAsia="Arial" w:hAnsi="Arial"/>
                <w:sz w:val="13"/>
                <w:szCs w:val="13"/>
                <w:color w:val="auto"/>
              </w:rPr>
              <w:t>value</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1,209</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2,242</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(2,227)</w:t>
            </w:r>
          </w:p>
        </w:tc>
        <w:tc>
          <w:tcPr>
            <w:tcW w:w="8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(3,451)</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Unrealized loss 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available-for-sale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20"/>
                <w:szCs w:val="20"/>
                <w:color w:val="auto"/>
              </w:rPr>
            </w:pPr>
            <w:r>
              <w:rPr>
                <w:rFonts w:ascii="Arial" w:cs="Arial" w:eastAsia="Arial" w:hAnsi="Arial"/>
                <w:sz w:val="13"/>
                <w:szCs w:val="13"/>
                <w:color w:val="auto"/>
              </w:rPr>
              <w:t>Net loss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(18,472)</w:t>
            </w: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(18,472)</w:t>
            </w:r>
          </w:p>
        </w:tc>
        <w:tc>
          <w:tcPr>
            <w:tcW w:w="0" w:type="dxa"/>
            <w:vAlign w:val="bottom"/>
          </w:tcPr>
          <w:p>
            <w:pPr>
              <w:spacing w:after="0"/>
              <w:rPr>
                <w:sz w:val="1"/>
                <w:szCs w:val="1"/>
                <w:color w:val="auto"/>
              </w:rPr>
            </w:pPr>
          </w:p>
        </w:tc>
      </w:tr>
      <w:tr>
        <w:trPr>
          <w:trHeight w:val="127"/>
        </w:trPr>
        <w:tc>
          <w:tcPr>
            <w:tcW w:w="140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 at June 30,</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2015, unaudited</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45,000,000</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59,242</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30,000,001</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87,022</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1,227,314</w:t>
            </w:r>
          </w:p>
        </w:tc>
        <w:tc>
          <w:tcPr>
            <w:tcW w:w="3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(41,530)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(41,549)</w:t>
            </w:r>
          </w:p>
        </w:tc>
        <w:tc>
          <w:tcPr>
            <w:tcW w:w="0" w:type="dxa"/>
            <w:vAlign w:val="bottom"/>
          </w:tcPr>
          <w:p>
            <w:pPr>
              <w:spacing w:after="0"/>
              <w:rPr>
                <w:sz w:val="1"/>
                <w:szCs w:val="1"/>
                <w:color w:val="auto"/>
              </w:rPr>
            </w:pPr>
          </w:p>
        </w:tc>
      </w:tr>
      <w:tr>
        <w:trPr>
          <w:trHeight w:val="115"/>
        </w:trPr>
        <w:tc>
          <w:tcPr>
            <w:tcW w:w="1400" w:type="dxa"/>
            <w:vAlign w:val="bottom"/>
            <w:tcBorders>
              <w:top w:val="single" w:sz="8" w:color="CCEEFF"/>
            </w:tcBorders>
          </w:tcPr>
          <w:p>
            <w:pPr>
              <w:spacing w:after="0" w:line="115" w:lineRule="exact"/>
              <w:rPr>
                <w:sz w:val="20"/>
                <w:szCs w:val="20"/>
                <w:color w:val="auto"/>
              </w:rPr>
            </w:pPr>
            <w:r>
              <w:rPr>
                <w:rFonts w:ascii="Arial" w:cs="Arial" w:eastAsia="Arial" w:hAnsi="Arial"/>
                <w:sz w:val="13"/>
                <w:szCs w:val="13"/>
                <w:color w:val="auto"/>
              </w:rPr>
              <w:t>Conversion of</w:t>
            </w: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CCEEFF"/>
              <w:right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convertible preferred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 into common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120"/>
              <w:spacing w:after="0"/>
              <w:rPr>
                <w:sz w:val="20"/>
                <w:szCs w:val="20"/>
                <w:color w:val="auto"/>
              </w:rPr>
            </w:pPr>
            <w:r>
              <w:rPr>
                <w:rFonts w:ascii="Arial" w:cs="Arial" w:eastAsia="Arial" w:hAnsi="Arial"/>
                <w:sz w:val="13"/>
                <w:szCs w:val="13"/>
                <w:color w:val="auto"/>
              </w:rPr>
              <w:t>stock (unaudited)</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(45,000,000)</w:t>
            </w:r>
          </w:p>
        </w:tc>
        <w:tc>
          <w:tcPr>
            <w:tcW w:w="1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0"/>
              </w:rPr>
              <w:t>(59,242)</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(30,000,001)</w:t>
            </w:r>
          </w:p>
        </w:tc>
        <w:tc>
          <w:tcPr>
            <w:tcW w:w="12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90"/>
              </w:rPr>
              <w:t>(87,022)</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17,647,054</w:t>
            </w: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18</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143,338</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2,908</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146,264</w:t>
            </w:r>
          </w:p>
        </w:tc>
        <w:tc>
          <w:tcPr>
            <w:tcW w:w="0" w:type="dxa"/>
            <w:vAlign w:val="bottom"/>
          </w:tcPr>
          <w:p>
            <w:pPr>
              <w:spacing w:after="0"/>
              <w:rPr>
                <w:sz w:val="1"/>
                <w:szCs w:val="1"/>
                <w:color w:val="auto"/>
              </w:rPr>
            </w:pPr>
          </w:p>
        </w:tc>
      </w:tr>
      <w:tr>
        <w:trPr>
          <w:trHeight w:val="131"/>
        </w:trPr>
        <w:tc>
          <w:tcPr>
            <w:tcW w:w="14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Pro forma balance at</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b w:val="1"/>
                <w:bCs w:val="1"/>
                <w:color w:val="auto"/>
              </w:rPr>
              <w:t>June 30, 2015</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(unaudited)</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18,874,368</w:t>
            </w:r>
          </w:p>
        </w:tc>
        <w:tc>
          <w:tcPr>
            <w:tcW w:w="3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143,338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(38,622)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104,715</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976"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(amounts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Period from</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right"/>
              <w:ind w:right="500"/>
              <w:spacing w:after="0" w:line="144" w:lineRule="exact"/>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(Inception) to</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Year Ended</w:t>
            </w:r>
          </w:p>
        </w:tc>
        <w:tc>
          <w:tcPr>
            <w:tcW w:w="80" w:type="dxa"/>
            <w:vAlign w:val="bottom"/>
          </w:tcPr>
          <w:p>
            <w:pPr>
              <w:spacing w:after="0"/>
              <w:rPr>
                <w:sz w:val="13"/>
                <w:szCs w:val="13"/>
                <w:color w:val="auto"/>
              </w:rPr>
            </w:pPr>
          </w:p>
        </w:tc>
        <w:tc>
          <w:tcPr>
            <w:tcW w:w="186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11"/>
        </w:trPr>
        <w:tc>
          <w:tcPr>
            <w:tcW w:w="5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7"/>
              </w:rPr>
              <w:t>December 31,</w:t>
            </w:r>
          </w:p>
        </w:tc>
        <w:tc>
          <w:tcPr>
            <w:tcW w:w="80" w:type="dxa"/>
            <w:vAlign w:val="bottom"/>
          </w:tcPr>
          <w:p>
            <w:pPr>
              <w:spacing w:after="0"/>
              <w:rPr>
                <w:sz w:val="9"/>
                <w:szCs w:val="9"/>
                <w:color w:val="auto"/>
              </w:rPr>
            </w:pPr>
          </w:p>
        </w:tc>
        <w:tc>
          <w:tcPr>
            <w:tcW w:w="98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7"/>
              </w:rPr>
              <w:t>December 31,</w:t>
            </w: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6"/>
              </w:rPr>
              <w:t>2014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14"/>
              <w:spacing w:after="0" w:line="138" w:lineRule="exact"/>
              <w:rPr>
                <w:sz w:val="20"/>
                <w:szCs w:val="20"/>
                <w:color w:val="auto"/>
              </w:rPr>
            </w:pPr>
            <w:r>
              <w:rPr>
                <w:rFonts w:ascii="Arial" w:cs="Arial" w:eastAsia="Arial" w:hAnsi="Arial"/>
                <w:sz w:val="13"/>
                <w:szCs w:val="13"/>
                <w:b w:val="1"/>
                <w:bCs w:val="1"/>
                <w:color w:val="auto"/>
                <w:w w:val="90"/>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Cash flow from operating activities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Net loss</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(3,833)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(16,317)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(7,622)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(18,472)</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Stock-based compensation expense</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425</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107</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1,204</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Depreciation</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Amortization of premiums and discounts on marketable securities</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Change in fair value of preferred stock tranche liability</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1,949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1,405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9,750</w:t>
            </w: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Non-cash interest on convertible promissory notes payable</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67</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Expense related to shares issued in connection with services performed</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In-kind research and development expenses</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2,065</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Deferred rent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Changes in operating assets and liabilities: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Prepaid expenses and other current assets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(1,185)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44"/>
        </w:trPr>
        <w:tc>
          <w:tcPr>
            <w:tcW w:w="5020" w:type="dxa"/>
            <w:vAlign w:val="bottom"/>
          </w:tcPr>
          <w:p>
            <w:pPr>
              <w:ind w:left="160"/>
              <w:spacing w:after="0" w:line="144" w:lineRule="exact"/>
              <w:rPr>
                <w:sz w:val="20"/>
                <w:szCs w:val="20"/>
                <w:color w:val="auto"/>
              </w:rPr>
            </w:pPr>
            <w:r>
              <w:rPr>
                <w:rFonts w:ascii="Arial" w:cs="Arial" w:eastAsia="Arial" w:hAnsi="Arial"/>
                <w:sz w:val="13"/>
                <w:szCs w:val="13"/>
                <w:color w:val="auto"/>
              </w:rPr>
              <w:t>Other non-current assets</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Deferred revenue</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62,541</w:t>
            </w:r>
          </w:p>
        </w:tc>
        <w:tc>
          <w:tcPr>
            <w:tcW w:w="0" w:type="dxa"/>
            <w:vAlign w:val="bottom"/>
          </w:tcPr>
          <w:p>
            <w:pPr>
              <w:spacing w:after="0"/>
              <w:rPr>
                <w:sz w:val="1"/>
                <w:szCs w:val="1"/>
                <w:color w:val="auto"/>
              </w:rPr>
            </w:pPr>
          </w:p>
        </w:tc>
      </w:tr>
      <w:tr>
        <w:trPr>
          <w:trHeight w:val="144"/>
        </w:trPr>
        <w:tc>
          <w:tcPr>
            <w:tcW w:w="5020" w:type="dxa"/>
            <w:vAlign w:val="bottom"/>
          </w:tcPr>
          <w:p>
            <w:pPr>
              <w:ind w:left="160"/>
              <w:spacing w:after="0" w:line="144" w:lineRule="exact"/>
              <w:rPr>
                <w:sz w:val="20"/>
                <w:szCs w:val="20"/>
                <w:color w:val="auto"/>
              </w:rPr>
            </w:pPr>
            <w:r>
              <w:rPr>
                <w:rFonts w:ascii="Arial" w:cs="Arial" w:eastAsia="Arial" w:hAnsi="Arial"/>
                <w:sz w:val="13"/>
                <w:szCs w:val="13"/>
                <w:color w:val="auto"/>
              </w:rPr>
              <w:t>Accounts payable</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950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604</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Accrued expenses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537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466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44"/>
        </w:trPr>
        <w:tc>
          <w:tcPr>
            <w:tcW w:w="5020" w:type="dxa"/>
            <w:vAlign w:val="bottom"/>
          </w:tcPr>
          <w:p>
            <w:pPr>
              <w:ind w:left="160"/>
              <w:spacing w:after="0" w:line="144" w:lineRule="exact"/>
              <w:rPr>
                <w:sz w:val="20"/>
                <w:szCs w:val="20"/>
                <w:color w:val="auto"/>
              </w:rPr>
            </w:pPr>
            <w:r>
              <w:rPr>
                <w:rFonts w:ascii="Arial" w:cs="Arial" w:eastAsia="Arial" w:hAnsi="Arial"/>
                <w:sz w:val="13"/>
                <w:szCs w:val="13"/>
                <w:color w:val="auto"/>
              </w:rPr>
              <w:t>Other non-current liabilities</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186</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167</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Lease incentive benefit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1,112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37"/>
        </w:trPr>
        <w:tc>
          <w:tcPr>
            <w:tcW w:w="5020" w:type="dxa"/>
            <w:vAlign w:val="bottom"/>
          </w:tcPr>
          <w:p>
            <w:pPr>
              <w:ind w:left="160"/>
              <w:spacing w:after="0" w:line="138" w:lineRule="exact"/>
              <w:rPr>
                <w:sz w:val="20"/>
                <w:szCs w:val="20"/>
                <w:color w:val="auto"/>
              </w:rPr>
            </w:pPr>
            <w:r>
              <w:rPr>
                <w:rFonts w:ascii="Arial" w:cs="Arial" w:eastAsia="Arial" w:hAnsi="Arial"/>
                <w:sz w:val="13"/>
                <w:szCs w:val="13"/>
                <w:color w:val="auto"/>
              </w:rPr>
              <w:t>Net cash provided by (used in) operating activities</w:t>
            </w: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(2,725)</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(11,918)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(4,797)</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57,606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Cash flow from investing activities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Purchases of property and equipment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(2,988)</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(698)</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Change in restricted cash</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(314)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(314)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Purchases of marketable securities</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(88,029)</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Proceeds from maturities of marketable securities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4,000</w:t>
            </w:r>
          </w:p>
        </w:tc>
        <w:tc>
          <w:tcPr>
            <w:tcW w:w="0" w:type="dxa"/>
            <w:vAlign w:val="bottom"/>
          </w:tcPr>
          <w:p>
            <w:pPr>
              <w:spacing w:after="0"/>
              <w:rPr>
                <w:sz w:val="1"/>
                <w:szCs w:val="1"/>
                <w:color w:val="auto"/>
              </w:rPr>
            </w:pPr>
          </w:p>
        </w:tc>
      </w:tr>
      <w:tr>
        <w:trPr>
          <w:trHeight w:val="137"/>
        </w:trPr>
        <w:tc>
          <w:tcPr>
            <w:tcW w:w="5020" w:type="dxa"/>
            <w:vAlign w:val="bottom"/>
          </w:tcPr>
          <w:p>
            <w:pPr>
              <w:ind w:left="160"/>
              <w:spacing w:after="0" w:line="138" w:lineRule="exact"/>
              <w:rPr>
                <w:sz w:val="20"/>
                <w:szCs w:val="20"/>
                <w:color w:val="auto"/>
              </w:rPr>
            </w:pPr>
            <w:r>
              <w:rPr>
                <w:rFonts w:ascii="Arial" w:cs="Arial" w:eastAsia="Arial" w:hAnsi="Arial"/>
                <w:sz w:val="13"/>
                <w:szCs w:val="13"/>
                <w:color w:val="auto"/>
              </w:rPr>
              <w:t>Net cash used in investing activities</w:t>
            </w: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(3,302)</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(1,012)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(84,679)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Cash flow from financing activities</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Proceeds from convertible promissory notes payable</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2,860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w w:val="94"/>
              </w:rPr>
              <w:t>Proceeds from the issuance of Series A redeemable convertible preferred stock and tranche</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rights, net of issuance costs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22,040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9,543</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19,999</w:t>
            </w:r>
          </w:p>
        </w:tc>
        <w:tc>
          <w:tcPr>
            <w:tcW w:w="0" w:type="dxa"/>
            <w:vAlign w:val="bottom"/>
          </w:tcPr>
          <w:p>
            <w:pPr>
              <w:spacing w:after="0"/>
              <w:rPr>
                <w:sz w:val="1"/>
                <w:szCs w:val="1"/>
                <w:color w:val="auto"/>
              </w:rPr>
            </w:pPr>
          </w:p>
        </w:tc>
      </w:tr>
      <w:tr>
        <w:trPr>
          <w:trHeight w:val="135"/>
        </w:trPr>
        <w:tc>
          <w:tcPr>
            <w:tcW w:w="5020" w:type="dxa"/>
            <w:vAlign w:val="bottom"/>
          </w:tcPr>
          <w:p>
            <w:pPr>
              <w:ind w:left="20"/>
              <w:spacing w:after="0" w:line="136" w:lineRule="exact"/>
              <w:rPr>
                <w:sz w:val="20"/>
                <w:szCs w:val="20"/>
                <w:color w:val="auto"/>
              </w:rPr>
            </w:pPr>
            <w:r>
              <w:rPr>
                <w:rFonts w:ascii="Arial" w:cs="Arial" w:eastAsia="Arial" w:hAnsi="Arial"/>
                <w:sz w:val="13"/>
                <w:szCs w:val="13"/>
                <w:color w:val="auto"/>
              </w:rPr>
              <w:t>Proceeds from the issuance of Series B redeemable convertible preferred stock net of</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tcPr>
          <w:p>
            <w:pPr>
              <w:ind w:left="160"/>
              <w:spacing w:after="0"/>
              <w:rPr>
                <w:sz w:val="20"/>
                <w:szCs w:val="20"/>
                <w:color w:val="auto"/>
              </w:rPr>
            </w:pPr>
            <w:r>
              <w:rPr>
                <w:rFonts w:ascii="Arial" w:cs="Arial" w:eastAsia="Arial" w:hAnsi="Arial"/>
                <w:sz w:val="13"/>
                <w:szCs w:val="13"/>
                <w:color w:val="auto"/>
              </w:rPr>
              <w:t>discount and issuance costs</w:t>
            </w:r>
          </w:p>
        </w:tc>
        <w:tc>
          <w:tcPr>
            <w:tcW w:w="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84,780</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Proceeds from the issuance of common stock and restricted stock</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7"/>
        </w:trPr>
        <w:tc>
          <w:tcPr>
            <w:tcW w:w="5020" w:type="dxa"/>
            <w:vAlign w:val="bottom"/>
          </w:tcPr>
          <w:p>
            <w:pPr>
              <w:ind w:left="160"/>
              <w:spacing w:after="0" w:line="138" w:lineRule="exact"/>
              <w:rPr>
                <w:sz w:val="20"/>
                <w:szCs w:val="20"/>
                <w:color w:val="auto"/>
              </w:rPr>
            </w:pPr>
            <w:r>
              <w:rPr>
                <w:rFonts w:ascii="Arial" w:cs="Arial" w:eastAsia="Arial" w:hAnsi="Arial"/>
                <w:sz w:val="13"/>
                <w:szCs w:val="13"/>
                <w:color w:val="auto"/>
              </w:rPr>
              <w:t>Net cash provided by financing activities</w:t>
            </w: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2,860</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22,120</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9,573</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104,786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increase in cash and cash equivalents</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6,900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3,764</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77,713</w:t>
            </w:r>
          </w:p>
        </w:tc>
        <w:tc>
          <w:tcPr>
            <w:tcW w:w="0" w:type="dxa"/>
            <w:vAlign w:val="bottom"/>
          </w:tcPr>
          <w:p>
            <w:pPr>
              <w:spacing w:after="0"/>
              <w:rPr>
                <w:sz w:val="1"/>
                <w:szCs w:val="1"/>
                <w:color w:val="auto"/>
              </w:rPr>
            </w:pPr>
          </w:p>
        </w:tc>
      </w:tr>
      <w:tr>
        <w:trPr>
          <w:trHeight w:val="144"/>
        </w:trPr>
        <w:tc>
          <w:tcPr>
            <w:tcW w:w="5020" w:type="dxa"/>
            <w:vAlign w:val="bottom"/>
          </w:tcPr>
          <w:p>
            <w:pPr>
              <w:ind w:left="20"/>
              <w:spacing w:after="0" w:line="144" w:lineRule="exact"/>
              <w:rPr>
                <w:sz w:val="20"/>
                <w:szCs w:val="20"/>
                <w:color w:val="auto"/>
              </w:rPr>
            </w:pPr>
            <w:r>
              <w:rPr>
                <w:rFonts w:ascii="Arial" w:cs="Arial" w:eastAsia="Arial" w:hAnsi="Arial"/>
                <w:sz w:val="13"/>
                <w:szCs w:val="13"/>
                <w:color w:val="auto"/>
              </w:rPr>
              <w:t>Cash and cash equivalents, beginning of period</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7,035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Cash and cash equivalents, end of period</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7,035</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3,899</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84,748</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and non-cash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Accretion of redeemable convertible preferred stock to redemption value</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1,366</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453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3,451</w:t>
            </w:r>
          </w:p>
        </w:tc>
        <w:tc>
          <w:tcPr>
            <w:tcW w:w="0" w:type="dxa"/>
            <w:vAlign w:val="bottom"/>
          </w:tcPr>
          <w:p>
            <w:pPr>
              <w:spacing w:after="0"/>
              <w:rPr>
                <w:sz w:val="1"/>
                <w:szCs w:val="1"/>
                <w:color w:val="auto"/>
              </w:rPr>
            </w:pPr>
          </w:p>
        </w:tc>
      </w:tr>
      <w:tr>
        <w:trPr>
          <w:trHeight w:val="135"/>
        </w:trPr>
        <w:tc>
          <w:tcPr>
            <w:tcW w:w="5020" w:type="dxa"/>
            <w:vAlign w:val="bottom"/>
          </w:tcPr>
          <w:p>
            <w:pPr>
              <w:ind w:left="20"/>
              <w:spacing w:after="0" w:line="136" w:lineRule="exact"/>
              <w:rPr>
                <w:sz w:val="20"/>
                <w:szCs w:val="20"/>
                <w:color w:val="auto"/>
              </w:rPr>
            </w:pPr>
            <w:r>
              <w:rPr>
                <w:rFonts w:ascii="Arial" w:cs="Arial" w:eastAsia="Arial" w:hAnsi="Arial"/>
                <w:sz w:val="13"/>
                <w:szCs w:val="13"/>
                <w:color w:val="auto"/>
              </w:rPr>
              <w:t>Exchange of promissory notes payable and accrued interest into Series A redeemable</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020" w:type="dxa"/>
            <w:vAlign w:val="bottom"/>
          </w:tcPr>
          <w:p>
            <w:pPr>
              <w:ind w:left="160"/>
              <w:spacing w:after="0"/>
              <w:rPr>
                <w:sz w:val="20"/>
                <w:szCs w:val="20"/>
                <w:color w:val="auto"/>
              </w:rPr>
            </w:pPr>
            <w:r>
              <w:rPr>
                <w:rFonts w:ascii="Arial" w:cs="Arial" w:eastAsia="Arial" w:hAnsi="Arial"/>
                <w:sz w:val="13"/>
                <w:szCs w:val="13"/>
                <w:color w:val="auto"/>
              </w:rPr>
              <w:t>convertible preferred stock and tranche rights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2,929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2,929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28" w:lineRule="exact"/>
        <w:rPr>
          <w:sz w:val="20"/>
          <w:szCs w:val="20"/>
          <w:color w:val="auto"/>
        </w:rPr>
      </w:pPr>
    </w:p>
    <w:p>
      <w:pPr>
        <w:ind w:right="60" w:firstLine="338"/>
        <w:spacing w:after="0" w:line="279" w:lineRule="auto"/>
        <w:rPr>
          <w:sz w:val="20"/>
          <w:szCs w:val="20"/>
          <w:color w:val="auto"/>
        </w:rPr>
      </w:pPr>
      <w:r>
        <w:rPr>
          <w:rFonts w:ascii="Arial" w:cs="Arial" w:eastAsia="Arial" w:hAnsi="Arial"/>
          <w:sz w:val="16"/>
          <w:szCs w:val="16"/>
          <w:color w:val="auto"/>
        </w:rPr>
        <w:t>Voyager Therapeutics, Inc. ("the Company") is a clinical-stage gene therapy company focused on developing life-changing treatments for patients suffering from severe diseases of the central nervous system (the "CNS"). The Company focuses on CNS diseases where it believes that an adeno-associated virus ("AAV") gene therapy approach can have a clinically meaningful impact by either increasing or decreasing the production of a specific protein. The Company has created a product engine that enables it to engineer, optimize, manufacture and deliver it's AAV-based gene therapies that have the potential to provide durable efficacy following a single administration directly to the CNS. The Company's product engine has rapidly generated programs for five CNS indications, including advanced Parkinson's disease, a form of monogenic amyotrophic lateral sclerosis, Friedreich's ataxia, Huntington's disease and spinal muscular atrophy. The Company's most advanced clinical candidate, VY-AADC01, is being evaluated for the treatment of advanced Parkinson's disease in an open-label, Phase 1b clinical trial with the goal of generating human proof-of-concept data in the second half of 2016.</w:t>
      </w:r>
    </w:p>
    <w:p>
      <w:pPr>
        <w:spacing w:after="0" w:line="177" w:lineRule="exact"/>
        <w:rPr>
          <w:sz w:val="20"/>
          <w:szCs w:val="20"/>
          <w:color w:val="auto"/>
        </w:rPr>
      </w:pPr>
    </w:p>
    <w:p>
      <w:pPr>
        <w:ind w:right="20" w:firstLine="338"/>
        <w:spacing w:after="0" w:line="311" w:lineRule="auto"/>
        <w:rPr>
          <w:sz w:val="20"/>
          <w:szCs w:val="20"/>
          <w:color w:val="auto"/>
        </w:rPr>
      </w:pPr>
      <w:r>
        <w:rPr>
          <w:rFonts w:ascii="Arial" w:cs="Arial" w:eastAsia="Arial" w:hAnsi="Arial"/>
          <w:sz w:val="15"/>
          <w:szCs w:val="15"/>
          <w:color w:val="auto"/>
        </w:rPr>
        <w:t>The Company is subject to risks common to companies in the gene therapy industry, including but not limited to, risks of failure of pre-clinical studies, clinical studies and clinical trials, the need to obtain marketing approval for its drug product candidates, the need to successfully commercialize and gain market acceptance of its drug product candidates and its consumer products,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 has an accumulated deficit of $41,530,000 at June 30, 2015, and will require substantial additional capital to fund operations. The future success of the Company is dependent on its ability to develop its product candidates, and ultimately upon its ability to attain profitable operations. At June 30, 2015, the Company had $168,647,000 of unrestricted cash, cash equivalents and marketable securities.</w:t>
      </w:r>
    </w:p>
    <w:p>
      <w:pPr>
        <w:spacing w:after="0" w:line="179"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The Company believes the cash, cash equivalents and marketable securities of $168,647,000 at June 30, 2015, will be sufficient to fund the Company's current operating plan through at least the next 24 months. Thereafter, the Company will be required to obtain additional funding and intends to pursue a public offering of its common stock to fund future operations. However, if the Company is unable to complete a sufficient public offering in a timely manner it would need to pursue other financing alternatives, such as private financing of debt or equity or collaboration agreements. There can be no assurances, however, that the current operating plan will be achieved or that additional funding will be available on terms acceptable to the Company,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significant accounting policies followed in the preparation of these financial statements.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accrued expenses, valuation of the tranche rights, stock-based compensation expense, income taxes and the fair value of common stock. The Company bases its estimates on historical experience and other market specific or other relevant assumptions that it believes to be reasonable under the circumstances. Actual results may differ from those estimates or assumptions.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24"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The accompanying balance sheet as of June 30, 2015, the statements of operations and comprehensive loss and statements of cash flows for the six months ended June 30, 2014 and 2015, and the statement of redeemable convertible preferred stock and stockholders' equity (deficit) for the six months ended June 30, 2015,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2015, and the results of its operations and comprehensive loss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accompanying unaudited pro forma balance sheet as of June 30, 2015 has been prepared to give effect to the automatic conversion of all shares of redeemable convertible preferred stock outstanding as of June 30, 2015 into 17,647,054 shares of common stock as if the proposed initial public offering had occurred on June 30, 2015. In the accompanying statements of operations and comprehensive loss, unaudited pro forma basic and diluted net loss per share attributable to common stockholders has been prepared to give effect to the automatic conversion of all outstanding shares of redeemable convertible preferred stock as if the proposed initial public offering had occurred on the later of the beginning of the reporting period or the issuance date of the redeemable convertible preferred stock. Accordingly, the unaudited pro forma net loss attributable to common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120"/>
        <w:spacing w:after="0" w:line="315" w:lineRule="auto"/>
        <w:rPr>
          <w:sz w:val="20"/>
          <w:szCs w:val="20"/>
          <w:color w:val="auto"/>
        </w:rPr>
      </w:pPr>
      <w:r>
        <w:rPr>
          <w:rFonts w:ascii="Arial" w:cs="Arial" w:eastAsia="Arial" w:hAnsi="Arial"/>
          <w:sz w:val="16"/>
          <w:szCs w:val="16"/>
          <w:color w:val="auto"/>
        </w:rPr>
        <w:t>used in the calculation of unaudited basic and diluted pro forma net loss per share attributable to common stockholders does not include the effects of the accretion of issuance costs, discounts and accruing dividends on redeemable convertible preferred stock or the tranche rights mark to market adjustments.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7"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92" w:lineRule="exact"/>
        <w:rPr>
          <w:sz w:val="20"/>
          <w:szCs w:val="20"/>
          <w:color w:val="auto"/>
        </w:rPr>
      </w:pPr>
    </w:p>
    <w:p>
      <w:pPr>
        <w:ind w:left="1060" w:hanging="531"/>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market prices in active markets for identical assets or liabilities.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0"/>
        </w:numPr>
        <w:rPr>
          <w:rFonts w:ascii="Arial" w:cs="Arial" w:eastAsia="Arial" w:hAnsi="Arial"/>
          <w:sz w:val="15"/>
          <w:szCs w:val="15"/>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—Inputs other than Level 1 inputs that are either directly or indirectly observable, such as quoted market prices, interest rates, and yield curves.</w:t>
      </w:r>
    </w:p>
    <w:p>
      <w:pPr>
        <w:spacing w:after="0" w:line="260" w:lineRule="exact"/>
        <w:rPr>
          <w:rFonts w:ascii="Arial" w:cs="Arial" w:eastAsia="Arial" w:hAnsi="Arial"/>
          <w:sz w:val="15"/>
          <w:szCs w:val="15"/>
          <w:color w:val="auto"/>
        </w:rPr>
      </w:pPr>
    </w:p>
    <w:p>
      <w:pPr>
        <w:ind w:left="1060" w:right="400" w:hanging="531"/>
        <w:spacing w:after="0" w:line="282" w:lineRule="auto"/>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developed using estimates of assumptions developed by the Company, which reflect those that a market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would use.</w:t>
      </w:r>
    </w:p>
    <w:p>
      <w:pPr>
        <w:spacing w:after="0" w:line="170" w:lineRule="exact"/>
        <w:rPr>
          <w:sz w:val="20"/>
          <w:szCs w:val="20"/>
          <w:color w:val="auto"/>
        </w:rPr>
      </w:pPr>
    </w:p>
    <w:p>
      <w:pPr>
        <w:ind w:right="140" w:firstLine="338"/>
        <w:spacing w:after="0" w:line="294"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right="440" w:firstLine="338"/>
        <w:spacing w:after="0" w:line="282" w:lineRule="auto"/>
        <w:rPr>
          <w:sz w:val="20"/>
          <w:szCs w:val="20"/>
          <w:color w:val="auto"/>
        </w:rPr>
      </w:pPr>
      <w:r>
        <w:rPr>
          <w:rFonts w:ascii="Arial" w:cs="Arial" w:eastAsia="Arial" w:hAnsi="Arial"/>
          <w:sz w:val="17"/>
          <w:szCs w:val="17"/>
          <w:color w:val="auto"/>
        </w:rPr>
        <w:t>The carrying amounts reflected in the balance sheets for cash and cash equivalents, prepaid expenses and other current assets, accounts payable and accrued expenses approximate their fair values,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24" w:lineRule="exact"/>
        <w:rPr>
          <w:sz w:val="20"/>
          <w:szCs w:val="20"/>
          <w:color w:val="auto"/>
        </w:rPr>
      </w:pPr>
    </w:p>
    <w:p>
      <w:pPr>
        <w:ind w:right="20" w:firstLine="338"/>
        <w:spacing w:after="0" w:line="300" w:lineRule="auto"/>
        <w:rPr>
          <w:sz w:val="20"/>
          <w:szCs w:val="20"/>
          <w:color w:val="auto"/>
        </w:rPr>
      </w:pPr>
      <w:r>
        <w:rPr>
          <w:rFonts w:ascii="Arial" w:cs="Arial" w:eastAsia="Arial" w:hAnsi="Arial"/>
          <w:sz w:val="15"/>
          <w:szCs w:val="15"/>
          <w:color w:val="auto"/>
        </w:rPr>
        <w:t>The Company classifies marketable securities with a remaining maturity when purchased of greater than three months as available-for-sale. Marketable securities with a remaining maturity date greater than one year are classified as non-current where the Company has the intent and ability to hold these securities for at least the next twelve months. Available-for-sale securities are maintained by an investment manager and may consist of U.S. Treasury securities and U.S. government agency securities. Available-for-sale securities are carried at fair value with the unrealized gains and losses included in other comprehensive income as a component of stockholders' equity (deficit)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recognizes the unrealized loss through a charge to the Company's statement of operations and comprehensive loss.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marketable securities held as of December 31, 2013 or 2014.</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Marketable securities as of June 30, 2015 consist of the following:</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60" w:type="dxa"/>
            <w:vAlign w:val="bottom"/>
          </w:tcPr>
          <w:p>
            <w:pPr>
              <w:spacing w:after="0"/>
              <w:rPr>
                <w:sz w:val="12"/>
                <w:szCs w:val="12"/>
                <w:color w:val="auto"/>
              </w:rPr>
            </w:pPr>
          </w:p>
        </w:tc>
        <w:tc>
          <w:tcPr>
            <w:tcW w:w="920" w:type="dxa"/>
            <w:vAlign w:val="bottom"/>
            <w:gridSpan w:val="4"/>
          </w:tcPr>
          <w:p>
            <w:pPr>
              <w:ind w:left="80"/>
              <w:spacing w:after="0" w:line="144" w:lineRule="exact"/>
              <w:rPr>
                <w:sz w:val="20"/>
                <w:szCs w:val="20"/>
                <w:color w:val="auto"/>
              </w:rPr>
            </w:pPr>
            <w:r>
              <w:rPr>
                <w:rFonts w:ascii="Arial" w:cs="Arial" w:eastAsia="Arial" w:hAnsi="Arial"/>
                <w:sz w:val="13"/>
                <w:szCs w:val="13"/>
                <w:b w:val="1"/>
                <w:bCs w:val="1"/>
                <w:color w:val="auto"/>
              </w:rPr>
              <w:t>Amortized</w:t>
            </w:r>
          </w:p>
        </w:tc>
        <w:tc>
          <w:tcPr>
            <w:tcW w:w="920" w:type="dxa"/>
            <w:vAlign w:val="bottom"/>
            <w:gridSpan w:val="3"/>
          </w:tcPr>
          <w:p>
            <w:pPr>
              <w:jc w:val="right"/>
              <w:ind w:right="240"/>
              <w:spacing w:after="0" w:line="144" w:lineRule="exact"/>
              <w:rPr>
                <w:sz w:val="20"/>
                <w:szCs w:val="20"/>
                <w:color w:val="auto"/>
              </w:rPr>
            </w:pPr>
            <w:r>
              <w:rPr>
                <w:rFonts w:ascii="Arial" w:cs="Arial" w:eastAsia="Arial" w:hAnsi="Arial"/>
                <w:sz w:val="13"/>
                <w:szCs w:val="13"/>
                <w:b w:val="1"/>
                <w:bCs w:val="1"/>
                <w:color w:val="auto"/>
              </w:rPr>
              <w:t>Unrealized</w:t>
            </w:r>
          </w:p>
        </w:tc>
        <w:tc>
          <w:tcPr>
            <w:tcW w:w="9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2"/>
                <w:szCs w:val="12"/>
                <w:color w:val="auto"/>
              </w:rPr>
            </w:pPr>
          </w:p>
        </w:tc>
        <w:tc>
          <w:tcPr>
            <w:tcW w:w="7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Cost</w:t>
            </w:r>
          </w:p>
        </w:tc>
        <w:tc>
          <w:tcPr>
            <w:tcW w:w="160" w:type="dxa"/>
            <w:vAlign w:val="bottom"/>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w w:val="99"/>
              </w:rPr>
              <w:t>Gains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jc w:val="right"/>
              <w:ind w:right="680"/>
              <w:spacing w:after="0" w:line="138"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of June 30, 2015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7"/>
                <w:szCs w:val="17"/>
                <w:color w:val="auto"/>
              </w:rPr>
              <w:t>Money market funds included in 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84,451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84,451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money market funds included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84,451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84,451</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Treasury notes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50,217</w:t>
            </w:r>
          </w:p>
        </w:tc>
        <w:tc>
          <w:tcPr>
            <w:tcW w:w="0" w:type="dxa"/>
            <w:vAlign w:val="bottom"/>
          </w:tcPr>
          <w:p>
            <w:pPr>
              <w:spacing w:after="0"/>
              <w:rPr>
                <w:sz w:val="1"/>
                <w:szCs w:val="1"/>
                <w:color w:val="auto"/>
              </w:rPr>
            </w:pPr>
          </w:p>
        </w:tc>
      </w:tr>
      <w:tr>
        <w:trPr>
          <w:trHeight w:val="210"/>
        </w:trPr>
        <w:tc>
          <w:tcPr>
            <w:tcW w:w="5460" w:type="dxa"/>
            <w:vAlign w:val="bottom"/>
          </w:tcPr>
          <w:p>
            <w:pPr>
              <w:ind w:left="180"/>
              <w:spacing w:after="0"/>
              <w:rPr>
                <w:sz w:val="20"/>
                <w:szCs w:val="20"/>
                <w:color w:val="auto"/>
              </w:rPr>
            </w:pPr>
            <w:r>
              <w:rPr>
                <w:rFonts w:ascii="Arial" w:cs="Arial" w:eastAsia="Arial" w:hAnsi="Arial"/>
                <w:sz w:val="17"/>
                <w:szCs w:val="17"/>
                <w:color w:val="auto"/>
              </w:rPr>
              <w:t>U.S. Government agency bonds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33,696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33,682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marketable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83,919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83,899</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7"/>
                <w:szCs w:val="17"/>
                <w:color w:val="auto"/>
              </w:rPr>
              <w:t>Total money market funds and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168,370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168,350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estimated fair value of the Company's marketable securities balance at June 30, 2015, by contractual maturity,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Due in one year or less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23,870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Due after one year through 2 years</w:t>
            </w:r>
          </w:p>
        </w:tc>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60,029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Total marketable securities</w:t>
            </w:r>
          </w:p>
        </w:tc>
        <w:tc>
          <w:tcPr>
            <w:tcW w:w="40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83,899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0" w:type="dxa"/>
            <w:vAlign w:val="bottom"/>
            <w:gridSpan w:val="2"/>
          </w:tcPr>
          <w:p>
            <w:pPr>
              <w:jc w:val="right"/>
              <w:ind w:right="3055"/>
              <w:spacing w:after="0"/>
              <w:rPr>
                <w:sz w:val="20"/>
                <w:szCs w:val="20"/>
                <w:color w:val="auto"/>
              </w:rPr>
            </w:pPr>
            <w:r>
              <w:rPr>
                <w:rFonts w:ascii="Arial" w:cs="Arial" w:eastAsia="Arial" w:hAnsi="Arial"/>
                <w:sz w:val="17"/>
                <w:szCs w:val="17"/>
                <w:color w:val="auto"/>
              </w:rPr>
              <w:t>F-10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At June 30, 2015 and December 31, 2014, the Company maintained restricted cash totaling approximately $314,000 held in the form of money market accounts as collateral for the Company's facility lease obligation and credit cards. The balance is included within deposits and other non-current assets in the accompanying balance sheets. At December 31, 2013, the Company had no restricted cash.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right="320" w:firstLine="341"/>
        <w:spacing w:after="0" w:line="322" w:lineRule="auto"/>
        <w:rPr>
          <w:sz w:val="20"/>
          <w:szCs w:val="20"/>
          <w:color w:val="auto"/>
        </w:rPr>
      </w:pPr>
      <w:r>
        <w:rPr>
          <w:rFonts w:ascii="Arial" w:cs="Arial" w:eastAsia="Arial" w:hAnsi="Arial"/>
          <w:sz w:val="15"/>
          <w:szCs w:val="15"/>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straight-line method.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jc w:val="both"/>
        <w:ind w:right="20" w:firstLine="338"/>
        <w:spacing w:after="0" w:line="287" w:lineRule="auto"/>
        <w:rPr>
          <w:sz w:val="20"/>
          <w:szCs w:val="20"/>
          <w:color w:val="auto"/>
        </w:rPr>
      </w:pPr>
      <w:r>
        <w:rPr>
          <w:rFonts w:ascii="Arial" w:cs="Arial" w:eastAsia="Arial" w:hAnsi="Arial"/>
          <w:sz w:val="16"/>
          <w:szCs w:val="16"/>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June 30, 2015.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Issuance Costs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Deferred issuance costs, which primarily consist of direct incremental legal and accounting fees relating to the Company's proposed initial public offering of common stock are capitalized as incurred. The deferred issuance costs will be offset against proceeds upon the consummation of the offering. In the event the offering is terminated, deferred issuance costs will be expensed. Approximately $982,000 of deferred issuance costs were incurred and capitalized as of June 30, 2015. No amounts were capitalized as of December 31, 2014 and 2013. Such costs are included within other non-current assets on the balance sheet.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ind w:right="380" w:firstLine="332"/>
        <w:spacing w:after="0" w:line="282" w:lineRule="auto"/>
        <w:rPr>
          <w:sz w:val="20"/>
          <w:szCs w:val="20"/>
          <w:color w:val="auto"/>
        </w:rPr>
      </w:pPr>
      <w:r>
        <w:rPr>
          <w:rFonts w:ascii="Arial" w:cs="Arial" w:eastAsia="Arial" w:hAnsi="Arial"/>
          <w:sz w:val="17"/>
          <w:szCs w:val="17"/>
          <w:color w:val="auto"/>
        </w:rPr>
        <w:t>As of June 30, 2015, all of the Company's revenue is generated exclusively from its collaboration agreement with Genzyme Corporation, a Sanofi company ("Genzyme").</w:t>
      </w:r>
    </w:p>
    <w:p>
      <w:pPr>
        <w:spacing w:after="0" w:line="170"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 xml:space="preserve">The Company recognizes revenue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Accordingly, revenue is recognized for each unit of accounting when all of the following criteria are met:</w:t>
      </w:r>
    </w:p>
    <w:p>
      <w:pPr>
        <w:spacing w:after="0" w:line="183" w:lineRule="exact"/>
        <w:rPr>
          <w:sz w:val="20"/>
          <w:szCs w:val="20"/>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ind w:left="180" w:hanging="175"/>
        <w:spacing w:after="0"/>
        <w:tabs>
          <w:tab w:leader="none" w:pos="18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w:t>
      </w:r>
    </w:p>
    <w:p>
      <w:pPr>
        <w:spacing w:after="0" w:line="241" w:lineRule="exact"/>
        <w:rPr>
          <w:rFonts w:ascii="Arial" w:cs="Arial" w:eastAsia="Arial" w:hAnsi="Arial"/>
          <w:sz w:val="17"/>
          <w:szCs w:val="17"/>
          <w:b w:val="1"/>
          <w:bCs w:val="1"/>
          <w:color w:val="auto"/>
        </w:rPr>
      </w:pPr>
    </w:p>
    <w:p>
      <w:pPr>
        <w:ind w:left="1060" w:hanging="531"/>
        <w:spacing w:after="0"/>
        <w:tabs>
          <w:tab w:leader="none" w:pos="10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seller's price to the buyer is fixed or determinable;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224" w:lineRule="exact"/>
        <w:rPr>
          <w:sz w:val="20"/>
          <w:szCs w:val="20"/>
          <w:color w:val="auto"/>
        </w:rPr>
      </w:pPr>
    </w:p>
    <w:p>
      <w:pPr>
        <w:ind w:right="40" w:firstLine="332"/>
        <w:spacing w:after="0" w:line="294"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balance sheet. Amounts expected to be recognized as revenue within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right="60" w:firstLine="338"/>
        <w:spacing w:after="0" w:line="297" w:lineRule="auto"/>
        <w:rPr>
          <w:sz w:val="20"/>
          <w:szCs w:val="20"/>
          <w:color w:val="auto"/>
        </w:rPr>
      </w:pPr>
      <w:r>
        <w:rPr>
          <w:rFonts w:ascii="Arial" w:cs="Arial" w:eastAsia="Arial" w:hAnsi="Arial"/>
          <w:sz w:val="15"/>
          <w:szCs w:val="15"/>
          <w:color w:val="auto"/>
        </w:rPr>
        <w:t xml:space="preserve">The Company analyzes the multiple element arrangements based on the guidance in ASC Topic 605-25, </w:t>
      </w:r>
      <w:r>
        <w:rPr>
          <w:rFonts w:ascii="Arial" w:cs="Arial" w:eastAsia="Arial" w:hAnsi="Arial"/>
          <w:sz w:val="15"/>
          <w:szCs w:val="15"/>
          <w:i w:val="1"/>
          <w:iCs w:val="1"/>
          <w:color w:val="auto"/>
        </w:rPr>
        <w:t>Revenue Recognition—Multiple Element Arrangements</w:t>
      </w:r>
      <w:r>
        <w:rPr>
          <w:rFonts w:ascii="Arial" w:cs="Arial" w:eastAsia="Arial" w:hAnsi="Arial"/>
          <w:sz w:val="15"/>
          <w:szCs w:val="15"/>
          <w:color w:val="auto"/>
        </w:rPr>
        <w:t xml:space="preserve"> ("ASC 605-25"). Pursuant to the guidance in ASC 605-25, the Company evaluates 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judgements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Company's collaboration agreement does not contain a general right of return relative to any delivered items.</w:t>
      </w:r>
    </w:p>
    <w:p>
      <w:pPr>
        <w:spacing w:after="0" w:line="169"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 are applied to each of the separate units of accounting in determining the appropriate period and pattern of recognition. The Company determines the selling price of a unit of accounting following the hierarchy of evidence prescribed by ASC 605-25. Accordingly, the Company determines the estimated selling price for units of accounting within each arrangement using vendor specific objective evidence ("VSOE") of selling price, if available, third party evidence ("TPE") of selling price if VSOE is not available, or best estimate of selling price ("BESP") if neither VSOE or TPE is available. The Company has only used BESP to estimate the selling price, since it has not had VSOE or TPE of selling price of any units of accounting to date. Determining BESP for a unit of accounting requires significant judgement. In developing the BESP for a unit of accounting, the Company considers applicable market conditions and relevant entity specific factors, including factors that were contemplated in negotiating the agreement with the customer and estimated costs. The Company validates BESP for units of accounting by evaluating whether changes in the key assumptions used to determine the BESP will have a significant effect on the allocation of arrangement consideration between multiple units of accounting.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80" w:firstLine="341"/>
        <w:spacing w:after="0" w:line="300" w:lineRule="auto"/>
        <w:rPr>
          <w:sz w:val="20"/>
          <w:szCs w:val="20"/>
          <w:color w:val="auto"/>
        </w:rPr>
      </w:pPr>
      <w:r>
        <w:rPr>
          <w:rFonts w:ascii="Arial" w:cs="Arial" w:eastAsia="Arial" w:hAnsi="Arial"/>
          <w:sz w:val="15"/>
          <w:szCs w:val="15"/>
          <w:color w:val="auto"/>
        </w:rPr>
        <w:t>Options are considered substantive if, at the inception of the arrangement, the Company is at risk as to whether the collaboration partner will choose to exercise the option. Factors that the Company considers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the Company does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the Company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163" w:lineRule="exact"/>
        <w:rPr>
          <w:sz w:val="20"/>
          <w:szCs w:val="20"/>
          <w:color w:val="auto"/>
        </w:rPr>
      </w:pPr>
    </w:p>
    <w:p>
      <w:pPr>
        <w:ind w:right="80" w:firstLine="338"/>
        <w:spacing w:after="0" w:line="281"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The Company will recognize revenue associated with license options upon exercise of the option, if the underlying license has standalone value from the other deliverables to be provided subsequent to delivery of the license. If the license does not have standalone value, the amounts allocated to the license option will be combined with the related undelivered items as a single unit of accounting. The amounts allocated to the license option in the Genzyme agreement will be deferred until the option is exercised. The revenue recognition upon option exercise will be determined based on whether the license has standalone value from the remaining deliverables under the arrangement at the time of exercise.</w:t>
      </w:r>
    </w:p>
    <w:p>
      <w:pPr>
        <w:spacing w:after="0" w:line="176" w:lineRule="exact"/>
        <w:rPr>
          <w:sz w:val="20"/>
          <w:szCs w:val="20"/>
          <w:color w:val="auto"/>
        </w:rPr>
      </w:pPr>
    </w:p>
    <w:p>
      <w:pPr>
        <w:ind w:right="180" w:firstLine="338"/>
        <w:spacing w:after="0" w:line="261" w:lineRule="auto"/>
        <w:rPr>
          <w:sz w:val="20"/>
          <w:szCs w:val="20"/>
          <w:color w:val="auto"/>
        </w:rPr>
      </w:pPr>
      <w:r>
        <w:rPr>
          <w:rFonts w:ascii="Arial" w:cs="Arial" w:eastAsia="Arial" w:hAnsi="Arial"/>
          <w:sz w:val="17"/>
          <w:szCs w:val="17"/>
          <w:color w:val="auto"/>
        </w:rPr>
        <w:t>The Company recognizes the amounts associated with research and development services, alliance joint steering committees and development advisory committees ratably over the associated period of performance. If there is no discernible pattern of performance and/or objectively measurable performance measures do not exist, then the Company recognizes revenue under the arrangement on a straight-line basis over the period the Company is expected to complete its performance obligations. Conversely, if the pattern of performance in which the service is provided to the customer can be determined and objectively measureable performance exist, then the Company recognizes revenue under the arrangement using the proportional performance method. Revenue recognized is limited to the lesser of the cumulative amount of payments received of the cumulative revenue earned determined using the straight line method or proportional performance, as applicable, as of the period end date.</w:t>
      </w:r>
    </w:p>
    <w:p>
      <w:pPr>
        <w:spacing w:after="0" w:line="190" w:lineRule="exact"/>
        <w:rPr>
          <w:sz w:val="20"/>
          <w:szCs w:val="20"/>
          <w:color w:val="auto"/>
        </w:rPr>
      </w:pPr>
    </w:p>
    <w:p>
      <w:pPr>
        <w:ind w:firstLine="332"/>
        <w:spacing w:after="0" w:line="306" w:lineRule="auto"/>
        <w:rPr>
          <w:sz w:val="20"/>
          <w:szCs w:val="20"/>
          <w:color w:val="auto"/>
        </w:rPr>
      </w:pPr>
      <w:r>
        <w:rPr>
          <w:rFonts w:ascii="Arial" w:cs="Arial" w:eastAsia="Arial" w:hAnsi="Arial"/>
          <w:sz w:val="15"/>
          <w:szCs w:val="15"/>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clinical, regulatory, commercial and other risks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 xml:space="preserve">that must be overcome to achieve the respective milestone and the level of effort and investment required to achieve the respective milestone in making this assessment. There is considerable judgement involved in determining whether a milestone satisfies all of the criteria required to conclude that a milestone is substantive. In accordance with ASC Topic 605-28,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("ASC 605-28") clinical and regulatory milestones that are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175" w:lineRule="exact"/>
        <w:rPr>
          <w:sz w:val="20"/>
          <w:szCs w:val="20"/>
          <w:color w:val="auto"/>
        </w:rPr>
      </w:pPr>
    </w:p>
    <w:p>
      <w:pPr>
        <w:ind w:right="320" w:firstLine="338"/>
        <w:spacing w:after="0" w:line="315" w:lineRule="auto"/>
        <w:rPr>
          <w:sz w:val="20"/>
          <w:szCs w:val="20"/>
          <w:color w:val="auto"/>
        </w:rPr>
      </w:pPr>
      <w:r>
        <w:rPr>
          <w:rFonts w:ascii="Arial" w:cs="Arial" w:eastAsia="Arial" w:hAnsi="Arial"/>
          <w:sz w:val="16"/>
          <w:szCs w:val="16"/>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46"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Company also considered the impact of potential future payments it makes in its role as a vendor to its customers or collaboration partners and evaluate if these potential future payments could be reductions of revenue from that customer. If the potential future payments to the customer are (i) a separately identifiable benefit and (ii) the fair value of the 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Research and development costs are charged to expense as incurred in performing research and development activities. The costs include employee compensation costs, external research, consultant costs, sponsored research, in-kind services provided under the Genzyme agreement, license fees, process development and facilities costs. Facilities costs primarily include the allocation of rent, utilities and depreciation.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224" w:lineRule="exact"/>
        <w:rPr>
          <w:sz w:val="20"/>
          <w:szCs w:val="20"/>
          <w:color w:val="auto"/>
        </w:rPr>
      </w:pPr>
    </w:p>
    <w:p>
      <w:pPr>
        <w:jc w:val="both"/>
        <w:ind w:right="440" w:firstLine="338"/>
        <w:spacing w:after="0" w:line="26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224" w:lineRule="exact"/>
        <w:rPr>
          <w:sz w:val="20"/>
          <w:szCs w:val="20"/>
          <w:color w:val="auto"/>
        </w:rPr>
      </w:pPr>
    </w:p>
    <w:p>
      <w:pPr>
        <w:ind w:right="1000" w:firstLine="338"/>
        <w:spacing w:after="0" w:line="282" w:lineRule="auto"/>
        <w:rPr>
          <w:sz w:val="20"/>
          <w:szCs w:val="20"/>
          <w:color w:val="auto"/>
        </w:rPr>
      </w:pPr>
      <w:r>
        <w:rPr>
          <w:rFonts w:ascii="Arial" w:cs="Arial" w:eastAsia="Arial" w:hAnsi="Arial"/>
          <w:sz w:val="17"/>
          <w:szCs w:val="17"/>
          <w:color w:val="auto"/>
        </w:rPr>
        <w:t>The Company expenses patent application and related legal costs as incurred and classifies such costs as general and administrative expenses in the accompanying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accounts for its stock-based compensation awards in accordance with ASC Topic 718 Compensation—Stock Compensation ("ASC 718"). ASC</w:t>
      </w:r>
    </w:p>
    <w:p>
      <w:pPr>
        <w:spacing w:after="0" w:line="43"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718 requires all stock-based payments to employees and directors, including grants of restricted stock and stock options, to be recognized as expense in the statements of operations based on their grant date fair values. Grants of restricted stock and stock options to other service providers, referred to as non-employees, are required to be recognized as expense in the statements of operations based on their vesting date fair values. The Company estimates the fair value of options granted using the Black-Scholes option pricing model. The Company uses the value of its common stock to determine the fair value of restricted stock awards.</w:t>
      </w:r>
    </w:p>
    <w:p>
      <w:pPr>
        <w:spacing w:after="0" w:line="154"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(a) the expected stock price volatility, (b) the calculation of expected term of the award, (c) the risk-free interest rate and (d) expected dividends. 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For options granted to non-employees, the Company utilizes the contractual term of the arrangement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81" w:lineRule="exact"/>
        <w:rPr>
          <w:sz w:val="20"/>
          <w:szCs w:val="20"/>
          <w:color w:val="auto"/>
        </w:rPr>
      </w:pPr>
    </w:p>
    <w:p>
      <w:pPr>
        <w:jc w:val="both"/>
        <w:ind w:right="200" w:firstLine="338"/>
        <w:spacing w:after="0" w:line="294" w:lineRule="auto"/>
        <w:rPr>
          <w:sz w:val="20"/>
          <w:szCs w:val="20"/>
          <w:color w:val="auto"/>
        </w:rPr>
      </w:pPr>
      <w:r>
        <w:rPr>
          <w:rFonts w:ascii="Arial" w:cs="Arial" w:eastAsia="Arial" w:hAnsi="Arial"/>
          <w:sz w:val="16"/>
          <w:szCs w:val="16"/>
          <w:color w:val="auto"/>
        </w:rPr>
        <w:t>The Company expenses the fair value of its stock-based compensation awards to employees on a straight-line basis over the associated service period, which is generally the period in which the related services are received. Stock-based compensation awards to non-employees are adjusted through stock-based compensation expense at each reporting period end to reflect the current fair value of such awards and are expensed on a straight-line basis.</w:t>
      </w:r>
    </w:p>
    <w:p>
      <w:pPr>
        <w:spacing w:after="0" w:line="163"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Company records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87"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recognized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2013 and December 31, 2014, the Company does not have any significant uncertain tax positions.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24"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Comprehensive loss is comprised of net loss and other comprehensive loss. Other comprehensive loss consists of unrealized gains and losses on marketable securities for the six months ending June 30, 2015. There was no other comprehensive loss for the period ending December 31, 2013, the year ended December 30, 2014 or the six months ended June 30, 2014.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w:t>
      </w:r>
    </w:p>
    <w:p>
      <w:pPr>
        <w:spacing w:after="0" w:line="185"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For purposes of the diluted net loss per share calculation, convertible preferred stock and unvested restricted common stock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400" w:type="dxa"/>
            <w:vAlign w:val="bottom"/>
          </w:tcPr>
          <w:p>
            <w:pPr>
              <w:spacing w:after="0"/>
              <w:rPr>
                <w:sz w:val="13"/>
                <w:szCs w:val="13"/>
                <w:color w:val="auto"/>
              </w:rPr>
            </w:pPr>
          </w:p>
        </w:tc>
        <w:tc>
          <w:tcPr>
            <w:tcW w:w="1640" w:type="dxa"/>
            <w:vAlign w:val="bottom"/>
            <w:gridSpan w:val="4"/>
          </w:tcPr>
          <w:p>
            <w:pPr>
              <w:ind w:left="200"/>
              <w:spacing w:after="0"/>
              <w:rPr>
                <w:sz w:val="20"/>
                <w:szCs w:val="20"/>
                <w:color w:val="auto"/>
              </w:rPr>
            </w:pPr>
            <w:r>
              <w:rPr>
                <w:rFonts w:ascii="Arial" w:cs="Arial" w:eastAsia="Arial" w:hAnsi="Arial"/>
                <w:sz w:val="13"/>
                <w:szCs w:val="13"/>
                <w:b w:val="1"/>
                <w:bCs w:val="1"/>
                <w:color w:val="auto"/>
              </w:rPr>
              <w:t>As of December 31,</w:t>
            </w:r>
          </w:p>
        </w:tc>
        <w:tc>
          <w:tcPr>
            <w:tcW w:w="20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r>
      <w:tr>
        <w:trPr>
          <w:trHeight w:val="137"/>
        </w:trPr>
        <w:tc>
          <w:tcPr>
            <w:tcW w:w="5400" w:type="dxa"/>
            <w:vAlign w:val="bottom"/>
          </w:tcPr>
          <w:p>
            <w:pPr>
              <w:spacing w:after="0"/>
              <w:rPr>
                <w:sz w:val="11"/>
                <w:szCs w:val="11"/>
                <w:color w:val="auto"/>
              </w:rPr>
            </w:pPr>
          </w:p>
        </w:tc>
        <w:tc>
          <w:tcPr>
            <w:tcW w:w="42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22"/>
              <w:spacing w:after="0" w:line="138"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r>
      <w:tr>
        <w:trPr>
          <w:trHeight w:val="137"/>
        </w:trPr>
        <w:tc>
          <w:tcPr>
            <w:tcW w:w="5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gridSpan w:val="4"/>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redeemable convertible preferred stock</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5,882,352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2,941,176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10,588,235</w:t>
            </w:r>
          </w:p>
        </w:tc>
      </w:tr>
      <w:tr>
        <w:trPr>
          <w:trHeight w:val="210"/>
        </w:trPr>
        <w:tc>
          <w:tcPr>
            <w:tcW w:w="5400" w:type="dxa"/>
            <w:vAlign w:val="bottom"/>
          </w:tcPr>
          <w:p>
            <w:pPr>
              <w:ind w:left="20"/>
              <w:spacing w:after="0"/>
              <w:rPr>
                <w:sz w:val="20"/>
                <w:szCs w:val="20"/>
                <w:color w:val="auto"/>
              </w:rPr>
            </w:pPr>
            <w:r>
              <w:rPr>
                <w:rFonts w:ascii="Arial" w:cs="Arial" w:eastAsia="Arial" w:hAnsi="Arial"/>
                <w:sz w:val="17"/>
                <w:szCs w:val="17"/>
                <w:color w:val="auto"/>
              </w:rPr>
              <w:t>Series B redeemable convertible preferred stock</w:t>
            </w:r>
          </w:p>
        </w:tc>
        <w:tc>
          <w:tcPr>
            <w:tcW w:w="5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7,058,819</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restricted common stock</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2,578,817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1,588,732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2,160,342</w:t>
            </w:r>
          </w:p>
        </w:tc>
      </w:tr>
      <w:tr>
        <w:trPr>
          <w:trHeight w:val="210"/>
        </w:trPr>
        <w:tc>
          <w:tcPr>
            <w:tcW w:w="5400" w:type="dxa"/>
            <w:vAlign w:val="bottom"/>
          </w:tcPr>
          <w:p>
            <w:pPr>
              <w:ind w:left="20"/>
              <w:spacing w:after="0"/>
              <w:rPr>
                <w:sz w:val="20"/>
                <w:szCs w:val="20"/>
                <w:color w:val="auto"/>
              </w:rPr>
            </w:pPr>
            <w:r>
              <w:rPr>
                <w:rFonts w:ascii="Arial" w:cs="Arial" w:eastAsia="Arial" w:hAnsi="Arial"/>
                <w:sz w:val="17"/>
                <w:szCs w:val="17"/>
                <w:color w:val="auto"/>
              </w:rPr>
              <w:t>Outstanding stock options</w:t>
            </w:r>
          </w:p>
        </w:tc>
        <w:tc>
          <w:tcPr>
            <w:tcW w:w="5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339,035</w:t>
            </w:r>
          </w:p>
        </w:tc>
      </w:tr>
      <w:tr>
        <w:trPr>
          <w:trHeight w:val="20"/>
        </w:trPr>
        <w:tc>
          <w:tcPr>
            <w:tcW w:w="5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8,461,169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4,529,908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20,146,431</w:t>
            </w:r>
          </w:p>
        </w:tc>
      </w:tr>
      <w:tr>
        <w:trPr>
          <w:trHeight w:val="20"/>
        </w:trPr>
        <w:tc>
          <w:tcPr>
            <w:tcW w:w="5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In addition to the potentially dilutive securities noted above, as of December 31, 2013, the Company had $2,927,000 of outstanding convertible notes payable that were contingently convertible into redeemable convertible preferred stock, at the option of the holder, upon the occurrence of future financing events at prices that were not determinable until the occurrence of those future events. In January 2014, in connection with the initial issuance of preferred stock, the Company exchanged these notes and additional interest accrued during 2014 into 2,928,827 shares of Series A redeemable convertible preferred stock ("Series A Preferred Stock").</w:t>
      </w:r>
    </w:p>
    <w:p>
      <w:pPr>
        <w:spacing w:after="0" w:line="155" w:lineRule="exact"/>
        <w:rPr>
          <w:sz w:val="20"/>
          <w:szCs w:val="20"/>
          <w:color w:val="auto"/>
        </w:rPr>
      </w:pPr>
    </w:p>
    <w:p>
      <w:pPr>
        <w:ind w:right="80" w:firstLine="338"/>
        <w:spacing w:after="0" w:line="311" w:lineRule="auto"/>
        <w:rPr>
          <w:sz w:val="20"/>
          <w:szCs w:val="20"/>
          <w:color w:val="auto"/>
        </w:rPr>
      </w:pPr>
      <w:r>
        <w:rPr>
          <w:rFonts w:ascii="Arial" w:cs="Arial" w:eastAsia="Arial" w:hAnsi="Arial"/>
          <w:sz w:val="15"/>
          <w:szCs w:val="15"/>
          <w:color w:val="auto"/>
        </w:rPr>
        <w:t>The Company's redeemable convertible preferred stock is entitled to receive dividends based on dividends declared to common stockholders, thereby giving the preferred stockholders the right to participate in undistributed earnings of the Company above the stated dividend rate. However, preferred stockholders do not have a contractual obligation to share in the losses of the Company. As of December 31, 2014 and all prior periods reported, the Company has been in a net loss position; therefore, the Company's accounting for basic and diluted earnings per share was unaffected by the participation rights of the preferred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 forma net loss per share</w:t>
      </w:r>
    </w:p>
    <w:p>
      <w:pPr>
        <w:spacing w:after="0" w:line="224" w:lineRule="exact"/>
        <w:rPr>
          <w:sz w:val="20"/>
          <w:szCs w:val="20"/>
          <w:color w:val="auto"/>
        </w:rPr>
      </w:pPr>
    </w:p>
    <w:p>
      <w:pPr>
        <w:ind w:right="260" w:firstLine="338"/>
        <w:spacing w:after="0" w:line="263" w:lineRule="auto"/>
        <w:rPr>
          <w:sz w:val="20"/>
          <w:szCs w:val="20"/>
          <w:color w:val="auto"/>
        </w:rPr>
      </w:pPr>
      <w:r>
        <w:rPr>
          <w:rFonts w:ascii="Arial" w:cs="Arial" w:eastAsia="Arial" w:hAnsi="Arial"/>
          <w:sz w:val="17"/>
          <w:szCs w:val="17"/>
          <w:color w:val="auto"/>
        </w:rPr>
        <w:t>The unaudited pro forma net loss attributable to common stockholders used in the calculation of unaudited basic and diluted pro forma net loss per share attributable to common stockholders does not include the effects of the accretion of issuance costs, discounts, and accruing dividends on redeemable convertible preferred stock because it assumes that the conversion of redeemable convertible preferred stock into common stock occurred on the later of January 1, 2014 or the issuance date of the redeemable convertible preferred stock for the year ended December 31, 2014, and on the later of January 1, 2015 or the issuance date of the redeemable convertible preferred stock for the six months ended June 30,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our unaudited pro forma net loss per share attributable to common stockholders (in thousands, except share and per share data):</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44"/>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June 30,</w:t>
            </w:r>
          </w:p>
        </w:tc>
      </w:tr>
      <w:tr>
        <w:trPr>
          <w:trHeight w:val="157"/>
        </w:trPr>
        <w:tc>
          <w:tcPr>
            <w:tcW w:w="6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2014</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9"/>
              </w:rPr>
              <w:t>2015</w:t>
            </w:r>
          </w:p>
        </w:tc>
        <w:tc>
          <w:tcPr>
            <w:tcW w:w="140" w:type="dxa"/>
            <w:vAlign w:val="bottom"/>
          </w:tcPr>
          <w:p>
            <w:pPr>
              <w:spacing w:after="0"/>
              <w:rPr>
                <w:sz w:val="13"/>
                <w:szCs w:val="13"/>
                <w:color w:val="auto"/>
              </w:rPr>
            </w:pPr>
          </w:p>
        </w:tc>
      </w:tr>
      <w:tr>
        <w:trPr>
          <w:trHeight w:val="137"/>
        </w:trPr>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42"/>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1"/>
                <w:szCs w:val="11"/>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(17,683)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(22,559)</w:t>
            </w:r>
          </w:p>
        </w:tc>
      </w:tr>
      <w:tr>
        <w:trPr>
          <w:trHeight w:val="210"/>
        </w:trPr>
        <w:tc>
          <w:tcPr>
            <w:tcW w:w="6900" w:type="dxa"/>
            <w:vAlign w:val="bottom"/>
          </w:tcPr>
          <w:p>
            <w:pPr>
              <w:ind w:left="20"/>
              <w:spacing w:after="0"/>
              <w:rPr>
                <w:sz w:val="20"/>
                <w:szCs w:val="20"/>
                <w:color w:val="auto"/>
              </w:rPr>
            </w:pPr>
            <w:r>
              <w:rPr>
                <w:rFonts w:ascii="Arial" w:cs="Arial" w:eastAsia="Arial" w:hAnsi="Arial"/>
                <w:sz w:val="17"/>
                <w:szCs w:val="17"/>
                <w:color w:val="auto"/>
              </w:rPr>
              <w:t>Add: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fair value of preferred stock tranche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9,750</w:t>
            </w:r>
          </w:p>
        </w:tc>
      </w:tr>
      <w:tr>
        <w:trPr>
          <w:trHeight w:val="210"/>
        </w:trPr>
        <w:tc>
          <w:tcPr>
            <w:tcW w:w="6900" w:type="dxa"/>
            <w:vAlign w:val="bottom"/>
          </w:tcPr>
          <w:p>
            <w:pPr>
              <w:ind w:left="180"/>
              <w:spacing w:after="0"/>
              <w:rPr>
                <w:sz w:val="20"/>
                <w:szCs w:val="20"/>
                <w:color w:val="auto"/>
              </w:rPr>
            </w:pPr>
            <w:r>
              <w:rPr>
                <w:rFonts w:ascii="Arial" w:cs="Arial" w:eastAsia="Arial" w:hAnsi="Arial"/>
                <w:sz w:val="17"/>
                <w:szCs w:val="17"/>
                <w:color w:val="auto"/>
              </w:rPr>
              <w:t>Accretion of preferred stock to redemption value</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1,366</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3,451</w:t>
            </w:r>
          </w:p>
        </w:tc>
      </w:tr>
      <w:tr>
        <w:trPr>
          <w:trHeight w:val="21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dividends on Series A Preferred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636</w:t>
            </w:r>
          </w:p>
        </w:tc>
      </w:tr>
      <w:tr>
        <w:trPr>
          <w:trHeight w:val="203"/>
        </w:trPr>
        <w:tc>
          <w:tcPr>
            <w:tcW w:w="6900" w:type="dxa"/>
            <w:vAlign w:val="bottom"/>
          </w:tcPr>
          <w:p>
            <w:pPr>
              <w:ind w:left="20"/>
              <w:spacing w:after="0"/>
              <w:rPr>
                <w:sz w:val="20"/>
                <w:szCs w:val="20"/>
                <w:color w:val="auto"/>
              </w:rPr>
            </w:pPr>
            <w:r>
              <w:rPr>
                <w:rFonts w:ascii="Arial" w:cs="Arial" w:eastAsia="Arial" w:hAnsi="Arial"/>
                <w:sz w:val="17"/>
                <w:szCs w:val="17"/>
                <w:color w:val="auto"/>
              </w:rPr>
              <w:t>Pro forma 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(14,368)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(8,722)</w:t>
            </w:r>
          </w:p>
        </w:tc>
        <w:tc>
          <w:tcPr>
            <w:tcW w:w="14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69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 average number of common shares outstanding, basic and diluted</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635,448</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1,083,112</w:t>
            </w:r>
          </w:p>
        </w:tc>
      </w:tr>
      <w:tr>
        <w:trPr>
          <w:trHeight w:val="210"/>
        </w:trPr>
        <w:tc>
          <w:tcPr>
            <w:tcW w:w="6900" w:type="dxa"/>
            <w:vAlign w:val="bottom"/>
          </w:tcPr>
          <w:p>
            <w:pPr>
              <w:ind w:left="20"/>
              <w:spacing w:after="0"/>
              <w:rPr>
                <w:sz w:val="20"/>
                <w:szCs w:val="20"/>
                <w:color w:val="auto"/>
              </w:rPr>
            </w:pPr>
            <w:r>
              <w:rPr>
                <w:rFonts w:ascii="Arial" w:cs="Arial" w:eastAsia="Arial" w:hAnsi="Arial"/>
                <w:sz w:val="17"/>
                <w:szCs w:val="17"/>
                <w:color w:val="auto"/>
              </w:rPr>
              <w:t>Add: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 forma adjustments to reflect assumed conversion of preferred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3,199,355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13,630,159</w:t>
            </w:r>
          </w:p>
        </w:tc>
      </w:tr>
      <w:tr>
        <w:trPr>
          <w:trHeight w:val="194"/>
        </w:trPr>
        <w:tc>
          <w:tcPr>
            <w:tcW w:w="6900" w:type="dxa"/>
            <w:vAlign w:val="bottom"/>
          </w:tcPr>
          <w:p>
            <w:pPr>
              <w:ind w:left="180"/>
              <w:spacing w:after="0" w:line="194" w:lineRule="exact"/>
              <w:rPr>
                <w:sz w:val="20"/>
                <w:szCs w:val="20"/>
                <w:color w:val="auto"/>
              </w:rPr>
            </w:pPr>
            <w:r>
              <w:rPr>
                <w:rFonts w:ascii="Arial" w:cs="Arial" w:eastAsia="Arial" w:hAnsi="Arial"/>
                <w:sz w:val="17"/>
                <w:szCs w:val="17"/>
                <w:color w:val="auto"/>
                <w:w w:val="91"/>
              </w:rPr>
              <w:t>Shares used to compute pro forma net loss per share attributable to common stockholders, basic</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6900" w:type="dxa"/>
            <w:vAlign w:val="bottom"/>
          </w:tcPr>
          <w:p>
            <w:pPr>
              <w:ind w:left="360"/>
              <w:spacing w:after="0"/>
              <w:rPr>
                <w:sz w:val="20"/>
                <w:szCs w:val="20"/>
                <w:color w:val="auto"/>
              </w:rPr>
            </w:pPr>
            <w:r>
              <w:rPr>
                <w:rFonts w:ascii="Arial" w:cs="Arial" w:eastAsia="Arial" w:hAnsi="Arial"/>
                <w:sz w:val="17"/>
                <w:szCs w:val="17"/>
                <w:color w:val="auto"/>
              </w:rPr>
              <w:t>and diluted</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3,834,803</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14,713,271</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900" w:type="dxa"/>
            <w:vAlign w:val="bottom"/>
            <w:shd w:val="clear" w:color="auto" w:fill="CCEEFF"/>
          </w:tcPr>
          <w:p>
            <w:pPr>
              <w:ind w:left="180"/>
              <w:spacing w:after="0" w:line="190" w:lineRule="exact"/>
              <w:rPr>
                <w:sz w:val="20"/>
                <w:szCs w:val="20"/>
                <w:color w:val="auto"/>
              </w:rPr>
            </w:pPr>
            <w:r>
              <w:rPr>
                <w:rFonts w:ascii="Arial" w:cs="Arial" w:eastAsia="Arial" w:hAnsi="Arial"/>
                <w:sz w:val="17"/>
                <w:szCs w:val="17"/>
                <w:color w:val="auto"/>
              </w:rPr>
              <w:t>Pro forma basic and diluted net loss per share attributable to common stockholders</w:t>
            </w:r>
          </w:p>
        </w:tc>
        <w:tc>
          <w:tcPr>
            <w:tcW w:w="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7"/>
                <w:szCs w:val="17"/>
                <w:color w:val="auto"/>
              </w:rPr>
              <w:t>(3.75)</w:t>
            </w:r>
          </w:p>
        </w:tc>
        <w:tc>
          <w:tcPr>
            <w:tcW w:w="1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7"/>
                <w:szCs w:val="17"/>
                <w:color w:val="auto"/>
              </w:rPr>
              <w:t>(0.59)</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Company has no financial instruments with off-balance sheet risk such as foreign exchange contracts, option contracts or other foreign hedging arrangements. Financial instruments that potentially subject the Company to a concentration of credit risk are cash and cash equivalents. The Company's cash is held in accounts at a financial institution that may exceed federally insured limits. The Company has not experienced any credit losses in such accounts and does not believe it is exposed to any significant credit risk on these funds.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suppliers</w:t>
      </w:r>
    </w:p>
    <w:p>
      <w:pPr>
        <w:spacing w:after="0" w:line="224" w:lineRule="exact"/>
        <w:rPr>
          <w:sz w:val="20"/>
          <w:szCs w:val="20"/>
          <w:color w:val="auto"/>
        </w:rPr>
      </w:pPr>
    </w:p>
    <w:p>
      <w:pPr>
        <w:ind w:right="60" w:firstLine="338"/>
        <w:spacing w:after="0" w:line="352" w:lineRule="auto"/>
        <w:rPr>
          <w:sz w:val="20"/>
          <w:szCs w:val="20"/>
          <w:color w:val="auto"/>
        </w:rPr>
      </w:pPr>
      <w:r>
        <w:rPr>
          <w:rFonts w:ascii="Arial" w:cs="Arial" w:eastAsia="Arial" w:hAnsi="Arial"/>
          <w:sz w:val="15"/>
          <w:szCs w:val="15"/>
          <w:color w:val="auto"/>
        </w:rPr>
        <w:t>The Company is dependent on a third-party manufacturer to supply certain products for research and development activities in its programs. In particular, the Company relies and expects to continue to rely on a sole manufacturer to supply it with specific vectors related to the Company's research and development programs.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business as a single operating segment, which is the business of developing and commercializing gene therapies.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amends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by outlining a single comprehensive model for entities to use in accounting for revenue arising from contracts with customers. ASU 2014-09</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effective for the Company for interim and annual periods beginning after December 15, 2017. The Company is evaluating the impact that this ASU may have on its financial statements, if any.</w:t>
      </w:r>
    </w:p>
    <w:p>
      <w:pPr>
        <w:spacing w:after="0" w:line="18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In June 2014, the FASB issued ASU No. 2014-10, which eliminates the concept of a development stage entity, or DSE, in its entirety from GAAP. Under existing guidance, DSEs are required to report incremental information, including inception-to-date financial information, in their financial statements. A DSE is an entity devoting substantially all of its efforts to establishing a new business and for which either planned principal operations have not yet commenced or have commenced but there has been no significant revenues generated from that business. Entities classified as DSEs will no longer be subject to these incremental reporting requirement. ASU No. 2014-10 is effective for fiscal years beginning after December 15, 2014, with early adoption permitted. Prior to the issuance of ASU No. 2014-10, the Company had met the definition of a DSE since its inception. The Company elected to early adopt the provisions of ASU 2014-10 in these financial statements.</w:t>
      </w:r>
    </w:p>
    <w:p>
      <w:pPr>
        <w:spacing w:after="0" w:line="162"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In August 2014, the FASB issued ASU No. 2014-15, which requires management to assess an entity's ability to continue as a going concern every reporting period, and provide certain disclosures if management has substantial doubt about the entity's ability to operate as a going concern, or an express statement if not, by incorporating and expanding upon certain principles that are currently in U.S. auditing standards. This guidance is effective for the annual period ending after December 15, 2016, and for annual periods and interim periods thereafter. Early application is permitted. The Company is in process of evaluating this guidance and determining the expected effect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Assets and liabilities measured at fair value on a recurring basis as of December 31, 2014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Quoted Prices</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in Active</w:t>
            </w: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2100" w:type="dxa"/>
            <w:vAlign w:val="bottom"/>
            <w:gridSpan w:val="3"/>
          </w:tcPr>
          <w:p>
            <w:pPr>
              <w:jc w:val="center"/>
              <w:ind w:right="1420"/>
              <w:spacing w:after="0" w:line="144" w:lineRule="exact"/>
              <w:rPr>
                <w:sz w:val="20"/>
                <w:szCs w:val="20"/>
                <w:color w:val="auto"/>
              </w:rPr>
            </w:pPr>
            <w:r>
              <w:rPr>
                <w:rFonts w:ascii="Arial" w:cs="Arial" w:eastAsia="Arial" w:hAnsi="Arial"/>
                <w:sz w:val="13"/>
                <w:szCs w:val="13"/>
                <w:b w:val="1"/>
                <w:bCs w:val="1"/>
                <w:color w:val="auto"/>
                <w:w w:val="90"/>
              </w:rPr>
              <w:t>Significant</w:t>
            </w:r>
          </w:p>
        </w:tc>
      </w:tr>
      <w:tr>
        <w:trPr>
          <w:trHeight w:val="144"/>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Markets for</w:t>
            </w: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Observable</w:t>
            </w:r>
          </w:p>
        </w:tc>
        <w:tc>
          <w:tcPr>
            <w:tcW w:w="224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90"/>
              </w:rPr>
              <w:t>Unobservable</w:t>
            </w:r>
          </w:p>
        </w:tc>
      </w:tr>
      <w:tr>
        <w:trPr>
          <w:trHeight w:val="144"/>
        </w:trPr>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Identical Assets</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2"/>
                <w:szCs w:val="12"/>
                <w:color w:val="auto"/>
              </w:rPr>
            </w:pPr>
          </w:p>
        </w:tc>
        <w:tc>
          <w:tcPr>
            <w:tcW w:w="2100" w:type="dxa"/>
            <w:vAlign w:val="bottom"/>
            <w:gridSpan w:val="3"/>
          </w:tcPr>
          <w:p>
            <w:pPr>
              <w:jc w:val="center"/>
              <w:ind w:right="1420"/>
              <w:spacing w:after="0" w:line="144" w:lineRule="exact"/>
              <w:rPr>
                <w:sz w:val="20"/>
                <w:szCs w:val="20"/>
                <w:color w:val="auto"/>
              </w:rPr>
            </w:pPr>
            <w:r>
              <w:rPr>
                <w:rFonts w:ascii="Arial" w:cs="Arial" w:eastAsia="Arial" w:hAnsi="Arial"/>
                <w:sz w:val="13"/>
                <w:szCs w:val="13"/>
                <w:b w:val="1"/>
                <w:bCs w:val="1"/>
                <w:color w:val="auto"/>
                <w:w w:val="92"/>
              </w:rPr>
              <w:t>Inputs</w:t>
            </w:r>
          </w:p>
        </w:tc>
      </w:tr>
      <w:tr>
        <w:trPr>
          <w:trHeight w:val="157"/>
        </w:trPr>
        <w:tc>
          <w:tcPr>
            <w:tcW w:w="1140" w:type="dxa"/>
            <w:vAlign w:val="bottom"/>
          </w:tcPr>
          <w:p>
            <w:pPr>
              <w:spacing w:after="0"/>
              <w:rPr>
                <w:sz w:val="13"/>
                <w:szCs w:val="13"/>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Liabilities</w:t>
            </w:r>
          </w:p>
        </w:tc>
        <w:tc>
          <w:tcPr>
            <w:tcW w:w="3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0"/>
              </w:rPr>
              <w:t>(Level 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4"/>
              </w:rPr>
              <w:t>(Level 3)</w:t>
            </w:r>
          </w:p>
        </w:tc>
        <w:tc>
          <w:tcPr>
            <w:tcW w:w="1300" w:type="dxa"/>
            <w:vAlign w:val="bottom"/>
            <w:gridSpan w:val="2"/>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Convertible preferred stock tranche liability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6,305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6,305</w:t>
            </w:r>
          </w:p>
        </w:tc>
        <w:tc>
          <w:tcPr>
            <w:tcW w:w="116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1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84"/>
              </w:rPr>
              <w:t>6,305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6,305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7"/>
                <w:szCs w:val="17"/>
                <w:color w:val="auto"/>
              </w:rPr>
              <w:t>F-19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Company estimates the fair value of the Series A Preferred Stock tranche liability at the time of issuance and subsequently remeasures it using a probability-weighted present value model that considers the probability of closing a tranche (67%), the estimated future value of Series A Preferred Stock at closing ($1.51), and the investment required ($20.0 million) at closing. Future values are converted to present value using a discount rate (16.2%) appropriate for probability-adjusted cash flows. The estimates are based, in part, on subjective assumptions. Changes to these assumptions as well as the Company's stock value on the reporting date can have a significant impact on the fair value of the convertible preferred stock tranche liability.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all assets and liabilities measured at fair value using Level 3 significant unobservable inputs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tcPr>
          <w:p>
            <w:pPr>
              <w:jc w:val="right"/>
              <w:ind w:right="94"/>
              <w:spacing w:after="0"/>
              <w:rPr>
                <w:sz w:val="20"/>
                <w:szCs w:val="20"/>
                <w:color w:val="auto"/>
              </w:rPr>
            </w:pPr>
            <w:r>
              <w:rPr>
                <w:rFonts w:ascii="Arial" w:cs="Arial" w:eastAsia="Arial" w:hAnsi="Arial"/>
                <w:sz w:val="13"/>
                <w:szCs w:val="13"/>
                <w:b w:val="1"/>
                <w:bCs w:val="1"/>
                <w:color w:val="auto"/>
                <w:w w:val="97"/>
              </w:rPr>
              <w:t>Preferred Stock</w:t>
            </w:r>
          </w:p>
        </w:tc>
        <w:tc>
          <w:tcPr>
            <w:tcW w:w="80" w:type="dxa"/>
            <w:vAlign w:val="bottom"/>
          </w:tcPr>
          <w:p>
            <w:pPr>
              <w:spacing w:after="0"/>
              <w:rPr>
                <w:sz w:val="13"/>
                <w:szCs w:val="13"/>
                <w:color w:val="auto"/>
              </w:rPr>
            </w:pPr>
          </w:p>
        </w:tc>
        <w:tc>
          <w:tcPr>
            <w:tcW w:w="1500" w:type="dxa"/>
            <w:vAlign w:val="bottom"/>
            <w:gridSpan w:val="6"/>
          </w:tcPr>
          <w:p>
            <w:pPr>
              <w:ind w:left="120"/>
              <w:spacing w:after="0"/>
              <w:rPr>
                <w:sz w:val="20"/>
                <w:szCs w:val="20"/>
                <w:color w:val="auto"/>
              </w:rPr>
            </w:pPr>
            <w:r>
              <w:rPr>
                <w:rFonts w:ascii="Arial" w:cs="Arial" w:eastAsia="Arial" w:hAnsi="Arial"/>
                <w:sz w:val="13"/>
                <w:szCs w:val="13"/>
                <w:b w:val="1"/>
                <w:bCs w:val="1"/>
                <w:color w:val="auto"/>
              </w:rPr>
              <w:t>Preferred 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3"/>
                <w:szCs w:val="13"/>
                <w:b w:val="1"/>
                <w:bCs w:val="1"/>
                <w:color w:val="auto"/>
              </w:rPr>
              <w:t>Tranche Asset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Tranche Liability</w:t>
            </w:r>
          </w:p>
        </w:tc>
        <w:tc>
          <w:tcPr>
            <w:tcW w:w="3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2013</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732"/>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2"/>
              </w:rPr>
              <w:t>—</w:t>
            </w:r>
          </w:p>
        </w:tc>
        <w:tc>
          <w:tcPr>
            <w:tcW w:w="680" w:type="dxa"/>
            <w:vAlign w:val="bottom"/>
            <w:gridSpan w:val="2"/>
            <w:shd w:val="clear" w:color="auto" w:fill="CCEEFF"/>
          </w:tcPr>
          <w:p>
            <w:pPr>
              <w:jc w:val="right"/>
              <w:ind w:right="44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Issuance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7"/>
                <w:szCs w:val="17"/>
                <w:color w:val="auto"/>
              </w:rPr>
              <w:t>1,495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98"/>
              </w:rPr>
              <w:t>4,095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fair value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2,210</w:t>
            </w:r>
          </w:p>
        </w:tc>
        <w:tc>
          <w:tcPr>
            <w:tcW w:w="16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Reclassification to Series A Preferred Stock</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(1,756)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2014</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732"/>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2"/>
              </w:rPr>
              <w:t>—</w:t>
            </w:r>
          </w:p>
        </w:tc>
        <w:tc>
          <w:tcPr>
            <w:tcW w:w="680" w:type="dxa"/>
            <w:vAlign w:val="bottom"/>
            <w:gridSpan w:val="2"/>
            <w:shd w:val="clear" w:color="auto" w:fill="CCEEFF"/>
          </w:tcPr>
          <w:p>
            <w:pPr>
              <w:jc w:val="right"/>
              <w:ind w:right="44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6,305</w:t>
            </w:r>
          </w:p>
        </w:tc>
        <w:tc>
          <w:tcPr>
            <w:tcW w:w="16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Changes in fair value (unaudited)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14"/>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w w:val="98"/>
              </w:rPr>
              <w:t>9,750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Reclassification to Series A Preferred Stock (unaudited)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2"/>
              </w:rPr>
              <w:t>—</w:t>
            </w:r>
          </w:p>
        </w:tc>
        <w:tc>
          <w:tcPr>
            <w:tcW w:w="136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(16,055)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00" w:type="dxa"/>
            <w:vAlign w:val="bottom"/>
            <w:gridSpan w:val="2"/>
          </w:tcPr>
          <w:p>
            <w:pPr>
              <w:ind w:left="180"/>
              <w:spacing w:after="0"/>
              <w:rPr>
                <w:sz w:val="20"/>
                <w:szCs w:val="20"/>
                <w:color w:val="auto"/>
              </w:rPr>
            </w:pPr>
            <w:r>
              <w:rPr>
                <w:rFonts w:ascii="Arial" w:cs="Arial" w:eastAsia="Arial" w:hAnsi="Arial"/>
                <w:sz w:val="17"/>
                <w:szCs w:val="17"/>
                <w:color w:val="auto"/>
              </w:rPr>
              <w:t>Balance at June 30, 2015 (unaudited)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760" w:type="dxa"/>
            <w:vAlign w:val="bottom"/>
            <w:gridSpan w:val="12"/>
          </w:tcPr>
          <w:p>
            <w:pPr>
              <w:jc w:val="right"/>
              <w:spacing w:after="0"/>
              <w:rPr>
                <w:sz w:val="20"/>
                <w:szCs w:val="20"/>
                <w:color w:val="auto"/>
              </w:rPr>
            </w:pPr>
            <w:r>
              <w:rPr>
                <w:rFonts w:ascii="Arial" w:cs="Arial" w:eastAsia="Arial" w:hAnsi="Arial"/>
                <w:sz w:val="17"/>
                <w:szCs w:val="17"/>
                <w:color w:val="auto"/>
                <w:w w:val="90"/>
              </w:rPr>
              <w:t>Assets and liabilities measured at fair value on a recurring basis as of June 30, 2015 are as follows (in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Quoted Prices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Significant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in 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2"/>
                <w:szCs w:val="12"/>
                <w:color w:val="auto"/>
              </w:rPr>
            </w:pPr>
          </w:p>
        </w:tc>
        <w:tc>
          <w:tcPr>
            <w:tcW w:w="108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2"/>
                <w:szCs w:val="12"/>
                <w:color w:val="auto"/>
              </w:rPr>
            </w:pPr>
          </w:p>
        </w:tc>
        <w:tc>
          <w:tcPr>
            <w:tcW w:w="84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Observable</w:t>
            </w:r>
          </w:p>
        </w:tc>
        <w:tc>
          <w:tcPr>
            <w:tcW w:w="80" w:type="dxa"/>
            <w:vAlign w:val="bottom"/>
          </w:tcPr>
          <w:p>
            <w:pPr>
              <w:spacing w:after="0"/>
              <w:rPr>
                <w:sz w:val="12"/>
                <w:szCs w:val="12"/>
                <w:color w:val="auto"/>
              </w:rPr>
            </w:pPr>
          </w:p>
        </w:tc>
        <w:tc>
          <w:tcPr>
            <w:tcW w:w="1080" w:type="dxa"/>
            <w:vAlign w:val="bottom"/>
            <w:gridSpan w:val="5"/>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980" w:type="dxa"/>
            <w:vAlign w:val="bottom"/>
            <w:gridSpan w:val="4"/>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Inputs</w:t>
            </w:r>
          </w:p>
        </w:tc>
        <w:tc>
          <w:tcPr>
            <w:tcW w:w="80" w:type="dxa"/>
            <w:vAlign w:val="bottom"/>
          </w:tcPr>
          <w:p>
            <w:pPr>
              <w:spacing w:after="0"/>
              <w:rPr>
                <w:sz w:val="12"/>
                <w:szCs w:val="12"/>
                <w:color w:val="auto"/>
              </w:rPr>
            </w:pPr>
          </w:p>
        </w:tc>
        <w:tc>
          <w:tcPr>
            <w:tcW w:w="740" w:type="dxa"/>
            <w:vAlign w:val="bottom"/>
            <w:gridSpan w:val="3"/>
          </w:tcPr>
          <w:p>
            <w:pPr>
              <w:jc w:val="center"/>
              <w:ind w:left="146"/>
              <w:spacing w:after="0" w:line="144" w:lineRule="exact"/>
              <w:rPr>
                <w:sz w:val="20"/>
                <w:szCs w:val="20"/>
                <w:color w:val="auto"/>
              </w:rPr>
            </w:pPr>
            <w:r>
              <w:rPr>
                <w:rFonts w:ascii="Arial" w:cs="Arial" w:eastAsia="Arial" w:hAnsi="Arial"/>
                <w:sz w:val="13"/>
                <w:szCs w:val="13"/>
                <w:b w:val="1"/>
                <w:bCs w:val="1"/>
                <w:color w:val="auto"/>
                <w:w w:val="92"/>
              </w:rPr>
              <w:t>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4"/>
              </w:rPr>
              <w:t>Assets</w:t>
            </w:r>
          </w:p>
        </w:tc>
        <w:tc>
          <w:tcPr>
            <w:tcW w:w="450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4"/>
              </w:rPr>
              <w:t>(Level 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3"/>
                <w:szCs w:val="13"/>
                <w:b w:val="1"/>
                <w:bCs w:val="1"/>
                <w:color w:val="auto"/>
                <w:w w:val="90"/>
              </w:rPr>
              <w:t>(Level 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3"/>
          </w:tcPr>
          <w:p>
            <w:pPr>
              <w:jc w:val="center"/>
              <w:ind w:left="126"/>
              <w:spacing w:after="0"/>
              <w:rPr>
                <w:sz w:val="20"/>
                <w:szCs w:val="20"/>
                <w:color w:val="auto"/>
              </w:rPr>
            </w:pPr>
            <w:r>
              <w:rPr>
                <w:rFonts w:ascii="Arial" w:cs="Arial" w:eastAsia="Arial" w:hAnsi="Arial"/>
                <w:sz w:val="13"/>
                <w:szCs w:val="13"/>
                <w:b w:val="1"/>
                <w:bCs w:val="1"/>
                <w:color w:val="auto"/>
                <w:w w:val="94"/>
              </w:rPr>
              <w:t>(Level 3)</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7"/>
          </w:tcPr>
          <w:p>
            <w:pPr>
              <w:jc w:val="right"/>
              <w:ind w:right="700"/>
              <w:spacing w:after="0" w:line="138" w:lineRule="exact"/>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Money market funds included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84,451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900" w:type="dxa"/>
            <w:vAlign w:val="bottom"/>
            <w:gridSpan w:val="3"/>
          </w:tcPr>
          <w:p>
            <w:pPr>
              <w:ind w:left="20"/>
              <w:spacing w:after="0"/>
              <w:rPr>
                <w:sz w:val="20"/>
                <w:szCs w:val="20"/>
                <w:color w:val="auto"/>
              </w:rPr>
            </w:pPr>
            <w:r>
              <w:rPr>
                <w:rFonts w:ascii="Arial" w:cs="Arial" w:eastAsia="Arial" w:hAnsi="Arial"/>
                <w:sz w:val="17"/>
                <w:szCs w:val="17"/>
                <w:color w:val="auto"/>
              </w:rPr>
              <w:t>Marketable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9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U.S. Treasury notes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50,217</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50,217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900" w:type="dxa"/>
            <w:vAlign w:val="bottom"/>
            <w:gridSpan w:val="3"/>
          </w:tcPr>
          <w:p>
            <w:pPr>
              <w:ind w:left="180"/>
              <w:spacing w:after="0"/>
              <w:rPr>
                <w:sz w:val="20"/>
                <w:szCs w:val="20"/>
                <w:color w:val="auto"/>
              </w:rPr>
            </w:pPr>
            <w:r>
              <w:rPr>
                <w:rFonts w:ascii="Arial" w:cs="Arial" w:eastAsia="Arial" w:hAnsi="Arial"/>
                <w:sz w:val="17"/>
                <w:szCs w:val="17"/>
                <w:color w:val="auto"/>
              </w:rPr>
              <w:t>U.S. government agency securities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33,682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33,682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tcPr>
          <w:p>
            <w:pPr>
              <w:spacing w:after="0"/>
              <w:rPr>
                <w:sz w:val="17"/>
                <w:szCs w:val="17"/>
                <w:color w:val="auto"/>
              </w:rPr>
            </w:pPr>
          </w:p>
        </w:tc>
        <w:tc>
          <w:tcPr>
            <w:tcW w:w="49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168,350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134,668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33,682</w:t>
            </w:r>
          </w:p>
        </w:tc>
        <w:tc>
          <w:tcPr>
            <w:tcW w:w="44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40" w:firstLine="338"/>
        <w:spacing w:after="0" w:line="294" w:lineRule="auto"/>
        <w:rPr>
          <w:sz w:val="20"/>
          <w:szCs w:val="20"/>
          <w:color w:val="auto"/>
        </w:rPr>
      </w:pPr>
      <w:r>
        <w:rPr>
          <w:rFonts w:ascii="Arial" w:cs="Arial" w:eastAsia="Arial" w:hAnsi="Arial"/>
          <w:sz w:val="16"/>
          <w:szCs w:val="16"/>
          <w:color w:val="auto"/>
        </w:rPr>
        <w:t>The Company measures the fair value of money market funds and U.S. Treasuries based on quoted prices in active markets for identical securities. The Level 2 marketable securities include U.S. government and agency securities that are valued either based on recent trades of securities in inactive markets or based on quoted market prices of similar instruments and other significant inputs derived from or corroborated by observable market data.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Prepaid expenses and other current assets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Prepaid expense and other current assets consist of the following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As of</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92"/>
        </w:trPr>
        <w:tc>
          <w:tcPr>
            <w:tcW w:w="17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5"/>
            <w:vMerge w:val="restart"/>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59"/>
        </w:trPr>
        <w:tc>
          <w:tcPr>
            <w:tcW w:w="17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ind w:right="78"/>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4"/>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2"/>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Other current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2"/>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1,323</w:t>
            </w: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5. Property and equipment, net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80" w:type="dxa"/>
            <w:vAlign w:val="bottom"/>
            <w:gridSpan w:val="2"/>
          </w:tcPr>
          <w:p>
            <w:pPr>
              <w:ind w:left="340"/>
              <w:spacing w:after="0"/>
              <w:rPr>
                <w:sz w:val="20"/>
                <w:szCs w:val="20"/>
                <w:color w:val="auto"/>
              </w:rPr>
            </w:pPr>
            <w:r>
              <w:rPr>
                <w:rFonts w:ascii="Arial" w:cs="Arial" w:eastAsia="Arial" w:hAnsi="Arial"/>
                <w:sz w:val="17"/>
                <w:szCs w:val="17"/>
                <w:color w:val="auto"/>
              </w:rPr>
              <w:t>Property and equipment, net consists of the following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7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As of</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92"/>
        </w:trPr>
        <w:tc>
          <w:tcPr>
            <w:tcW w:w="17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5"/>
            <w:vMerge w:val="restart"/>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59"/>
        </w:trPr>
        <w:tc>
          <w:tcPr>
            <w:tcW w:w="17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ind w:right="78"/>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4"/>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2"/>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1,223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Furniture and office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2,988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66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2,804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The Company recorded $0 and $184,000 in depreciation expense during the period and year ended December 31, 2013 and 2014, respectively, and $10,000 and $276,000 in depreciation expense during the six months ended June 30, 2014 and June 30,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 of the following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3"/>
            <w:vMerge w:val="restart"/>
          </w:tcPr>
          <w:p>
            <w:pPr>
              <w:jc w:val="center"/>
              <w:ind w:right="194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92"/>
        </w:trPr>
        <w:tc>
          <w:tcPr>
            <w:tcW w:w="17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4"/>
            <w:vMerge w:val="restart"/>
          </w:tcPr>
          <w:p>
            <w:pPr>
              <w:jc w:val="right"/>
              <w:ind w:right="98"/>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gridSpan w:val="3"/>
            <w:vMerge w:val="restart"/>
          </w:tcPr>
          <w:p>
            <w:pPr>
              <w:jc w:val="center"/>
              <w:ind w:right="1960"/>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59"/>
        </w:trPr>
        <w:tc>
          <w:tcPr>
            <w:tcW w:w="1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
              <w:spacing w:after="0" w:line="138" w:lineRule="exact"/>
              <w:rPr>
                <w:sz w:val="20"/>
                <w:szCs w:val="20"/>
                <w:color w:val="auto"/>
              </w:rPr>
            </w:pPr>
            <w:r>
              <w:rPr>
                <w:rFonts w:ascii="Arial" w:cs="Arial" w:eastAsia="Arial" w:hAnsi="Arial"/>
                <w:sz w:val="13"/>
                <w:szCs w:val="13"/>
                <w:b w:val="1"/>
                <w:bCs w:val="1"/>
                <w:color w:val="auto"/>
                <w:w w:val="93"/>
              </w:rPr>
              <w:t>(unaudited)</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Patent costs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Employee compensation costs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20" w:type="dxa"/>
            <w:vAlign w:val="bottom"/>
          </w:tcPr>
          <w:p>
            <w:pPr>
              <w:ind w:left="180"/>
              <w:spacing w:after="0"/>
              <w:rPr>
                <w:sz w:val="20"/>
                <w:szCs w:val="20"/>
                <w:color w:val="auto"/>
              </w:rPr>
            </w:pPr>
            <w:r>
              <w:rPr>
                <w:rFonts w:ascii="Arial" w:cs="Arial" w:eastAsia="Arial" w:hAnsi="Arial"/>
                <w:sz w:val="17"/>
                <w:szCs w:val="17"/>
                <w:color w:val="auto"/>
              </w:rPr>
              <w:t>Total</w:t>
            </w:r>
          </w:p>
        </w:tc>
        <w:tc>
          <w:tcPr>
            <w:tcW w:w="27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gridSpan w:val="2"/>
          </w:tcPr>
          <w:p>
            <w:pPr>
              <w:jc w:val="right"/>
              <w:ind w:right="1585"/>
              <w:spacing w:after="0"/>
              <w:rPr>
                <w:sz w:val="20"/>
                <w:szCs w:val="20"/>
                <w:color w:val="auto"/>
              </w:rPr>
            </w:pPr>
            <w:r>
              <w:rPr>
                <w:rFonts w:ascii="Arial" w:cs="Arial" w:eastAsia="Arial" w:hAnsi="Arial"/>
                <w:sz w:val="17"/>
                <w:szCs w:val="17"/>
                <w:color w:val="auto"/>
              </w:rPr>
              <w:t>F-21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Convertible Promissory Notes Payable</w:t>
      </w:r>
    </w:p>
    <w:p>
      <w:pPr>
        <w:spacing w:after="0" w:line="228" w:lineRule="exact"/>
        <w:rPr>
          <w:sz w:val="20"/>
          <w:szCs w:val="20"/>
          <w:color w:val="auto"/>
        </w:rPr>
      </w:pPr>
    </w:p>
    <w:p>
      <w:pPr>
        <w:jc w:val="both"/>
        <w:ind w:right="220" w:firstLine="341"/>
        <w:spacing w:after="0" w:line="322" w:lineRule="auto"/>
        <w:rPr>
          <w:sz w:val="20"/>
          <w:szCs w:val="20"/>
          <w:color w:val="auto"/>
        </w:rPr>
      </w:pPr>
      <w:r>
        <w:rPr>
          <w:rFonts w:ascii="Arial" w:cs="Arial" w:eastAsia="Arial" w:hAnsi="Arial"/>
          <w:sz w:val="15"/>
          <w:szCs w:val="15"/>
          <w:color w:val="auto"/>
        </w:rPr>
        <w:t>In June and November 2013, the Company issued convertible promissory notes (the "Convertible Notes") to an investor in the aggregate amount of $1,860,000 and $1,000,000, respectively. The Convertible Notes accrued interest simple at a rate of 6% per annum. The notes along with accrued interest were due and payable upon the earlier of an equity financing with cash proceeds in excess of $1,000,000 or at the election of the holder any time after December 31, 2014.</w:t>
      </w:r>
    </w:p>
    <w:p>
      <w:pPr>
        <w:spacing w:after="0" w:line="14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Upon the closing of the sale of the Company's Series A Preferred Stock on January 9, 2014, the unpaid principal and accrued interest on the Convertible Notes of $2,929,000 was exchanged into shares of Series A Preferred Stock at $1.00 per share which is the price paid by the investors in Series A Preferred Stock. The Company recorded approximately $67,000, $2,000 and $2,000 of interest expense related to the Convertible Notes for the period and year ended December 31, 2013 and 2014 and the six months ended June 30,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2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During March 2014, the Company entered into an agreement to lease its facility under a non-cancelable operating lease that expires December 15, 2019. The lease includes two renewal options, each for five year terms and at fair market value upon exercise. The lease contains escalating rent clauses which require higher rent payments in future years. The Company expenses rent on a straight-line basis over the term of the lease, including any rent-free periods.</w:t>
      </w:r>
    </w:p>
    <w:p>
      <w:pPr>
        <w:spacing w:after="0" w:line="163" w:lineRule="exact"/>
        <w:rPr>
          <w:sz w:val="20"/>
          <w:szCs w:val="20"/>
          <w:color w:val="auto"/>
        </w:rPr>
      </w:pPr>
    </w:p>
    <w:p>
      <w:pPr>
        <w:jc w:val="both"/>
        <w:ind w:right="280" w:firstLine="338"/>
        <w:spacing w:after="0" w:line="270" w:lineRule="auto"/>
        <w:rPr>
          <w:sz w:val="20"/>
          <w:szCs w:val="20"/>
          <w:color w:val="auto"/>
        </w:rPr>
      </w:pPr>
      <w:r>
        <w:rPr>
          <w:rFonts w:ascii="Arial" w:cs="Arial" w:eastAsia="Arial" w:hAnsi="Arial"/>
          <w:sz w:val="17"/>
          <w:szCs w:val="17"/>
          <w:color w:val="auto"/>
        </w:rPr>
        <w:t>The Company received a leasehold improvement incentive from the landlord totaling $1,250,000. The Company recorded these incentives as a component of deferred rent and will amortize these incentives as a reduction of rent expense over the life of the lease. These leasehold improvements have been recorded as fixed assets.</w:t>
      </w:r>
    </w:p>
    <w:p>
      <w:pPr>
        <w:spacing w:after="0" w:line="17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Rent expense of approximately $48,000 and $686,000 was incurred during the period and year ended December 31, 2013 and 2014, respectively, and $235,000 and $450,000 was incurred during the six months ended June 30, 2014 and June 30, 2015,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annual minimum lease payments at December 31, 2014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3"/>
          </w:tcPr>
          <w:p>
            <w:pPr>
              <w:spacing w:after="0"/>
              <w:rPr>
                <w:sz w:val="20"/>
                <w:szCs w:val="20"/>
                <w:color w:val="auto"/>
              </w:rPr>
            </w:pPr>
            <w:r>
              <w:rPr>
                <w:rFonts w:ascii="Arial" w:cs="Arial" w:eastAsia="Arial" w:hAnsi="Arial"/>
                <w:sz w:val="13"/>
                <w:szCs w:val="13"/>
                <w:b w:val="1"/>
                <w:bCs w:val="1"/>
                <w:color w:val="auto"/>
              </w:rPr>
              <w:t>Total Minimum</w:t>
            </w:r>
          </w:p>
        </w:tc>
      </w:tr>
      <w:tr>
        <w:trPr>
          <w:trHeight w:val="157"/>
        </w:trPr>
        <w:tc>
          <w:tcPr>
            <w:tcW w:w="17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4"/>
              </w:rPr>
              <w:t>Lease Payments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080" w:type="dxa"/>
            <w:vAlign w:val="bottom"/>
            <w:shd w:val="clear" w:color="auto" w:fill="CCEEFF"/>
          </w:tcPr>
          <w:p>
            <w:pPr>
              <w:jc w:val="right"/>
              <w:ind w:right="1655"/>
              <w:spacing w:after="0"/>
              <w:rPr>
                <w:sz w:val="20"/>
                <w:szCs w:val="20"/>
                <w:color w:val="auto"/>
              </w:rPr>
            </w:pPr>
            <w:r>
              <w:rPr>
                <w:rFonts w:ascii="Arial" w:cs="Arial" w:eastAsia="Arial" w:hAnsi="Arial"/>
                <w:sz w:val="17"/>
                <w:szCs w:val="17"/>
                <w:color w:val="auto"/>
                <w:w w:val="84"/>
              </w:rPr>
              <w:t>2015</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080" w:type="dxa"/>
            <w:vAlign w:val="bottom"/>
          </w:tcPr>
          <w:p>
            <w:pPr>
              <w:jc w:val="right"/>
              <w:ind w:right="1655"/>
              <w:spacing w:after="0"/>
              <w:rPr>
                <w:sz w:val="20"/>
                <w:szCs w:val="20"/>
                <w:color w:val="auto"/>
              </w:rPr>
            </w:pPr>
            <w:r>
              <w:rPr>
                <w:rFonts w:ascii="Arial" w:cs="Arial" w:eastAsia="Arial" w:hAnsi="Arial"/>
                <w:sz w:val="17"/>
                <w:szCs w:val="17"/>
                <w:color w:val="auto"/>
                <w:w w:val="84"/>
              </w:rPr>
              <w:t>2016</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1,170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80" w:type="dxa"/>
            <w:vAlign w:val="bottom"/>
            <w:shd w:val="clear" w:color="auto" w:fill="CCEEFF"/>
          </w:tcPr>
          <w:p>
            <w:pPr>
              <w:jc w:val="right"/>
              <w:ind w:right="1655"/>
              <w:spacing w:after="0"/>
              <w:rPr>
                <w:sz w:val="20"/>
                <w:szCs w:val="20"/>
                <w:color w:val="auto"/>
              </w:rPr>
            </w:pPr>
            <w:r>
              <w:rPr>
                <w:rFonts w:ascii="Arial" w:cs="Arial" w:eastAsia="Arial" w:hAnsi="Arial"/>
                <w:sz w:val="17"/>
                <w:szCs w:val="17"/>
                <w:color w:val="auto"/>
                <w:w w:val="84"/>
              </w:rPr>
              <w:t>2017</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80" w:type="dxa"/>
            <w:vAlign w:val="bottom"/>
          </w:tcPr>
          <w:p>
            <w:pPr>
              <w:jc w:val="right"/>
              <w:ind w:right="1655"/>
              <w:spacing w:after="0"/>
              <w:rPr>
                <w:sz w:val="20"/>
                <w:szCs w:val="20"/>
                <w:color w:val="auto"/>
              </w:rPr>
            </w:pPr>
            <w:r>
              <w:rPr>
                <w:rFonts w:ascii="Arial" w:cs="Arial" w:eastAsia="Arial" w:hAnsi="Arial"/>
                <w:sz w:val="17"/>
                <w:szCs w:val="17"/>
                <w:color w:val="auto"/>
                <w:w w:val="84"/>
              </w:rPr>
              <w:t>2018</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80" w:type="dxa"/>
            <w:vAlign w:val="bottom"/>
            <w:shd w:val="clear" w:color="auto" w:fill="CCEEFF"/>
          </w:tcPr>
          <w:p>
            <w:pPr>
              <w:jc w:val="right"/>
              <w:ind w:right="1655"/>
              <w:spacing w:after="0"/>
              <w:rPr>
                <w:sz w:val="20"/>
                <w:szCs w:val="20"/>
                <w:color w:val="auto"/>
              </w:rPr>
            </w:pPr>
            <w:r>
              <w:rPr>
                <w:rFonts w:ascii="Arial" w:cs="Arial" w:eastAsia="Arial" w:hAnsi="Arial"/>
                <w:sz w:val="17"/>
                <w:szCs w:val="17"/>
                <w:color w:val="auto"/>
                <w:w w:val="84"/>
              </w:rPr>
              <w:t>2019</w:t>
            </w:r>
          </w:p>
        </w:tc>
        <w:tc>
          <w:tcPr>
            <w:tcW w:w="4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5,877</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780" w:type="dxa"/>
            <w:vAlign w:val="bottom"/>
            <w:gridSpan w:val="2"/>
          </w:tcPr>
          <w:p>
            <w:pPr>
              <w:jc w:val="right"/>
              <w:ind w:right="2625"/>
              <w:spacing w:after="0"/>
              <w:rPr>
                <w:sz w:val="20"/>
                <w:szCs w:val="20"/>
                <w:color w:val="auto"/>
              </w:rPr>
            </w:pPr>
            <w:r>
              <w:rPr>
                <w:rFonts w:ascii="Arial" w:cs="Arial" w:eastAsia="Arial" w:hAnsi="Arial"/>
                <w:sz w:val="17"/>
                <w:szCs w:val="17"/>
                <w:color w:val="auto"/>
              </w:rPr>
              <w:t>F-22</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Genzyme Collaboration Agreement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Agreement</w:t>
      </w:r>
    </w:p>
    <w:p>
      <w:pPr>
        <w:spacing w:after="0" w:line="224" w:lineRule="exact"/>
        <w:rPr>
          <w:sz w:val="20"/>
          <w:szCs w:val="20"/>
          <w:color w:val="auto"/>
        </w:rPr>
      </w:pPr>
    </w:p>
    <w:p>
      <w:pPr>
        <w:ind w:right="80" w:firstLine="341"/>
        <w:spacing w:after="0" w:line="311" w:lineRule="auto"/>
        <w:rPr>
          <w:sz w:val="20"/>
          <w:szCs w:val="20"/>
          <w:color w:val="auto"/>
        </w:rPr>
      </w:pPr>
      <w:r>
        <w:rPr>
          <w:rFonts w:ascii="Arial" w:cs="Arial" w:eastAsia="Arial" w:hAnsi="Arial"/>
          <w:sz w:val="15"/>
          <w:szCs w:val="15"/>
          <w:color w:val="auto"/>
        </w:rPr>
        <w:t>In February 2015, the Company entered into an agreement with Genzyme ("Collaboration Agreement"), which included a non-refundable upfront payment of $65.0 million. In addition, contemporaneous with entering into the Collaboration Agreement, Genzyme entered into a Series B Stock Purchase Agreement, under which Genzyme purchased 10,000,000 shares of Series B Preferred Stock for $30.0 million. The fair value of the Series B Preferred Stock at the time of issuance was approximately $25.0 million. The $5.0 million premium over the fair value is accounted for as additional consideration under the Collaboration Agreement.</w:t>
      </w:r>
    </w:p>
    <w:p>
      <w:pPr>
        <w:spacing w:after="0" w:line="15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Under the Collaboration Agreement, the Company granted Genzyme an exclusive option to license, develop and commercialize (i) ex-U.S. rights to the following programs, which are referred to as Split Territory Programs; VY-AADC01 ("Parkinson's Program"), VY-FXN01 ("Friedreich's Ataxia Program"), a future program to be designated by Genzyme ("Future Program") and VY-HTT01 ("Huntington's Program") with an incremental option to co-commercialize VY-HTT01 in the United States and (ii) worldwide rights to VY-SMN101 ("Spinal Muscular Atrophy Program"). Genzyme's option for the Split Territory Programs and the Spinal Muscular Atrophy Program is triggered following the completion of the first proof-of-principle human clinical study ("POP Study"), on a program by program basis.</w:t>
      </w:r>
    </w:p>
    <w:p>
      <w:pPr>
        <w:spacing w:after="0" w:line="159" w:lineRule="exact"/>
        <w:rPr>
          <w:sz w:val="20"/>
          <w:szCs w:val="20"/>
          <w:color w:val="auto"/>
        </w:rPr>
      </w:pPr>
    </w:p>
    <w:p>
      <w:pPr>
        <w:jc w:val="both"/>
        <w:ind w:right="240" w:firstLine="341"/>
        <w:spacing w:after="0" w:line="270" w:lineRule="auto"/>
        <w:rPr>
          <w:sz w:val="20"/>
          <w:szCs w:val="20"/>
          <w:color w:val="auto"/>
        </w:rPr>
      </w:pPr>
      <w:r>
        <w:rPr>
          <w:rFonts w:ascii="Arial" w:cs="Arial" w:eastAsia="Arial" w:hAnsi="Arial"/>
          <w:sz w:val="17"/>
          <w:szCs w:val="17"/>
          <w:color w:val="auto"/>
        </w:rPr>
        <w:t>Prior to any option exercise by Genzyme, the Company will collaborate with Genzyme in the development of products under each Split Territory Program and VY-SMN101 pursuant to a written development plan and under the guidance of an Alliance Joint Steering Committee ("AJSC"), comprised of an equal number of employees from the Company and Genzyme.</w:t>
      </w:r>
    </w:p>
    <w:p>
      <w:pPr>
        <w:spacing w:after="0" w:line="179"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Company is required to use commercially reasonable efforts to develop products under each Split Territory Program and the Spinal Muscular Atrophy Program through the completion of the applicable POP Study. During the development of these joint programs, the activities are guided by a Development Advisory Committee ("DAC"). The DAC may elect to utilize certain Genzyme technology relating to the VY-AADC01 Program, the VY-HTT01 Program or generally with the manufacture of Split Territory Program products.</w:t>
      </w:r>
    </w:p>
    <w:p>
      <w:pPr>
        <w:spacing w:after="0" w:line="185" w:lineRule="exact"/>
        <w:rPr>
          <w:sz w:val="20"/>
          <w:szCs w:val="20"/>
          <w:color w:val="auto"/>
        </w:rPr>
      </w:pPr>
    </w:p>
    <w:p>
      <w:pPr>
        <w:ind w:right="220" w:firstLine="338"/>
        <w:spacing w:after="0" w:line="263" w:lineRule="auto"/>
        <w:rPr>
          <w:sz w:val="20"/>
          <w:szCs w:val="20"/>
          <w:color w:val="auto"/>
        </w:rPr>
      </w:pPr>
      <w:r>
        <w:rPr>
          <w:rFonts w:ascii="Arial" w:cs="Arial" w:eastAsia="Arial" w:hAnsi="Arial"/>
          <w:sz w:val="17"/>
          <w:szCs w:val="17"/>
          <w:color w:val="auto"/>
        </w:rPr>
        <w:t>The Company is solely responsible for all costs incurred in connection with the development of the Split Territory Programs and the Spinal Muscular Atrophy Program products prior to the exercise of an option by Genzyme with the exception of the following: (i) at the Company's request and upon mutual agreement, Genzyme will provide "in-kind" services valued at up to $5.0 million and (ii) Genzyme shall be responsible for the costs and expenses of activities under the Huntington's Program development plan to the extent such activities are covered by financial support Genzyme is entitled to receive from a patient advocacy group, collectively Genzyme "in-kind" and other funding.</w:t>
      </w:r>
    </w:p>
    <w:p>
      <w:pPr>
        <w:spacing w:after="0" w:line="187" w:lineRule="exact"/>
        <w:rPr>
          <w:sz w:val="20"/>
          <w:szCs w:val="20"/>
          <w:color w:val="auto"/>
        </w:rPr>
      </w:pPr>
    </w:p>
    <w:p>
      <w:pPr>
        <w:ind w:right="520" w:firstLine="341"/>
        <w:spacing w:after="0" w:line="315" w:lineRule="auto"/>
        <w:rPr>
          <w:sz w:val="20"/>
          <w:szCs w:val="20"/>
          <w:color w:val="auto"/>
        </w:rPr>
      </w:pPr>
      <w:r>
        <w:rPr>
          <w:rFonts w:ascii="Arial" w:cs="Arial" w:eastAsia="Arial" w:hAnsi="Arial"/>
          <w:sz w:val="16"/>
          <w:szCs w:val="16"/>
          <w:color w:val="auto"/>
        </w:rPr>
        <w:t>Other than the Parkinson's Program (for which a POP Study has already been commenced), if the Company does not initiate a POP Study for a given Split Territory Program by December 31, 2026 (or for the Future Program by the tenth anniversary of the date the Future Program is nominated by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Genzyme), and Genzyme has not terminated the Collaboration Agreement with respect to the collaboration program, then Genzyme shall be entitled, as its sole and exclusive remedy, to a credit of $10.0 million for each such program against other milestone or royalty payments payable by Genzyme under the Collaboration Agreement. However, if the POP Study is not initiated due to a regulatory delay or a force majeure event, such time period shall be extended for so long as such delay continues.</w:t>
      </w:r>
    </w:p>
    <w:p>
      <w:pPr>
        <w:spacing w:after="0" w:line="185"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With the exception of the Parkinson's Program, Genzyme is required to pay an option exercise payment of $20.0 million or $30.0 million for each Split Territory Program, as well as the Spinal Muscular Atrophy Program.</w:t>
      </w:r>
    </w:p>
    <w:p>
      <w:pPr>
        <w:spacing w:after="0" w:line="170"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Upon Genzyme's exercise of its option to license a given product in a Split Territory Program ("Split Territory Licensed Product"), the Company will have sole responsibility for the development of such Split Territory Licensed Product in the United States and Genzyme shall have sole responsibility for development of such Split Territory Licensed Product in the rest of the world. The Company and Genzyme will have shared responsibility for execution of ongoing development of such Split Territory Licensed Product that is not specific to either territory, including costs associated therewith. The Company is responsible for all commercialization activities relating to Split Territory Licensed Products in the United States, including all of the associated costs. Genzyme is responsible for all commercialization activities relating to the Split Territory Licensed Products in the rest of the world, including all of the associated costs. If Genzyme exercised its co-commercialization rights, Genzyme will be the lead party responsible for all commercialization activities related to Huntington's Licensed Product in the United States.</w:t>
      </w:r>
    </w:p>
    <w:p>
      <w:pPr>
        <w:spacing w:after="0" w:line="16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Upon exercise of the option, Genzyme shall have the sole right to develop the Spinal Muscular Atrophy Product worldwide. Genzyme shall be responsible for all of the development costs that occur after the option exercise date for the Spinal Muscular Atrophy Program. Genzyme is also responsible for commercialization activities relating to the Spinal Muscular Atrophy Product worldwide.</w:t>
      </w:r>
    </w:p>
    <w:p>
      <w:pPr>
        <w:spacing w:after="0" w:line="17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Genzyme is required to pay the Company for specified regulatory and commercial milestones, if achieved, up to $645 million across all programs. The regulatory approval milestones are payable upon either regulatory approval in the United States or regulatory and reimbursement approval in the European Union and range from $40.0 million to $50.0 million per milestone, with an aggregate total of $265 million. The commercial milestones are payable upon achievement of specified annual net sales in each program and range from $50.0 million to $100 million per milestone, with an aggregate total of $380 million.</w:t>
      </w:r>
    </w:p>
    <w:p>
      <w:pPr>
        <w:spacing w:after="0" w:line="169"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In addition, to the extent any Split Territory Licensed Products or the Spinal Muscular Atrophy Licensed Product are commercialized, the Company is entitled to tiered royalty payments ranging from the mid-single digits to mid-teens based on a percentage of net sales by Genzyme. Genzyme is entitled to receive tiered royalty payments related to sales of Split Territory Licensed Product ranging from the low-single digits to mid-single digits based on a percentage of net sales by the Company depending on whether the Company uses Genzyme technology in the Split Territory Licensed Product. If Genzyme elects to co-commercialize VY-HTT01 in the United States, the Company and Genzyme will share in any profits or losses from VY-HTT01 product sales.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ind w:right="320" w:firstLine="338"/>
        <w:spacing w:after="0" w:line="294" w:lineRule="auto"/>
        <w:rPr>
          <w:sz w:val="20"/>
          <w:szCs w:val="20"/>
          <w:color w:val="auto"/>
        </w:rPr>
      </w:pPr>
      <w:r>
        <w:rPr>
          <w:rFonts w:ascii="Arial" w:cs="Arial" w:eastAsia="Arial" w:hAnsi="Arial"/>
          <w:sz w:val="16"/>
          <w:szCs w:val="16"/>
          <w:color w:val="auto"/>
        </w:rPr>
        <w:t>The Collaboration Agreement will continue in effect until the later of (i) the expiration of the last to expire of the option rights and (ii) the expiration of all payment obligations unless sooner terminated by the Company or Genzyme. The Company and Genzyme have customary termination rights including the right to terminate for an uncured material breach of the agreement committed by the other party and Genzyme has the right to terminate for convenience.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Analysis</w:t>
      </w:r>
    </w:p>
    <w:p>
      <w:pPr>
        <w:spacing w:after="0" w:line="224" w:lineRule="exact"/>
        <w:rPr>
          <w:sz w:val="20"/>
          <w:szCs w:val="20"/>
          <w:color w:val="auto"/>
        </w:rPr>
      </w:pPr>
    </w:p>
    <w:p>
      <w:pPr>
        <w:ind w:firstLine="338"/>
        <w:spacing w:after="0" w:line="297" w:lineRule="auto"/>
        <w:rPr>
          <w:sz w:val="20"/>
          <w:szCs w:val="20"/>
          <w:color w:val="auto"/>
        </w:rPr>
      </w:pPr>
      <w:r>
        <w:rPr>
          <w:rFonts w:ascii="Arial" w:cs="Arial" w:eastAsia="Arial" w:hAnsi="Arial"/>
          <w:sz w:val="15"/>
          <w:szCs w:val="15"/>
          <w:color w:val="auto"/>
        </w:rPr>
        <w:t>The Collaboration Agreement includes the following deliverables: (i) research and development services for each of the Split Territory License Programs and the Spinal Muscular Atrophy Program, (ii) participation in the AJSC, (iii) participation in the DAC and (iv) the option to obtain a development and commercial license in the Parkinson's Program and related deliverables. The Company has determined that the option to obtain a development and commercial license in the Parkinson's program is not a substantive option for accounting purposes, primarily because there is no additional option exercise payment payable by Genzyme at the time the option is exercised. Therefore, the option to obtain a license and other obligations of the Company that are contingent upon exercise of the option are considered deliverables at the inception of the arrangement. The options in the other Split Territory Programs and the Spinal Muscular Atrophy Program are considered substantive as there is substantial option exercise payments payable by Genzyme upon exercise. In addition, as a result of the uncertainties related to the discovery, research, development and commercialization activities, the Company is at risk with regard to whether Genzyme will exercise the options. Moreover, the substantive options are not priced at a significant incremental discount. Accordingly, the substantive options are not considered deliverables at the inception of the arrangement and the associated option exercise payments are not included in allocable arrangement consideration. The Company has also determined that any obligations which are contingent upon the exercise of a substantive option are not considered deliverables at the outset of the arrangement, as these deliverables are contingent upon the exercise of the options. In addition, any option exercise payments associated with the substantive options are not included in the allocable arrangement consideration.</w:t>
      </w:r>
    </w:p>
    <w:p>
      <w:pPr>
        <w:spacing w:after="0" w:line="16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 has concluded that each of the deliverables identified at the inception of the arrangement has standalone value from the other undelivered elements. Additionally, the Collaboration Agreement does not include return rights related to the initial collaboration term. Accordingly, each deliverable qualifies as a separate unit of accounting.</w:t>
      </w:r>
    </w:p>
    <w:p>
      <w:pPr>
        <w:spacing w:after="0" w:line="179"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The Company has identified $79.3 million of allocable arrangement consideration consisting of the $65 million upfront fee, the $5.0 million premium paid in excess of fair value of the Series B Preferred Stock and $9.3 million of Genzyme "in-kind" and other funding.</w:t>
      </w:r>
    </w:p>
    <w:p>
      <w:pPr>
        <w:spacing w:after="0" w:line="170"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Company has allocated the allocable arrangement consideration based on the relative selling price of each unit of accounting. For all units of accounting, the Company determined the selling price using the best estimate of selling price ("BESP"). The Company determined the BESP for the service related deliverable for the research and development activities based on internal estimates of the costs to perform the services, including expected internal expenses and expenses with third parties for services and supplies, marked up to include a reasonable profit margin and adjusted for the scope of the potential license. Significant inputs used to determine the total expense of the research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development activities include, the length of time required and the number and costs of various studies that will be performed to complete the POP Study. The BESP for the AJSC and DAC have been estimated based on the costs incurred to participate in the committees, marked up to include a reasonable profit margin. The BESP for the license option was determined based on the estimated value of the license and related deliverables adjusted for the estimated probability that the option would be exercised by Genzyme.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the relative selling price allocation, the allocable arrangement consideration was allocated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Unit of Accounting</w:t>
            </w: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r>
      <w:tr>
        <w:trPr>
          <w:trHeight w:val="137"/>
        </w:trPr>
        <w:tc>
          <w:tcPr>
            <w:tcW w:w="1160" w:type="dxa"/>
            <w:vAlign w:val="bottom"/>
            <w:tcBorders>
              <w:top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Services for:</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800" w:type="dxa"/>
            <w:vAlign w:val="bottom"/>
            <w:gridSpan w:val="2"/>
          </w:tcPr>
          <w:p>
            <w:pPr>
              <w:ind w:left="180"/>
              <w:spacing w:after="0"/>
              <w:rPr>
                <w:sz w:val="20"/>
                <w:szCs w:val="20"/>
                <w:color w:val="auto"/>
              </w:rPr>
            </w:pPr>
            <w:r>
              <w:rPr>
                <w:rFonts w:ascii="Arial" w:cs="Arial" w:eastAsia="Arial" w:hAnsi="Arial"/>
                <w:sz w:val="17"/>
                <w:szCs w:val="17"/>
                <w:color w:val="auto"/>
              </w:rPr>
              <w:t>Huntington's Program</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15,662</w:t>
            </w:r>
          </w:p>
        </w:tc>
        <w:tc>
          <w:tcPr>
            <w:tcW w:w="160" w:type="dxa"/>
            <w:vAlign w:val="bottom"/>
          </w:tcPr>
          <w:p>
            <w:pPr>
              <w:spacing w:after="0"/>
              <w:rPr>
                <w:sz w:val="18"/>
                <w:szCs w:val="18"/>
                <w:color w:val="auto"/>
              </w:rPr>
            </w:pPr>
          </w:p>
        </w:tc>
      </w:tr>
      <w:tr>
        <w:trPr>
          <w:trHeight w:val="21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Parkinson's Program</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w:t>
            </w:r>
          </w:p>
        </w:tc>
        <w:tc>
          <w:tcPr>
            <w:tcW w:w="160" w:type="dxa"/>
            <w:vAlign w:val="bottom"/>
            <w:shd w:val="clear" w:color="auto" w:fill="CCEEFF"/>
          </w:tcPr>
          <w:p>
            <w:pPr>
              <w:spacing w:after="0"/>
              <w:rPr>
                <w:sz w:val="18"/>
                <w:szCs w:val="18"/>
                <w:color w:val="auto"/>
              </w:rPr>
            </w:pPr>
          </w:p>
        </w:tc>
      </w:tr>
      <w:tr>
        <w:trPr>
          <w:trHeight w:val="210"/>
        </w:trPr>
        <w:tc>
          <w:tcPr>
            <w:tcW w:w="4800" w:type="dxa"/>
            <w:vAlign w:val="bottom"/>
            <w:gridSpan w:val="2"/>
          </w:tcPr>
          <w:p>
            <w:pPr>
              <w:ind w:left="180"/>
              <w:spacing w:after="0"/>
              <w:rPr>
                <w:sz w:val="20"/>
                <w:szCs w:val="20"/>
                <w:color w:val="auto"/>
              </w:rPr>
            </w:pPr>
            <w:r>
              <w:rPr>
                <w:rFonts w:ascii="Arial" w:cs="Arial" w:eastAsia="Arial" w:hAnsi="Arial"/>
                <w:sz w:val="17"/>
                <w:szCs w:val="17"/>
                <w:color w:val="auto"/>
              </w:rPr>
              <w:t>Friedreich's Ataxia Program</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16,315</w:t>
            </w:r>
          </w:p>
        </w:tc>
        <w:tc>
          <w:tcPr>
            <w:tcW w:w="160" w:type="dxa"/>
            <w:vAlign w:val="bottom"/>
          </w:tcPr>
          <w:p>
            <w:pPr>
              <w:spacing w:after="0"/>
              <w:rPr>
                <w:sz w:val="18"/>
                <w:szCs w:val="18"/>
                <w:color w:val="auto"/>
              </w:rPr>
            </w:pPr>
          </w:p>
        </w:tc>
      </w:tr>
      <w:tr>
        <w:trPr>
          <w:trHeight w:val="21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Spinal Muscular Atrophy Program</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32,050</w:t>
            </w:r>
          </w:p>
        </w:tc>
        <w:tc>
          <w:tcPr>
            <w:tcW w:w="160" w:type="dxa"/>
            <w:vAlign w:val="bottom"/>
            <w:shd w:val="clear" w:color="auto" w:fill="CCEEFF"/>
          </w:tcPr>
          <w:p>
            <w:pPr>
              <w:spacing w:after="0"/>
              <w:rPr>
                <w:sz w:val="18"/>
                <w:szCs w:val="18"/>
                <w:color w:val="auto"/>
              </w:rPr>
            </w:pPr>
          </w:p>
        </w:tc>
      </w:tr>
      <w:tr>
        <w:trPr>
          <w:trHeight w:val="210"/>
        </w:trPr>
        <w:tc>
          <w:tcPr>
            <w:tcW w:w="4800" w:type="dxa"/>
            <w:vAlign w:val="bottom"/>
            <w:gridSpan w:val="2"/>
          </w:tcPr>
          <w:p>
            <w:pPr>
              <w:ind w:left="180"/>
              <w:spacing w:after="0"/>
              <w:rPr>
                <w:sz w:val="20"/>
                <w:szCs w:val="20"/>
                <w:color w:val="auto"/>
              </w:rPr>
            </w:pPr>
            <w:r>
              <w:rPr>
                <w:rFonts w:ascii="Arial" w:cs="Arial" w:eastAsia="Arial" w:hAnsi="Arial"/>
                <w:sz w:val="17"/>
                <w:szCs w:val="17"/>
                <w:color w:val="auto"/>
              </w:rPr>
              <w:t>Future Program</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2,464</w:t>
            </w:r>
          </w:p>
        </w:tc>
        <w:tc>
          <w:tcPr>
            <w:tcW w:w="160" w:type="dxa"/>
            <w:vAlign w:val="bottom"/>
          </w:tcPr>
          <w:p>
            <w:pPr>
              <w:spacing w:after="0"/>
              <w:rPr>
                <w:sz w:val="18"/>
                <w:szCs w:val="18"/>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Committee Obligations: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800" w:type="dxa"/>
            <w:vAlign w:val="bottom"/>
            <w:gridSpan w:val="2"/>
          </w:tcPr>
          <w:p>
            <w:pPr>
              <w:ind w:left="180"/>
              <w:spacing w:after="0"/>
              <w:rPr>
                <w:sz w:val="20"/>
                <w:szCs w:val="20"/>
                <w:color w:val="auto"/>
              </w:rPr>
            </w:pPr>
            <w:r>
              <w:rPr>
                <w:rFonts w:ascii="Arial" w:cs="Arial" w:eastAsia="Arial" w:hAnsi="Arial"/>
                <w:sz w:val="17"/>
                <w:szCs w:val="17"/>
                <w:color w:val="auto"/>
              </w:rPr>
              <w:t>AJSC</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w:t>
            </w:r>
          </w:p>
        </w:tc>
        <w:tc>
          <w:tcPr>
            <w:tcW w:w="160" w:type="dxa"/>
            <w:vAlign w:val="bottom"/>
          </w:tcPr>
          <w:p>
            <w:pPr>
              <w:spacing w:after="0"/>
              <w:rPr>
                <w:sz w:val="18"/>
                <w:szCs w:val="18"/>
                <w:color w:val="auto"/>
              </w:rPr>
            </w:pPr>
          </w:p>
        </w:tc>
      </w:tr>
      <w:tr>
        <w:trPr>
          <w:trHeight w:val="21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DAC</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60" w:type="dxa"/>
            <w:vAlign w:val="bottom"/>
            <w:shd w:val="clear" w:color="auto" w:fill="CCEEFF"/>
          </w:tcPr>
          <w:p>
            <w:pPr>
              <w:spacing w:after="0"/>
              <w:rPr>
                <w:sz w:val="18"/>
                <w:szCs w:val="18"/>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7"/>
                <w:szCs w:val="17"/>
                <w:color w:val="auto"/>
              </w:rPr>
              <w:t>License Option and related deliverables</w:t>
            </w: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5,743</w:t>
            </w:r>
          </w:p>
        </w:tc>
        <w:tc>
          <w:tcPr>
            <w:tcW w:w="160" w:type="dxa"/>
            <w:vAlign w:val="bottom"/>
          </w:tcPr>
          <w:p>
            <w:pPr>
              <w:spacing w:after="0"/>
              <w:rPr>
                <w:sz w:val="18"/>
                <w:szCs w:val="18"/>
                <w:color w:val="auto"/>
              </w:rPr>
            </w:pPr>
          </w:p>
        </w:tc>
      </w:tr>
      <w:tr>
        <w:trPr>
          <w:trHeight w:val="203"/>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79,256</w:t>
            </w:r>
          </w:p>
        </w:tc>
        <w:tc>
          <w:tcPr>
            <w:tcW w:w="160" w:type="dxa"/>
            <w:vAlign w:val="bottom"/>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Company recognizes the amounts associated with research and development services on a straight line basis over the period of service as there is no discernable pattern or objective measure of performance for the services. Similarly, the Company recognizes the amount associated with the committee obligations on a straight line basis over the period of service consistent with the expected pattern of performance. The amounts allocated to the license option will be deferred until the option is exercised. The revenue recognition upon option exercise will be determined based on whether the license has standalone value from the remaining deliverables at the time of exercise.</w:t>
      </w:r>
    </w:p>
    <w:p>
      <w:pPr>
        <w:spacing w:after="0" w:line="187"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Company has evaluated all of the milestones that may be received in connection with the Split Territory Licensed Product and the Spinal Muscular Atrophy Program Licensed Product.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 performance to achieve the milestone, (ii) the consideration relates solely to past performance and (iii) the consideration is reasonable relative to all of the deliverables and payment terms within the arrangement. All regulatory milestones are considered substantive on the basis of the contingent nature of the milestone, specifically reviewing factors such as the scientific, clinical, regulatory,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 All commercial milestones will be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accounted for in the same manner as royalties and recorded as revenue upon achievement of the milestone, assuming all other revenue recognition criteria are met.</w:t>
      </w:r>
    </w:p>
    <w:p>
      <w:pPr>
        <w:spacing w:after="0" w:line="247" w:lineRule="exact"/>
        <w:rPr>
          <w:sz w:val="20"/>
          <w:szCs w:val="20"/>
          <w:color w:val="auto"/>
        </w:rPr>
      </w:pPr>
    </w:p>
    <w:p>
      <w:pPr>
        <w:jc w:val="both"/>
        <w:ind w:right="340" w:firstLine="341"/>
        <w:spacing w:after="0" w:line="322" w:lineRule="auto"/>
        <w:rPr>
          <w:sz w:val="20"/>
          <w:szCs w:val="20"/>
          <w:color w:val="auto"/>
        </w:rPr>
      </w:pPr>
      <w:r>
        <w:rPr>
          <w:rFonts w:ascii="Arial" w:cs="Arial" w:eastAsia="Arial" w:hAnsi="Arial"/>
          <w:sz w:val="15"/>
          <w:szCs w:val="15"/>
          <w:color w:val="auto"/>
        </w:rPr>
        <w:t>During the six month period ended June 30, 2015, the Company recognized $7,460,000 of revenue associated with its collaboration with Genzyme related to research and development services performed during the period. As of June 30, 2015, there is $64,606,000 of deferred revenue related to the agreement, which is classified as either current or noncurrent in the accompanying balance sheet based on the period the services are expected to be delivered.</w:t>
      </w:r>
    </w:p>
    <w:p>
      <w:pPr>
        <w:spacing w:after="0" w:line="14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Costs incurred relating to the programs that Genzyme has the option to license under the Collaboration Agreement consist of internal and external research and development costs, which primarily include: salaries and benefits, lab supplies and preclinical research studies. The Company does not separately track or segregate the amount of costs incurred under the Collaboration Agreement. All of these costs are included in research and development expenses in the Company's statement of operations during the six months ended June 30, 2015. The Company estimates that the majority of research and development expense during the period relate to programs for which Genzyme has an option right.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University of Massachusetts ("UMass") and MassBiologics Collaboration</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January 2014, UMass and the Company entered into a Collaboration Agreement wherein the Company granted UMass 23,529 shares of common stock, valued at $12,000, which was recorded as research and development expense. This was the only payment made under the Collaboration Agreement until it was amended by the Collaboration Agreement entered into with UMass and MassBiologics in October 2014.</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20, 2014, the Company entered into a Collaboration Agreement with UMass and MassBiologics (of the UMass Medical School).</w:t>
      </w:r>
    </w:p>
    <w:p>
      <w:pPr>
        <w:spacing w:after="0" w:line="22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Under the agreement, the Company shall (i) fund certain projects that will be conducted by UMass or MassBiologics, (ii) fund certain educational programs of UMass, including post-doctoral research at the Company's laboratories beginning in 2015, and (iii) collaborate with MassBiologics to establish scalable processes for manufacturing recombinant adeno-associated viral ("rAAV") vector products using current good manufacturing practices.</w:t>
      </w:r>
    </w:p>
    <w:p>
      <w:pPr>
        <w:spacing w:after="0" w:line="163" w:lineRule="exact"/>
        <w:rPr>
          <w:sz w:val="20"/>
          <w:szCs w:val="20"/>
          <w:color w:val="auto"/>
        </w:rPr>
      </w:pPr>
    </w:p>
    <w:p>
      <w:pPr>
        <w:ind w:right="80" w:firstLine="341"/>
        <w:spacing w:after="0" w:line="303" w:lineRule="auto"/>
        <w:rPr>
          <w:sz w:val="20"/>
          <w:szCs w:val="20"/>
          <w:color w:val="auto"/>
        </w:rPr>
      </w:pPr>
      <w:r>
        <w:rPr>
          <w:rFonts w:ascii="Arial" w:cs="Arial" w:eastAsia="Arial" w:hAnsi="Arial"/>
          <w:sz w:val="15"/>
          <w:szCs w:val="15"/>
          <w:color w:val="auto"/>
        </w:rPr>
        <w:t>In November 2014, the parties agreed to the first project under this agreement whereby the Company will fund approximately $2,861,000 over a sixteen month period for certain research and development services performed by MassBiologics. The project commenced in January 2015. If the agreement is terminated for any reason, the Company is obligated to fund the remaining balance of the total price of all work completed and any other out of pocket costs incurred by MassBiologics on behalf of the Company. As of December 31, 2014 and June 30, 2015, the Company had provided cumulative funding of approximately $376,000 and $1,058,000, respectively, which exceeded costs incurred by $376,000 and $30,000, respectively. The amount funded in excess of costs incurred is recorded in prepaid expenses as of the balance sheet. Research and development costs incurred by MassBiologics under the project agreement will be expensed by the Company as incurred.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ind w:right="7960" w:firstLine="5"/>
        <w:spacing w:after="0" w:line="517" w:lineRule="auto"/>
        <w:tabs>
          <w:tab w:leader="none" w:pos="17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(Continued) Other Agreements</w:t>
      </w:r>
    </w:p>
    <w:p>
      <w:pPr>
        <w:spacing w:after="0" w:line="1"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During 2014 and 2015, the Company entered into various agreements with contract research organizations and institutions to license intellectual property. In consideration for the licensed rights the Company generally made upfront payments, which were recorded as research and development expense as the acquired technologies were considered in-process research and development. During the year ended December 31, 2014 and six months ended June 30, 2014 and 2015, the Company paid $830,000, $800,000 and $75,000, respectively, in up-front license fees. The license agreements also obligate the Company to make additional payments that are contingent upon specific clinical trial and regulatory approval milestones being achieved as well as royalties on future product sales. The agreements to license intellectual property include potential milestone payments that are dependent upon the development of products licensed under the agreements and contingent upon the achievement of clinical trial or regulatory approval milestones. The maximum aggregate potential milestone payments payable by the Company total approximately $12.0 million. Additionally, under the terms of one agreement, the Company has options to license intellectual property to be used in the development of therapies for four additional disease indications. If the Company exercises all of the options under the agreement, it would be obligated to pay aggregate up-front fees of up to approximately $1.5 million and milestone payments that are contingent upon clinical trial results and regulatory approval of $5.0 million per disease indication, or up to $20.0 million in total. As of December 31, 2014 and June 30, 2015, there have been no milestones achieved. The Company can generally terminate the license agreements upon 30-90 days prior written notice.</w:t>
      </w:r>
    </w:p>
    <w:p>
      <w:pPr>
        <w:spacing w:after="0" w:line="179" w:lineRule="exact"/>
        <w:rPr>
          <w:sz w:val="20"/>
          <w:szCs w:val="20"/>
          <w:color w:val="auto"/>
        </w:rPr>
      </w:pPr>
    </w:p>
    <w:p>
      <w:pPr>
        <w:ind w:right="400" w:firstLine="332"/>
        <w:spacing w:after="0" w:line="294" w:lineRule="auto"/>
        <w:rPr>
          <w:sz w:val="20"/>
          <w:szCs w:val="20"/>
          <w:color w:val="auto"/>
        </w:rPr>
      </w:pPr>
      <w:r>
        <w:rPr>
          <w:rFonts w:ascii="Arial" w:cs="Arial" w:eastAsia="Arial" w:hAnsi="Arial"/>
          <w:sz w:val="16"/>
          <w:szCs w:val="16"/>
          <w:color w:val="auto"/>
        </w:rPr>
        <w:t>Additionally, certain license agreements require the Company to reimburse the licensor for certain past and ongoing patent related expenses. During the year ended December 31, 2014 and the six months ended June 30, 2014 and June 30, 2015, the Company incurred $839,000, $740,000 and $91,000 of expense, respectively, related to these reimbursable patent costs which are recorded as general and administrative expense.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24" w:lineRule="exact"/>
        <w:rPr>
          <w:sz w:val="20"/>
          <w:szCs w:val="20"/>
          <w:color w:val="auto"/>
        </w:rPr>
      </w:pPr>
    </w:p>
    <w:p>
      <w:pPr>
        <w:ind w:right="860" w:firstLine="338"/>
        <w:spacing w:after="0" w:line="282" w:lineRule="auto"/>
        <w:rPr>
          <w:sz w:val="20"/>
          <w:szCs w:val="20"/>
          <w:color w:val="auto"/>
        </w:rPr>
      </w:pPr>
      <w:r>
        <w:rPr>
          <w:rFonts w:ascii="Arial" w:cs="Arial" w:eastAsia="Arial" w:hAnsi="Arial"/>
          <w:sz w:val="17"/>
          <w:szCs w:val="17"/>
          <w:color w:val="auto"/>
        </w:rPr>
        <w:t>The Company is not a party to any litigation and does not have contingency reserves established for any litigation liabilities as of December 31, 2013, December 31, 2014 or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Redeemable Convertible Preferred Stock</w:t>
      </w:r>
    </w:p>
    <w:p>
      <w:pPr>
        <w:spacing w:after="0" w:line="228"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Company's redeemable convertible preferred stock ("Preferred Stock") has been classified as temporary equity on the accompanying balance sheets instead of in stockholders' (deficit) equity in accordance with authoritative guidance for the classification and measurement of redeemable securities as the convertible preferred stock is redeemable at the option of the holder after the redemption date, February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Preferred Stock</w:t>
      </w:r>
    </w:p>
    <w:p>
      <w:pPr>
        <w:spacing w:after="0" w:line="224" w:lineRule="exact"/>
        <w:rPr>
          <w:sz w:val="20"/>
          <w:szCs w:val="20"/>
          <w:color w:val="auto"/>
        </w:rPr>
      </w:pPr>
    </w:p>
    <w:p>
      <w:pPr>
        <w:ind w:right="240" w:firstLine="332"/>
        <w:spacing w:after="0" w:line="282" w:lineRule="auto"/>
        <w:rPr>
          <w:sz w:val="20"/>
          <w:szCs w:val="20"/>
          <w:color w:val="auto"/>
        </w:rPr>
      </w:pPr>
      <w:r>
        <w:rPr>
          <w:rFonts w:ascii="Arial" w:cs="Arial" w:eastAsia="Arial" w:hAnsi="Arial"/>
          <w:sz w:val="17"/>
          <w:szCs w:val="17"/>
          <w:color w:val="auto"/>
        </w:rPr>
        <w:t>At June 30, 2015, 45,000,000 shares of Series A Preferred Stock were authorized, issued and outstanding. These shares were issued at various closings in 2014 and 2015 for $1.00 per share.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Redeemable Convertible Preferred Stock (Continued)</w:t>
      </w:r>
    </w:p>
    <w:p>
      <w:pPr>
        <w:spacing w:after="0" w:line="228" w:lineRule="exact"/>
        <w:rPr>
          <w:sz w:val="20"/>
          <w:szCs w:val="20"/>
          <w:color w:val="auto"/>
        </w:rPr>
      </w:pPr>
    </w:p>
    <w:p>
      <w:pPr>
        <w:ind w:right="400"/>
        <w:spacing w:after="0" w:line="352" w:lineRule="auto"/>
        <w:rPr>
          <w:sz w:val="20"/>
          <w:szCs w:val="20"/>
          <w:color w:val="auto"/>
        </w:rPr>
      </w:pPr>
      <w:r>
        <w:rPr>
          <w:rFonts w:ascii="Arial" w:cs="Arial" w:eastAsia="Arial" w:hAnsi="Arial"/>
          <w:sz w:val="15"/>
          <w:szCs w:val="15"/>
          <w:color w:val="auto"/>
        </w:rPr>
        <w:t>shares were issued in exchange for cash proceeds of $42,039,000, net of issuance costs of $32,000, and the exchange of outstanding Convertible Notes, including accrued interest, of approximately $2,929,000. The Series A Preferred Stock have a liquidation preference amount of $47,714,000 at June 30, 2015.</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Tranche Rights Issued with Series A Preferred Stock</w:t>
      </w:r>
    </w:p>
    <w:p>
      <w:pPr>
        <w:spacing w:after="0" w:line="224" w:lineRule="exact"/>
        <w:rPr>
          <w:sz w:val="20"/>
          <w:szCs w:val="20"/>
          <w:color w:val="auto"/>
        </w:rPr>
      </w:pPr>
    </w:p>
    <w:p>
      <w:pPr>
        <w:ind w:right="80" w:firstLine="341"/>
        <w:spacing w:after="0" w:line="280" w:lineRule="auto"/>
        <w:rPr>
          <w:sz w:val="20"/>
          <w:szCs w:val="20"/>
          <w:color w:val="auto"/>
        </w:rPr>
      </w:pPr>
      <w:r>
        <w:rPr>
          <w:rFonts w:ascii="Arial" w:cs="Arial" w:eastAsia="Arial" w:hAnsi="Arial"/>
          <w:sz w:val="16"/>
          <w:szCs w:val="16"/>
          <w:color w:val="auto"/>
        </w:rPr>
        <w:t>Included in the terms of the January 2014 Series A Preferred Stock Purchase Agreement were certain rights ("Tranche Rights") granted to the investors of Series A Preferred Stock purchased in January 2014, including the holders of the Convertible Notes who exchanged the Convertible Notes. The Tranche Rights obligated the investors in Series A Preferred Stock to purchase and the Company to sell an additional 18,500,000 shares of Series A Preferred Stock at $1.00 per share contingent upon successful near term in-licensing and progress on initial experiments and research and development planning ("Tranche Right I"). In addition, the investors are obligated to purchase and the Company is obligated to sell an additional 20,000,000 shares of Series A Preferred Stock upon the development of project engine and achievement of certain clinical milestones ("Tranche Right II"). In addition, the Tranche Rights allowed the investors the ability to purchase the additional shares at their option at any time. The Tranche Rights were transferrable by the investors, subject to approval by the Board.</w:t>
      </w:r>
    </w:p>
    <w:p>
      <w:pPr>
        <w:spacing w:after="0" w:line="175"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Company has concluded the Tranche Rights meet the definition of a freestanding financial instrument, as the Tranche Rights are legally detachable and separately exercisable from the Series A Preferred Stock. Therefore, the Company has allocated the proceeds between the Tranche Rights and the Series A Preferred Stock. As the Series A Preferred Stock is redeemable at the holder's option, the Tranche Rights are classified as an asset or liability and are initially recorded at fair value. The Tranche Rights are measured at fair value at each reporting period. Since the Tranche Rights are subject to fair value accounting, the Company allocated the proceeds to the Tranche Rights based on the fair value at the date of issuance with the remaining proceeds being allocated to the Series A Preferred Stock. The estimated fair value of the Tranche Rights was determined using a probability-weighted present value model that considers the probability of closing a tranche, the estimated future value of Series A Preferred Stock each closing, and the investment required at each closing. Future values are converted to present value using a discount rate appropriate for probability-adjusted cash flows.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initial value of the Tranche Rights included in the Series A Preferred Stock Purchase Agreement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Fair Value of</w:t>
            </w:r>
          </w:p>
        </w:tc>
      </w:tr>
      <w:tr>
        <w:trPr>
          <w:trHeight w:val="144"/>
        </w:trPr>
        <w:tc>
          <w:tcPr>
            <w:tcW w:w="4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Tranche Right</w:t>
            </w:r>
          </w:p>
        </w:tc>
      </w:tr>
      <w:tr>
        <w:trPr>
          <w:trHeight w:val="157"/>
        </w:trPr>
        <w:tc>
          <w:tcPr>
            <w:tcW w:w="4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2"/>
              </w:rPr>
              <w:t>Asset (Liability)</w:t>
            </w:r>
          </w:p>
        </w:tc>
        <w:tc>
          <w:tcPr>
            <w:tcW w:w="160" w:type="dxa"/>
            <w:vAlign w:val="bottom"/>
          </w:tcPr>
          <w:p>
            <w:pPr>
              <w:spacing w:after="0"/>
              <w:rPr>
                <w:sz w:val="13"/>
                <w:szCs w:val="13"/>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Tranche Right I</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525"/>
              <w:spacing w:after="0"/>
              <w:rPr>
                <w:sz w:val="20"/>
                <w:szCs w:val="20"/>
                <w:color w:val="auto"/>
              </w:rPr>
            </w:pPr>
            <w:r>
              <w:rPr>
                <w:rFonts w:ascii="Arial" w:cs="Arial" w:eastAsia="Arial" w:hAnsi="Arial"/>
                <w:sz w:val="17"/>
                <w:szCs w:val="17"/>
                <w:color w:val="auto"/>
                <w:w w:val="89"/>
              </w:rPr>
              <w:t>1,495</w:t>
            </w:r>
          </w:p>
        </w:tc>
        <w:tc>
          <w:tcPr>
            <w:tcW w:w="160" w:type="dxa"/>
            <w:vAlign w:val="bottom"/>
            <w:shd w:val="clear" w:color="auto" w:fill="CCEEFF"/>
          </w:tcPr>
          <w:p>
            <w:pPr>
              <w:spacing w:after="0"/>
              <w:rPr>
                <w:sz w:val="17"/>
                <w:szCs w:val="17"/>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7"/>
                <w:szCs w:val="17"/>
                <w:color w:val="auto"/>
              </w:rPr>
              <w:t>Tranche Right II</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left="365"/>
              <w:spacing w:after="0"/>
              <w:rPr>
                <w:sz w:val="20"/>
                <w:szCs w:val="20"/>
                <w:color w:val="auto"/>
              </w:rPr>
            </w:pPr>
            <w:r>
              <w:rPr>
                <w:rFonts w:ascii="Arial" w:cs="Arial" w:eastAsia="Arial" w:hAnsi="Arial"/>
                <w:sz w:val="17"/>
                <w:szCs w:val="17"/>
                <w:color w:val="auto"/>
                <w:w w:val="92"/>
              </w:rPr>
              <w:t>(4,095)</w:t>
            </w:r>
          </w:p>
        </w:tc>
      </w:tr>
      <w:tr>
        <w:trPr>
          <w:trHeight w:val="20"/>
        </w:trPr>
        <w:tc>
          <w:tcPr>
            <w:tcW w:w="4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value of Tranche Rights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center"/>
              <w:ind w:left="365"/>
              <w:spacing w:after="0"/>
              <w:rPr>
                <w:sz w:val="20"/>
                <w:szCs w:val="20"/>
                <w:color w:val="auto"/>
              </w:rPr>
            </w:pPr>
            <w:r>
              <w:rPr>
                <w:rFonts w:ascii="Arial" w:cs="Arial" w:eastAsia="Arial" w:hAnsi="Arial"/>
                <w:sz w:val="17"/>
                <w:szCs w:val="17"/>
                <w:color w:val="auto"/>
                <w:w w:val="92"/>
              </w:rPr>
              <w:t>(2,600)</w:t>
            </w:r>
          </w:p>
        </w:tc>
      </w:tr>
      <w:tr>
        <w:trPr>
          <w:trHeight w:val="20"/>
        </w:trPr>
        <w:tc>
          <w:tcPr>
            <w:tcW w:w="4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8"/>
        <w:spacing w:after="0" w:line="315" w:lineRule="auto"/>
        <w:rPr>
          <w:sz w:val="20"/>
          <w:szCs w:val="20"/>
          <w:color w:val="auto"/>
        </w:rPr>
      </w:pPr>
      <w:r>
        <w:rPr>
          <w:rFonts w:ascii="Arial" w:cs="Arial" w:eastAsia="Arial" w:hAnsi="Arial"/>
          <w:sz w:val="16"/>
          <w:szCs w:val="16"/>
          <w:color w:val="auto"/>
        </w:rPr>
        <w:t>Tranche Right I was initially recorded as an asset of $1,495,000 as the purchase price of the additional shares was greater than the estimated value of the Series A Preferred Stock at the expected settlement date. The Company issued 18,500,000 additional shares under Tranche Right I, in three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Redeemable Convertible Preferred Stock (Continued)</w:t>
      </w:r>
    </w:p>
    <w:p>
      <w:pPr>
        <w:spacing w:after="0" w:line="22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separate closings during the year ended December 31, 2014 with total proceeds of $18,491,000, net of issuance costs. Prior to each closing, any change in the value of Tranche Right I was recorded as other financing expense. The fair value of the portion of the Tranche Right I settled at each closing was reclassified to Series A Preferred Stock. The Company recognized income of $261,000 related to the mark to market of Tranche Right I during the year ended December 31, 2014, which is included in other financing expense.</w:t>
      </w:r>
    </w:p>
    <w:p>
      <w:pPr>
        <w:spacing w:after="0" w:line="185"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Tranche Right II was initially recorded as a liability of $4,095,000 as the purchase price of the additional shares was less than the estimated price of the Series A Preferred Stock at the expected settlement date. The Company recognized expense of $2,210,000 related to the mark to market of Tranche Right II during the year ended December 31, 2014, which is included in other financing expense.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February 2015, Tranche Right II was settled when the Company closed the final issuance of Series A Preferred Stock. The Company recognized expense of</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$9,750,000 related to the mark to market of Tranche Right II during the period ended June 30, 2015, which is included in other financing expense. The fair value of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Tranche Right II settled at closing was reclassified to Series A Preferred Stock. The initial carrying amount of the Series A Preferred Stock issued upon the closing of</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Tranche Right II amounted to approximately $36,054,000 which exceeds the redemption value, therefore the carrying value is not being subsequently adjusted.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However, the Company has reflected accrued dividends of approximately $636,000 related to this issuance in the net loss attributable to common shareholders for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six months ended June 30, 2015.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Preferred Stock</w:t>
      </w:r>
    </w:p>
    <w:p>
      <w:pPr>
        <w:spacing w:after="0" w:line="224"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At June 30, 2015, 30,000,001 shares of Series B Preferred Stock were authorized, issued and outstanding. These shares were issued for $3.00 per share. This issuance resulted in cash proceeds of $89,780,000, net of issuance costs of $220,000. Additionally, a discount of $5,000,000 was recorded against the proceeds as the amount paid by Genzyme was in excess of fair value of the Series B Preferred Stock at issuance. The Series B Preferred Stock has a liquidation preference amount of $92,012,000.</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Preferred Stock are listed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224"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Shares of Preferred Stock are convertible at any time at the option of the holder into such number of shares as is determined by dividing the original issuance price by the conversion price in effect at the time. As of June 30, 2015, the conversion price was $4.25 for Series A Preferred Stock and $12.75 for Series B Preferred Stock, subject to adjustments to reflect the issuance of Common Stock, options, warrants, or other rights to subscribe for or to purchase Common Stock for a consideration per share, less than the conversion price then in effect and subsequent stock dividends and stock splits. 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Redeemable Convertible Preferred Stock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addition any reorganization, recapitalization, reclassification, consolidation or merger in which common stock is exchanged for securities, cash or other property.</w:t>
      </w:r>
    </w:p>
    <w:p>
      <w:pPr>
        <w:spacing w:after="0" w:line="236"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All outstanding shares of Preferred Stock are automatically converted upon the completion of either an initial public offering resulting in gross proceeds to the Company of at least $50.0 million or the vote or written consent of 67% of the then outstanding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Holders of Preferred Stock are entitled to receive, before any cash is paid out or set aside for any Common Stock, cash dividends at a rate of 8% of the original purchase price per share annually (the "Accruing Dividends"). The dividends accrue cumulatively on a daily basis and are payable only when, and if, declared by the Board of Directors or upon liquidation or redemption.</w:t>
      </w:r>
    </w:p>
    <w:p>
      <w:pPr>
        <w:spacing w:after="0" w:line="179"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addition, the holders of Preferred Stock are entitled to additional dividends based on dividends declared to common stockholders, thereby giving the preferred stockholders the right to participate in undistributed earnings of the Company above the stated per share dividend rate. The preferred stockholders do not have a contractual obligation to share in the losses of the Company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No dividends have been declared since the Company's inception. Aggregate cumulative preferred dividends on Preferred Stock at June 30, 2015 were $4,726,000.</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224"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Preferred Stock is redeemable at the option of the holder after the redemption date of February 2021. The redemption value of the Preferred Stock is equal to $3.00 per share for Series B Preferred Stock and $1.00 per share for Series A Preferred Stock plus any accrued but unpaid dividends. Accordingly, the Preferred Stock is being accreted to redemption value through its redemption date, including accruals for cumulative dividend rights. If the initial carrying value exceeds the redemption value the carrying value is not adjusted.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22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Holders of Series B Preferred Stock and Series A Preferred Stock have preference to the assets of the Company in the event of any voluntary or involuntary liquidation, dissolution or winding-up of the Company, equal to $3.00 per share for Series B Preferred Stock and $1.00 per share for Series A Preferred Stock, plus any accrued but unpaid dividends, whether or not declared, plus any dividends declared but unpaid thereon, on a pari passu basis. After the payment of the preference amounts to the holders of Series B Preferred Stock and Series A Preferred Stock, the remaining assets of the Company are to be distributed among the holders of Series A Preferred Stock and holders of Common Stock on a pro rata basis. However, if the aggregate amount which the holders of Series A Preferred Stock would be entitled to receive exceeds $2.50 per share (subject to appropriate adjustment in the event of any stock dividend, stock split, combination, reclassification or other similar event) (the "Maximum Participant Amount"), each holder of Series A Preferred Stock will receive the greater of the Maximum Participant Amount or the amount such holder would have received if all shares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Redeemable Convertible Preferred Stock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Series A Preferred Stock had been converted into Common Stock immediately prior to such liquidation.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Holders of Series A Preferred Stock and Series B Preferred Stock are entitled to vote as a single class with the holders of Common Stock on all matters submitted for vote to the Stockholders of the Company. The holders of Preferred Stock are entitled to one vote for each equivalent common share on an as-converted basis. In addition, the holders of Series A Preferred Stock are entitled to elect two (2) directors. The remaining directors shall be elected by the holders of Common Stock voting together with the holders of the Series B Preferred Stock as one class on an as-converted basis.</w:t>
      </w:r>
    </w:p>
    <w:p>
      <w:pPr>
        <w:spacing w:after="0" w:line="185"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holders of Series A Preferred Stock and Series B Preferred Stock have certain protective rights as defined. These protective rights require the Required Vote before action can be taken to (i) increase or decrease the number of shares of Series A Preferred Stock or Series B Preferred Stock that the Company has authority to issue, (ii) change the par value of the Series A Preferred Stock or Series B Preferred Stock, (iii) amend the Certificate of Incorporation in any way that adversely affects the holders of the Series A Preferred Stock or Series B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Common Stock</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As of December 31, 2013, December 31, 2014, and June 30, 2015, the Company had authorized 10,000, 65,000,000 and 95,000,000 shares of Common Stock, respectively at $0.001 par value per share.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w:t>
      </w:r>
    </w:p>
    <w:p>
      <w:pPr>
        <w:spacing w:after="0" w:line="224"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holders of shares of Common Stock are entitled to one vote for each share of Common Stock held at all meetings of stockholders and written actions in lieu of meetings.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holders of shares of Common Stock are entitled to receive dividends, if and when declared by the Board of Directors. Cash dividends may not be declared or paid to holders of shares of Common Stock until all accrued unpaid dividends on Series A Preferred Stock and Series B Preferred Stock have been paid in accordance with their terms. No dividends have been declared or paid by the Company since its inception.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Common Stock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After payment to of their respective liquidation preferences to the holders of shares of Series A Preferred Stock and Series B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620" w:type="dxa"/>
            <w:vAlign w:val="bottom"/>
            <w:gridSpan w:val="5"/>
          </w:tcPr>
          <w:p>
            <w:pPr>
              <w:ind w:left="200"/>
              <w:spacing w:after="0"/>
              <w:rPr>
                <w:sz w:val="20"/>
                <w:szCs w:val="20"/>
                <w:color w:val="auto"/>
              </w:rPr>
            </w:pPr>
            <w:r>
              <w:rPr>
                <w:rFonts w:ascii="Arial" w:cs="Arial" w:eastAsia="Arial" w:hAnsi="Arial"/>
                <w:sz w:val="13"/>
                <w:szCs w:val="13"/>
                <w:b w:val="1"/>
                <w:bCs w:val="1"/>
                <w:color w:val="auto"/>
              </w:rPr>
              <w:t>As of December 31,</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As of</w:t>
            </w:r>
          </w:p>
        </w:tc>
      </w:tr>
      <w:tr>
        <w:trPr>
          <w:trHeight w:val="137"/>
        </w:trPr>
        <w:tc>
          <w:tcPr>
            <w:tcW w:w="6400" w:type="dxa"/>
            <w:vAlign w:val="bottom"/>
          </w:tcPr>
          <w:p>
            <w:pPr>
              <w:spacing w:after="0"/>
              <w:rPr>
                <w:sz w:val="11"/>
                <w:szCs w:val="11"/>
                <w:color w:val="auto"/>
              </w:rPr>
            </w:pPr>
          </w:p>
        </w:tc>
        <w:tc>
          <w:tcPr>
            <w:tcW w:w="42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2013</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7"/>
              <w:spacing w:after="0" w:line="138" w:lineRule="exact"/>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1"/>
                <w:szCs w:val="11"/>
                <w:color w:val="auto"/>
              </w:rPr>
            </w:pPr>
          </w:p>
        </w:tc>
        <w:tc>
          <w:tcPr>
            <w:tcW w:w="11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9"/>
              </w:rPr>
              <w:t>June 30, 2015</w:t>
            </w:r>
          </w:p>
        </w:tc>
      </w:tr>
      <w:tr>
        <w:trPr>
          <w:trHeight w:val="137"/>
        </w:trPr>
        <w:tc>
          <w:tcPr>
            <w:tcW w:w="64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1"/>
                <w:szCs w:val="1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reserved for Series A Preferred Stock outstanding</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5,882,352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10,588,235</w:t>
            </w: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rPr>
              <w:t>Shares reserved for future issuances of Series A Preferred Stock</w:t>
            </w:r>
          </w:p>
        </w:tc>
        <w:tc>
          <w:tcPr>
            <w:tcW w:w="58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4,705,883</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reserved for Series B Preferred Stock outstanding</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7,058,819</w:t>
            </w: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w w:val="98"/>
              </w:rPr>
              <w:t>Shares reserved for vesting of restricted stock awards under the Founder Agreements</w:t>
            </w:r>
          </w:p>
        </w:tc>
        <w:tc>
          <w:tcPr>
            <w:tcW w:w="58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1,068,383</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925,741</w:t>
            </w:r>
          </w:p>
        </w:tc>
      </w:tr>
      <w:tr>
        <w:trPr>
          <w:trHeight w:val="201"/>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Shares reserved for vesting of restricted stock awards under the 2014 Option and Stock</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Plan</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1,510,434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1,234,601</w:t>
            </w:r>
          </w:p>
        </w:tc>
      </w:tr>
      <w:tr>
        <w:trPr>
          <w:trHeight w:val="210"/>
        </w:trPr>
        <w:tc>
          <w:tcPr>
            <w:tcW w:w="6400" w:type="dxa"/>
            <w:vAlign w:val="bottom"/>
          </w:tcPr>
          <w:p>
            <w:pPr>
              <w:ind w:left="20"/>
              <w:spacing w:after="0"/>
              <w:rPr>
                <w:sz w:val="20"/>
                <w:szCs w:val="20"/>
                <w:color w:val="auto"/>
              </w:rPr>
            </w:pPr>
            <w:r>
              <w:rPr>
                <w:rFonts w:ascii="Arial" w:cs="Arial" w:eastAsia="Arial" w:hAnsi="Arial"/>
                <w:sz w:val="17"/>
                <w:szCs w:val="17"/>
                <w:color w:val="auto"/>
              </w:rPr>
              <w:t>Shares reserved for exercise of stock options</w:t>
            </w:r>
          </w:p>
        </w:tc>
        <w:tc>
          <w:tcPr>
            <w:tcW w:w="58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339,035</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reserved for issuances under the 2014 Stock Option and Grant Plan</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291,052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5,070</w:t>
            </w:r>
          </w:p>
        </w:tc>
      </w:tr>
      <w:tr>
        <w:trPr>
          <w:trHeight w:val="203"/>
        </w:trPr>
        <w:tc>
          <w:tcPr>
            <w:tcW w:w="64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w w:val="82"/>
              </w:rPr>
              <w:t>—</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13,458,104</w:t>
            </w:r>
          </w:p>
        </w:tc>
        <w:tc>
          <w:tcPr>
            <w:tcW w:w="1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20,151,501</w:t>
            </w:r>
          </w:p>
        </w:tc>
        <w:tc>
          <w:tcPr>
            <w:tcW w:w="140" w:type="dxa"/>
            <w:vAlign w:val="bottom"/>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Stock Option and Grant Plan</w:t>
      </w:r>
    </w:p>
    <w:p>
      <w:pPr>
        <w:spacing w:after="0" w:line="224" w:lineRule="exact"/>
        <w:rPr>
          <w:sz w:val="20"/>
          <w:szCs w:val="20"/>
          <w:color w:val="auto"/>
        </w:rPr>
      </w:pPr>
    </w:p>
    <w:p>
      <w:pPr>
        <w:jc w:val="both"/>
        <w:ind w:right="220" w:firstLine="341"/>
        <w:spacing w:after="0" w:line="270" w:lineRule="auto"/>
        <w:rPr>
          <w:sz w:val="20"/>
          <w:szCs w:val="20"/>
          <w:color w:val="auto"/>
        </w:rPr>
      </w:pPr>
      <w:r>
        <w:rPr>
          <w:rFonts w:ascii="Arial" w:cs="Arial" w:eastAsia="Arial" w:hAnsi="Arial"/>
          <w:sz w:val="17"/>
          <w:szCs w:val="17"/>
          <w:color w:val="auto"/>
        </w:rPr>
        <w:t>In January 2014 the Company adopted the Voyager Therapeutics, Inc. 2014 Stock Option and Grant Plan (the "2014 Plan"), under which it may grant incentive stock options, non-qualified stock options, restricted stock awards, unrestricted stock awards, or restricted stock units to purchase up to 823,529 shares of Common Stock to employees, officers, directors and consultants of the Company.</w:t>
      </w:r>
    </w:p>
    <w:p>
      <w:pPr>
        <w:spacing w:after="0" w:line="17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In April 2014 the Company amended the Plan to allow for the issuance of up to 1,411,764 shares of Common Stock. In August 2014 and April 2015 the Company further amended the Plan to allow for the issuance of up to 2,000,000 and 2,047,058 shares of Common Stock, respectively. During the year ended December 31, 2014, the Company issued only restricted stock awards under the Plan and during the six months ended June 30, 2015 the Company only granted stock options.</w:t>
      </w:r>
    </w:p>
    <w:p>
      <w:pPr>
        <w:spacing w:after="0" w:line="145"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terms of stock awards agreements, including vesting requirements, are determined by the Board of Directors and are subject to the provisions of the 2014 Plan. Restricted Stock awards granted by the Company generally vest based on each grantee's continued service with the Company during a specified period following grant. Awards granted to employees generally vest over four years, with 25% vesting on the one year anniversary and 75% vesting ratably, on a monthly basis, over the remaining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three years. Awards granted to non-employee consultants generally vest monthly over a period of one to four years.</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During the year ended December 31, 2014, the Company granted a total of 1,597,988 shares of restricted stock to employees and 110,960 shares of restricted stock to non-employee consultants at an original issuance price of $0.04 per share. During the six months ended June 30, 2015 the Company issued 292,303 stock options to employees and directors and 48,618 stock options to non-employees. The Company did not have a stock option or grant plan as of December 31, 2013 and, as such, no stock options or restricted stock were issued during 2013. As of December 31, 2014 and June 30, 2015, there were 291,052 and 5,070 shares available for future issuance under the 2014 Plan,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Awards</w:t>
      </w:r>
    </w:p>
    <w:p>
      <w:pPr>
        <w:spacing w:after="0" w:line="224"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In January 2014 the Company issued 1,188,233 shares of restricted stock to its Founders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 The remaining 352,941 of the shares issued will begin vesting upon the achievement of certain performance objectives as well as continued service to the Company, as set forth in the agreements.</w:t>
      </w:r>
    </w:p>
    <w:p>
      <w:pPr>
        <w:spacing w:after="0" w:line="187" w:lineRule="exact"/>
        <w:rPr>
          <w:sz w:val="20"/>
          <w:szCs w:val="20"/>
          <w:color w:val="auto"/>
        </w:rPr>
      </w:pPr>
    </w:p>
    <w:p>
      <w:pPr>
        <w:ind w:right="120" w:firstLine="338"/>
        <w:spacing w:after="0" w:line="283" w:lineRule="auto"/>
        <w:rPr>
          <w:sz w:val="20"/>
          <w:szCs w:val="20"/>
          <w:color w:val="auto"/>
        </w:rPr>
      </w:pPr>
      <w:r>
        <w:rPr>
          <w:rFonts w:ascii="Arial" w:cs="Arial" w:eastAsia="Arial" w:hAnsi="Arial"/>
          <w:sz w:val="16"/>
          <w:szCs w:val="16"/>
          <w:color w:val="auto"/>
        </w:rPr>
        <w:t>These performance conditions are tied to certain milestone events specific to the Company's corporate goals, including but not limited to preclinical and clinical development milestones related to the Company's product candidates. Stock-based compensation expense associated with these performance-based awards will be recognized when the achievement of the performance condition is considered probable, using management's best estimates. As of December 31, 2014 and June 30, 2015, management has concluded that achievement of such performance-based milestones was not probable. Accordingly, no stock-based compensation expense was recorded as of December 31, 2014 and June 30, 2015 related to these awards.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compensation cost recognized for all stock-based compensation awards in the statements of operations and comprehensive loss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Period from</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June 19, 2013</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(Inception) to</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Year Ended</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Six Months</w:t>
            </w:r>
          </w:p>
        </w:tc>
        <w:tc>
          <w:tcPr>
            <w:tcW w:w="100" w:type="dxa"/>
            <w:vAlign w:val="bottom"/>
          </w:tcPr>
          <w:p>
            <w:pPr>
              <w:spacing w:after="0"/>
              <w:rPr>
                <w:sz w:val="12"/>
                <w:szCs w:val="12"/>
                <w:color w:val="auto"/>
              </w:rPr>
            </w:pPr>
          </w:p>
        </w:tc>
        <w:tc>
          <w:tcPr>
            <w:tcW w:w="2220" w:type="dxa"/>
            <w:vAlign w:val="bottom"/>
            <w:gridSpan w:val="3"/>
          </w:tcPr>
          <w:p>
            <w:pPr>
              <w:jc w:val="center"/>
              <w:ind w:right="1380"/>
              <w:spacing w:after="0" w:line="144" w:lineRule="exact"/>
              <w:rPr>
                <w:sz w:val="20"/>
                <w:szCs w:val="20"/>
                <w:color w:val="auto"/>
              </w:rPr>
            </w:pPr>
            <w:r>
              <w:rPr>
                <w:rFonts w:ascii="Arial" w:cs="Arial" w:eastAsia="Arial" w:hAnsi="Arial"/>
                <w:sz w:val="13"/>
                <w:szCs w:val="13"/>
                <w:b w:val="1"/>
                <w:bCs w:val="1"/>
                <w:color w:val="auto"/>
                <w:w w:val="92"/>
              </w:rPr>
              <w:t>Six Months</w:t>
            </w:r>
          </w:p>
        </w:tc>
      </w:tr>
      <w:tr>
        <w:trPr>
          <w:trHeight w:val="144"/>
        </w:trPr>
        <w:tc>
          <w:tcPr>
            <w:tcW w:w="11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Ended June 30,</w:t>
            </w:r>
          </w:p>
        </w:tc>
        <w:tc>
          <w:tcPr>
            <w:tcW w:w="100" w:type="dxa"/>
            <w:vAlign w:val="bottom"/>
          </w:tcPr>
          <w:p>
            <w:pPr>
              <w:spacing w:after="0"/>
              <w:rPr>
                <w:sz w:val="12"/>
                <w:szCs w:val="12"/>
                <w:color w:val="auto"/>
              </w:rPr>
            </w:pPr>
          </w:p>
        </w:tc>
        <w:tc>
          <w:tcPr>
            <w:tcW w:w="2220" w:type="dxa"/>
            <w:vAlign w:val="bottom"/>
            <w:gridSpan w:val="3"/>
          </w:tcPr>
          <w:p>
            <w:pPr>
              <w:jc w:val="center"/>
              <w:ind w:right="1360"/>
              <w:spacing w:after="0" w:line="144" w:lineRule="exact"/>
              <w:rPr>
                <w:sz w:val="20"/>
                <w:szCs w:val="20"/>
                <w:color w:val="auto"/>
              </w:rPr>
            </w:pPr>
            <w:r>
              <w:rPr>
                <w:rFonts w:ascii="Arial" w:cs="Arial" w:eastAsia="Arial" w:hAnsi="Arial"/>
                <w:sz w:val="13"/>
                <w:szCs w:val="13"/>
                <w:b w:val="1"/>
                <w:bCs w:val="1"/>
                <w:color w:val="auto"/>
                <w:w w:val="90"/>
              </w:rPr>
              <w:t>Ended June 30,</w:t>
            </w:r>
          </w:p>
        </w:tc>
      </w:tr>
      <w:tr>
        <w:trPr>
          <w:trHeight w:val="157"/>
        </w:trPr>
        <w:tc>
          <w:tcPr>
            <w:tcW w:w="11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2015</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7"/>
        </w:trPr>
        <w:tc>
          <w:tcPr>
            <w:tcW w:w="11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gridSpan w:val="6"/>
          </w:tcPr>
          <w:p>
            <w:pPr>
              <w:ind w:left="720"/>
              <w:spacing w:after="0" w:line="138" w:lineRule="exact"/>
              <w:rPr>
                <w:sz w:val="20"/>
                <w:szCs w:val="20"/>
                <w:color w:val="auto"/>
              </w:rPr>
            </w:pPr>
            <w:r>
              <w:rPr>
                <w:rFonts w:ascii="Arial" w:cs="Arial" w:eastAsia="Arial" w:hAnsi="Arial"/>
                <w:sz w:val="13"/>
                <w:szCs w:val="13"/>
                <w:b w:val="1"/>
                <w:bCs w:val="1"/>
                <w:color w:val="auto"/>
              </w:rPr>
              <w:t>(unaudited)</w:t>
            </w:r>
          </w:p>
        </w:tc>
      </w:tr>
      <w:tr>
        <w:trPr>
          <w:trHeight w:val="210"/>
        </w:trPr>
        <w:tc>
          <w:tcPr>
            <w:tcW w:w="11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859</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345</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stock-compensation expense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1,204</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0" w:type="dxa"/>
            <w:vAlign w:val="bottom"/>
            <w:gridSpan w:val="4"/>
          </w:tcPr>
          <w:p>
            <w:pPr>
              <w:ind w:left="960"/>
              <w:spacing w:after="0"/>
              <w:rPr>
                <w:sz w:val="20"/>
                <w:szCs w:val="20"/>
                <w:color w:val="auto"/>
              </w:rPr>
            </w:pPr>
            <w:r>
              <w:rPr>
                <w:rFonts w:ascii="Arial" w:cs="Arial" w:eastAsia="Arial" w:hAnsi="Arial"/>
                <w:sz w:val="17"/>
                <w:szCs w:val="17"/>
                <w:color w:val="auto"/>
              </w:rPr>
              <w:t>F-34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24"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The Company did not issue restricted stock awards or record stock-based compensation expense during the year ended December 31, 2013. A summary of the status of and changes in unvested restricted stock as of December 31, 2014 and June 30, 2015 was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5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5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Grant Date</w:t>
            </w:r>
          </w:p>
        </w:tc>
      </w:tr>
      <w:tr>
        <w:trPr>
          <w:trHeight w:val="144"/>
        </w:trPr>
        <w:tc>
          <w:tcPr>
            <w:tcW w:w="5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57"/>
        </w:trPr>
        <w:tc>
          <w:tcPr>
            <w:tcW w:w="5980" w:type="dxa"/>
            <w:vAlign w:val="bottom"/>
          </w:tcPr>
          <w:p>
            <w:pPr>
              <w:spacing w:after="0"/>
              <w:rPr>
                <w:sz w:val="13"/>
                <w:szCs w:val="13"/>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8"/>
              </w:rPr>
              <w:t>Per Share</w:t>
            </w:r>
          </w:p>
        </w:tc>
        <w:tc>
          <w:tcPr>
            <w:tcW w:w="160" w:type="dxa"/>
            <w:vAlign w:val="bottom"/>
          </w:tcPr>
          <w:p>
            <w:pPr>
              <w:spacing w:after="0"/>
              <w:rPr>
                <w:sz w:val="13"/>
                <w:szCs w:val="13"/>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Unvested restricted common stock as of December 31, 2013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980" w:type="dxa"/>
            <w:vAlign w:val="bottom"/>
          </w:tcPr>
          <w:p>
            <w:pPr>
              <w:spacing w:after="0"/>
              <w:rPr>
                <w:sz w:val="20"/>
                <w:szCs w:val="20"/>
                <w:color w:val="auto"/>
              </w:rPr>
            </w:pPr>
            <w:r>
              <w:rPr>
                <w:rFonts w:ascii="Arial" w:cs="Arial" w:eastAsia="Arial" w:hAnsi="Arial"/>
                <w:sz w:val="17"/>
                <w:szCs w:val="17"/>
                <w:color w:val="auto"/>
              </w:rPr>
              <w:t>Issued</w:t>
            </w:r>
          </w:p>
        </w:tc>
        <w:tc>
          <w:tcPr>
            <w:tcW w:w="900" w:type="dxa"/>
            <w:vAlign w:val="bottom"/>
          </w:tcPr>
          <w:p>
            <w:pPr>
              <w:jc w:val="right"/>
              <w:spacing w:after="0"/>
              <w:rPr>
                <w:sz w:val="20"/>
                <w:szCs w:val="20"/>
                <w:color w:val="auto"/>
              </w:rPr>
            </w:pPr>
            <w:r>
              <w:rPr>
                <w:rFonts w:ascii="Arial" w:cs="Arial" w:eastAsia="Arial" w:hAnsi="Arial"/>
                <w:sz w:val="17"/>
                <w:szCs w:val="17"/>
                <w:color w:val="auto"/>
              </w:rPr>
              <w:t>2,897,181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0.77</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(318,364)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16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7"/>
                <w:szCs w:val="17"/>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Repurchased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3"/>
        </w:trPr>
        <w:tc>
          <w:tcPr>
            <w:tcW w:w="5980" w:type="dxa"/>
            <w:vAlign w:val="bottom"/>
          </w:tcPr>
          <w:p>
            <w:pPr>
              <w:spacing w:after="0"/>
              <w:rPr>
                <w:sz w:val="20"/>
                <w:szCs w:val="20"/>
                <w:color w:val="auto"/>
              </w:rPr>
            </w:pPr>
            <w:r>
              <w:rPr>
                <w:rFonts w:ascii="Arial" w:cs="Arial" w:eastAsia="Arial" w:hAnsi="Arial"/>
                <w:sz w:val="17"/>
                <w:szCs w:val="17"/>
                <w:b w:val="1"/>
                <w:bCs w:val="1"/>
                <w:color w:val="auto"/>
              </w:rPr>
              <w:t>Unvested restricted common stock as of December 31, 2014</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2,578,817</w:t>
            </w: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0.77</w:t>
            </w:r>
          </w:p>
        </w:tc>
        <w:tc>
          <w:tcPr>
            <w:tcW w:w="16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Issued</w:t>
            </w: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7"/>
                <w:szCs w:val="17"/>
                <w:color w:val="auto"/>
              </w:rPr>
              <w:t>Vested</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(411,417)</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0.72</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Repurchased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7"/>
                <w:szCs w:val="17"/>
                <w:b w:val="1"/>
                <w:bCs w:val="1"/>
                <w:color w:val="auto"/>
              </w:rPr>
              <w:t>Unvested restricted common stock as of June 30, 2015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2,160,342</w:t>
            </w: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0.77</w:t>
            </w:r>
          </w:p>
        </w:tc>
        <w:tc>
          <w:tcPr>
            <w:tcW w:w="16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8"/>
        <w:spacing w:after="0" w:line="352" w:lineRule="auto"/>
        <w:rPr>
          <w:sz w:val="20"/>
          <w:szCs w:val="20"/>
          <w:color w:val="auto"/>
        </w:rPr>
      </w:pPr>
      <w:r>
        <w:rPr>
          <w:rFonts w:ascii="Arial" w:cs="Arial" w:eastAsia="Arial" w:hAnsi="Arial"/>
          <w:sz w:val="15"/>
          <w:szCs w:val="15"/>
          <w:color w:val="auto"/>
        </w:rPr>
        <w:t>The expense related to awards granted to employees and non-employees was $231,000 and $194,000, respectively, for the year ended December 31, 2014. The expense related to awards granted to employees and non-employees was $191,000 and $662,000, respectively, for the six months ended June 30, 2015.</w:t>
      </w:r>
    </w:p>
    <w:p>
      <w:pPr>
        <w:spacing w:after="0" w:line="123"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As of June 30, 2015, the Company had unrecognized stock-based compensation expense related to its unvested restricted stock awards of $5,086,000, which is expected to be recognized over the remaining weighted average vesting period of 2.64 years.</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aggregate fair value of restricted stock awards vested during the year ended December 31, 2014 and the six months ended June 30, 2015, based on estimated fair values of the stock underlying the restricted stock awards on the day of vesting, was $253,000 and $1,473,000 respectively.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the status of, and changes in, stock options as of December 31, 2014 and June 30, 2015 was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Exercise</w:t>
            </w:r>
          </w:p>
        </w:tc>
        <w:tc>
          <w:tcPr>
            <w:tcW w:w="9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Life</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(in thousands)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7"/>
                <w:szCs w:val="17"/>
                <w:color w:val="auto"/>
              </w:rPr>
              <w:t>Granted</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340,921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7.27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7.27</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7"/>
                <w:szCs w:val="17"/>
                <w:color w:val="auto"/>
              </w:rPr>
              <w:t>Cancelled or forfeited</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7.27</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June 30, 2015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339,035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7"/>
                <w:szCs w:val="17"/>
                <w:color w:val="auto"/>
              </w:rPr>
              <w:t>Exercisable at June 30,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7.27</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9.8</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line="20" w:lineRule="exact"/>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47,592</w:t>
            </w: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Vested and expected to vest at June 30, 2015</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339,035</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7.27</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Using the Black-Scholes option pricing model, the weighted average fair value of options granted to employees and directors during the six months ended June 30, 2015 was $4.93. The expense related to awards granted to employees and directors was $137,000, for the six months ended June 30, 2015. There were no stock options granted during the period and year ended December 31, 2013 and 2014.</w:t>
      </w:r>
    </w:p>
    <w:p>
      <w:pPr>
        <w:spacing w:after="0" w:line="179"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fair value of each option issued to employees and directors was estimated at the date of grant using the Black-Scholes option pricing model with the following weighted-average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8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880" w:type="dxa"/>
            <w:vAlign w:val="bottom"/>
          </w:tcPr>
          <w:p>
            <w:pPr>
              <w:spacing w:after="0"/>
              <w:rPr>
                <w:sz w:val="12"/>
                <w:szCs w:val="12"/>
                <w:color w:val="auto"/>
              </w:rPr>
            </w:pPr>
          </w:p>
        </w:tc>
        <w:tc>
          <w:tcPr>
            <w:tcW w:w="11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57"/>
        </w:trPr>
        <w:tc>
          <w:tcPr>
            <w:tcW w:w="68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2015</w:t>
            </w:r>
          </w:p>
        </w:tc>
        <w:tc>
          <w:tcPr>
            <w:tcW w:w="160" w:type="dxa"/>
            <w:vAlign w:val="bottom"/>
          </w:tcPr>
          <w:p>
            <w:pPr>
              <w:spacing w:after="0"/>
              <w:rPr>
                <w:sz w:val="13"/>
                <w:szCs w:val="13"/>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68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Expected volatility</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79.1%</w:t>
            </w:r>
          </w:p>
        </w:tc>
      </w:tr>
    </w:tbl>
    <w:p>
      <w:pPr>
        <w:spacing w:after="0" w:line="195"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Using the Black-Scholes option pricing model, the weighted average fair value of options granted to non-employees during the six months ended June 30, 2015 was $6.08. Unvested options granted to non-employees are revalued as they vest. The expense related to awards granted to non-employees was $215,000 for the six months ended June 30, 2015. There were no stock options granted during the period and year ended December 31, 2013 and 2014.</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 (Continued)</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fair value of each option issued to non-employees was estimated at the date of grant using the Black-Scholes option pricing model with the following weighted-average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8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880" w:type="dxa"/>
            <w:vAlign w:val="bottom"/>
          </w:tcPr>
          <w:p>
            <w:pPr>
              <w:spacing w:after="0"/>
              <w:rPr>
                <w:sz w:val="12"/>
                <w:szCs w:val="12"/>
                <w:color w:val="auto"/>
              </w:rPr>
            </w:pPr>
          </w:p>
        </w:tc>
        <w:tc>
          <w:tcPr>
            <w:tcW w:w="11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57"/>
        </w:trPr>
        <w:tc>
          <w:tcPr>
            <w:tcW w:w="68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2015</w:t>
            </w:r>
          </w:p>
        </w:tc>
        <w:tc>
          <w:tcPr>
            <w:tcW w:w="160" w:type="dxa"/>
            <w:vAlign w:val="bottom"/>
          </w:tcPr>
          <w:p>
            <w:pPr>
              <w:spacing w:after="0"/>
              <w:rPr>
                <w:sz w:val="13"/>
                <w:szCs w:val="13"/>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68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Expected volatility</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83.5%</w:t>
            </w:r>
          </w:p>
        </w:tc>
      </w:tr>
    </w:tbl>
    <w:p>
      <w:pPr>
        <w:spacing w:after="0" w:line="195"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As of June 30, 2015, the Company had unrecognized stock-based compensation expense related to its unvested stock options of $1,396,000 which is expected to be recognized over the remaining weighted average vesting period of 3.41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401(k) Savings Plan</w:t>
      </w:r>
    </w:p>
    <w:p>
      <w:pPr>
        <w:spacing w:after="0" w:line="228" w:lineRule="exact"/>
        <w:rPr>
          <w:sz w:val="20"/>
          <w:szCs w:val="20"/>
          <w:color w:val="auto"/>
        </w:rPr>
      </w:pPr>
    </w:p>
    <w:p>
      <w:pPr>
        <w:ind w:right="340" w:firstLine="338"/>
        <w:spacing w:after="0" w:line="294" w:lineRule="auto"/>
        <w:rPr>
          <w:sz w:val="20"/>
          <w:szCs w:val="20"/>
          <w:color w:val="auto"/>
        </w:rPr>
      </w:pPr>
      <w:r>
        <w:rPr>
          <w:rFonts w:ascii="Arial" w:cs="Arial" w:eastAsia="Arial" w:hAnsi="Arial"/>
          <w:sz w:val="16"/>
          <w:szCs w:val="16"/>
          <w:color w:val="auto"/>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 to date.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28" w:lineRule="exact"/>
        <w:rPr>
          <w:sz w:val="20"/>
          <w:szCs w:val="20"/>
          <w:color w:val="auto"/>
        </w:rPr>
      </w:pPr>
    </w:p>
    <w:p>
      <w:pPr>
        <w:ind w:right="560" w:firstLine="332"/>
        <w:spacing w:after="0" w:line="282" w:lineRule="auto"/>
        <w:rPr>
          <w:sz w:val="20"/>
          <w:szCs w:val="20"/>
          <w:color w:val="auto"/>
        </w:rPr>
      </w:pPr>
      <w:r>
        <w:rPr>
          <w:rFonts w:ascii="Arial" w:cs="Arial" w:eastAsia="Arial" w:hAnsi="Arial"/>
          <w:sz w:val="17"/>
          <w:szCs w:val="17"/>
          <w:color w:val="auto"/>
        </w:rPr>
        <w:t>A reconciliation of the expected income tax (benefit) computed using the federal statutory income tax rate to the Company's effective income tax rate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Period Ended</w:t>
            </w:r>
          </w:p>
        </w:tc>
        <w:tc>
          <w:tcPr>
            <w:tcW w:w="2980" w:type="dxa"/>
            <w:vAlign w:val="bottom"/>
            <w:gridSpan w:val="3"/>
          </w:tcPr>
          <w:p>
            <w:pPr>
              <w:jc w:val="center"/>
              <w:ind w:right="208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2980" w:type="dxa"/>
            <w:vAlign w:val="bottom"/>
            <w:gridSpan w:val="3"/>
          </w:tcPr>
          <w:p>
            <w:pPr>
              <w:jc w:val="center"/>
              <w:ind w:right="20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2013</w:t>
            </w:r>
          </w:p>
        </w:tc>
        <w:tc>
          <w:tcPr>
            <w:tcW w:w="3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2014</w:t>
            </w: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w w:val="96"/>
              </w:rPr>
              <w:t>Income tax computed at federal statutory tax rate</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34.0%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120" w:type="dxa"/>
            <w:vAlign w:val="bottom"/>
            <w:gridSpan w:val="3"/>
          </w:tcPr>
          <w:p>
            <w:pPr>
              <w:jc w:val="right"/>
              <w:ind w:right="200"/>
              <w:spacing w:after="0"/>
              <w:rPr>
                <w:sz w:val="20"/>
                <w:szCs w:val="20"/>
                <w:color w:val="auto"/>
              </w:rPr>
            </w:pPr>
            <w:r>
              <w:rPr>
                <w:rFonts w:ascii="Arial" w:cs="Arial" w:eastAsia="Arial" w:hAnsi="Arial"/>
                <w:sz w:val="17"/>
                <w:szCs w:val="17"/>
                <w:color w:val="auto"/>
              </w:rPr>
              <w:t>6.3%</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General business credit carryovers</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Non-deductible expenses</w:t>
            </w:r>
          </w:p>
        </w:tc>
        <w:tc>
          <w:tcPr>
            <w:tcW w:w="3120" w:type="dxa"/>
            <w:vAlign w:val="bottom"/>
            <w:gridSpan w:val="3"/>
          </w:tcPr>
          <w:p>
            <w:pPr>
              <w:jc w:val="right"/>
              <w:ind w:right="140"/>
              <w:spacing w:after="0"/>
              <w:rPr>
                <w:sz w:val="20"/>
                <w:szCs w:val="20"/>
                <w:color w:val="auto"/>
              </w:rPr>
            </w:pPr>
            <w:r>
              <w:rPr>
                <w:rFonts w:ascii="Arial" w:cs="Arial" w:eastAsia="Arial" w:hAnsi="Arial"/>
                <w:sz w:val="17"/>
                <w:szCs w:val="17"/>
                <w:color w:val="auto"/>
              </w:rPr>
              <w:t>(0.7)%</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120" w:type="dxa"/>
            <w:vAlign w:val="bottom"/>
            <w:gridSpan w:val="3"/>
          </w:tcPr>
          <w:p>
            <w:pPr>
              <w:jc w:val="right"/>
              <w:ind w:right="2560"/>
              <w:spacing w:after="0"/>
              <w:rPr>
                <w:sz w:val="20"/>
                <w:szCs w:val="20"/>
                <w:color w:val="auto"/>
              </w:rPr>
            </w:pPr>
            <w:r>
              <w:rPr>
                <w:rFonts w:ascii="Arial" w:cs="Arial" w:eastAsia="Arial" w:hAnsi="Arial"/>
                <w:sz w:val="17"/>
                <w:szCs w:val="17"/>
                <w:color w:val="auto"/>
              </w:rPr>
              <w:t>F-37</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components of the Company's deferred tax assets and liabilities consist of the following at December 31, 2013 and 2014 (in thousands):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Period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Year Ended</w:t>
            </w:r>
          </w:p>
        </w:tc>
      </w:tr>
      <w:tr>
        <w:trPr>
          <w:trHeight w:val="144"/>
        </w:trPr>
        <w:tc>
          <w:tcPr>
            <w:tcW w:w="4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December 31,</w:t>
            </w:r>
          </w:p>
        </w:tc>
      </w:tr>
      <w:tr>
        <w:trPr>
          <w:trHeight w:val="157"/>
        </w:trPr>
        <w:tc>
          <w:tcPr>
            <w:tcW w:w="4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1,470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6,643</w:t>
            </w:r>
          </w:p>
        </w:tc>
        <w:tc>
          <w:tcPr>
            <w:tcW w:w="160" w:type="dxa"/>
            <w:vAlign w:val="bottom"/>
          </w:tcPr>
          <w:p>
            <w:pPr>
              <w:spacing w:after="0"/>
              <w:rPr>
                <w:sz w:val="18"/>
                <w:szCs w:val="18"/>
                <w:color w:val="auto"/>
              </w:rPr>
            </w:pPr>
          </w:p>
        </w:tc>
      </w:tr>
      <w:tr>
        <w:trPr>
          <w:trHeight w:val="210"/>
        </w:trPr>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 credit carryforwards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160" w:type="dxa"/>
            <w:vAlign w:val="bottom"/>
            <w:shd w:val="clear" w:color="auto" w:fill="CCEEFF"/>
          </w:tcPr>
          <w:p>
            <w:pPr>
              <w:spacing w:after="0"/>
              <w:rPr>
                <w:sz w:val="18"/>
                <w:szCs w:val="18"/>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7"/>
                <w:szCs w:val="17"/>
                <w:color w:val="auto"/>
              </w:rPr>
              <w:t>Deferred rent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626</w:t>
            </w:r>
          </w:p>
        </w:tc>
        <w:tc>
          <w:tcPr>
            <w:tcW w:w="160" w:type="dxa"/>
            <w:vAlign w:val="bottom"/>
          </w:tcPr>
          <w:p>
            <w:pPr>
              <w:spacing w:after="0"/>
              <w:rPr>
                <w:sz w:val="18"/>
                <w:szCs w:val="18"/>
                <w:color w:val="auto"/>
              </w:rPr>
            </w:pPr>
          </w:p>
        </w:tc>
      </w:tr>
      <w:tr>
        <w:trPr>
          <w:trHeight w:val="210"/>
        </w:trPr>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60" w:type="dxa"/>
            <w:vAlign w:val="bottom"/>
            <w:shd w:val="clear" w:color="auto" w:fill="CCEEFF"/>
          </w:tcPr>
          <w:p>
            <w:pPr>
              <w:spacing w:after="0"/>
              <w:rPr>
                <w:sz w:val="18"/>
                <w:szCs w:val="18"/>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7"/>
                <w:szCs w:val="17"/>
                <w:color w:val="auto"/>
              </w:rPr>
              <w:t>Non-deductible expenses</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8"/>
                <w:szCs w:val="18"/>
                <w:color w:val="auto"/>
              </w:rPr>
            </w:pPr>
          </w:p>
        </w:tc>
      </w:tr>
      <w:tr>
        <w:trPr>
          <w:trHeight w:val="203"/>
        </w:trPr>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 tax assets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8,348</w:t>
            </w:r>
          </w:p>
        </w:tc>
        <w:tc>
          <w:tcPr>
            <w:tcW w:w="160" w:type="dxa"/>
            <w:vAlign w:val="bottom"/>
            <w:shd w:val="clear" w:color="auto" w:fill="CCEEFF"/>
          </w:tcPr>
          <w:p>
            <w:pPr>
              <w:spacing w:after="0"/>
              <w:rPr>
                <w:sz w:val="17"/>
                <w:szCs w:val="17"/>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7"/>
                <w:szCs w:val="17"/>
                <w:color w:val="auto"/>
              </w:rPr>
              <w:t>Less valuation allowance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(1,611)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(7,599)</w:t>
            </w:r>
          </w:p>
        </w:tc>
      </w:tr>
      <w:tr>
        <w:trPr>
          <w:trHeight w:val="20"/>
        </w:trPr>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deferred tax assets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60" w:type="dxa"/>
            <w:vAlign w:val="bottom"/>
            <w:shd w:val="clear" w:color="auto" w:fill="CCEEFF"/>
          </w:tcPr>
          <w:p>
            <w:pPr>
              <w:spacing w:after="0"/>
              <w:rPr>
                <w:sz w:val="17"/>
                <w:szCs w:val="17"/>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7"/>
                <w:szCs w:val="17"/>
                <w:color w:val="auto"/>
              </w:rPr>
              <w:t>Deferred tax liabilities—depreciation and amortization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(749)</w:t>
            </w:r>
          </w:p>
        </w:tc>
      </w:tr>
      <w:tr>
        <w:trPr>
          <w:trHeight w:val="20"/>
        </w:trPr>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338"/>
        <w:spacing w:after="0" w:line="270" w:lineRule="auto"/>
        <w:rPr>
          <w:sz w:val="20"/>
          <w:szCs w:val="20"/>
          <w:color w:val="auto"/>
        </w:rPr>
      </w:pPr>
      <w:r>
        <w:rPr>
          <w:rFonts w:ascii="Arial" w:cs="Arial" w:eastAsia="Arial" w:hAnsi="Arial"/>
          <w:sz w:val="17"/>
          <w:szCs w:val="17"/>
          <w:color w:val="auto"/>
        </w:rPr>
        <w:t>The Company has incurred net operating losses ("NOL") since June 2013. At December 31, 2014, the Company had federal and state net operating loss carryforwards of $17,060,000 and $15,963,000, respectively, which expire beginning in 2033. As of December 31, 2014, the Company had federal and state research and development tax credits carryforwards of $448,000 and $341,000, respectively, which expire beginning in 2028.</w:t>
      </w:r>
    </w:p>
    <w:p>
      <w:pPr>
        <w:spacing w:after="0" w:line="17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The Company has not determined whether a limitation has occurred.</w:t>
      </w:r>
    </w:p>
    <w:p>
      <w:pPr>
        <w:spacing w:after="0" w:line="179"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required by ASC 740, management has evaluated the positive and negative evidence bearing upon the realizability of its deferred tax assets, which principally comprise NOL carryforwards and research and development credit carryforwards. Management has determined that it is more likely than not that the Company will not recognize the benefits of its federal and state deferred tax assets, and as a result, a valuation allowance of $1,611,000 and $7,599,000 has been established at December 31, 2013 and 2014, respectively. The change in the valuation allowance was $5,988,000 for the year ended December 31, 2014 was primary due to additional operating losses.</w:t>
      </w:r>
    </w:p>
    <w:p>
      <w:pPr>
        <w:spacing w:after="0" w:line="187" w:lineRule="exact"/>
        <w:rPr>
          <w:sz w:val="20"/>
          <w:szCs w:val="20"/>
          <w:color w:val="auto"/>
        </w:rPr>
      </w:pPr>
    </w:p>
    <w:p>
      <w:pPr>
        <w:ind w:right="20" w:firstLine="338"/>
        <w:spacing w:after="0" w:line="311" w:lineRule="auto"/>
        <w:rPr>
          <w:sz w:val="20"/>
          <w:szCs w:val="20"/>
          <w:color w:val="auto"/>
        </w:rPr>
      </w:pPr>
      <w:r>
        <w:rPr>
          <w:rFonts w:ascii="Arial" w:cs="Arial" w:eastAsia="Arial" w:hAnsi="Arial"/>
          <w:sz w:val="15"/>
          <w:szCs w:val="15"/>
          <w:color w:val="auto"/>
        </w:rPr>
        <w:t>The Company applies ASC 740 related to accounting for uncertainty in income taxes. The Company's reserves related to income taxes are based on a determination of whether, and how much of, a tax benefit take by the Company in its tax filings or positions is more likely than not to be realized following resolution of any potential contingencies present related to the tax benefit. At December 31, 2014 and 2013, the Company had no unrecognized tax benefits. Interest and penalty charges, if any, related to unrecognized tax benefits would be classified as income tax expense in the accompanying statements of operations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 (Continued)</w:t>
      </w:r>
    </w:p>
    <w:p>
      <w:pPr>
        <w:spacing w:after="0" w:line="228"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87" w:lineRule="exact"/>
        <w:rPr>
          <w:sz w:val="20"/>
          <w:szCs w:val="20"/>
          <w:color w:val="auto"/>
        </w:rPr>
      </w:pPr>
    </w:p>
    <w:p>
      <w:pPr>
        <w:jc w:val="both"/>
        <w:ind w:right="200" w:firstLine="338"/>
        <w:spacing w:after="0" w:line="294" w:lineRule="auto"/>
        <w:rPr>
          <w:sz w:val="20"/>
          <w:szCs w:val="20"/>
          <w:color w:val="auto"/>
        </w:rPr>
      </w:pPr>
      <w:r>
        <w:rPr>
          <w:rFonts w:ascii="Arial" w:cs="Arial" w:eastAsia="Arial" w:hAnsi="Arial"/>
          <w:sz w:val="16"/>
          <w:szCs w:val="16"/>
          <w:color w:val="auto"/>
        </w:rPr>
        <w:t>The Company files income tax returns in the U.S. federal tax jurisdiction and the Massachusetts state jurisdiction. Since the Company is in a loss carryforward position, the Company is generally subject to examination by the U.S. federal, state and local income tax authorities for all tax years in which a loss carryforward is available. The Company did not have any international operations as of December 31, 2014. There are federal or state audits in process.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Related-party transactions</w:t>
      </w:r>
    </w:p>
    <w:p>
      <w:pPr>
        <w:spacing w:after="0" w:line="228" w:lineRule="exact"/>
        <w:rPr>
          <w:sz w:val="20"/>
          <w:szCs w:val="20"/>
          <w:color w:val="auto"/>
        </w:rPr>
      </w:pPr>
    </w:p>
    <w:p>
      <w:pPr>
        <w:jc w:val="both"/>
        <w:ind w:right="200" w:firstLine="341"/>
        <w:spacing w:after="0" w:line="282" w:lineRule="auto"/>
        <w:rPr>
          <w:sz w:val="20"/>
          <w:szCs w:val="20"/>
          <w:color w:val="auto"/>
        </w:rPr>
      </w:pPr>
      <w:r>
        <w:rPr>
          <w:rFonts w:ascii="Arial" w:cs="Arial" w:eastAsia="Arial" w:hAnsi="Arial"/>
          <w:sz w:val="17"/>
          <w:szCs w:val="17"/>
          <w:color w:val="auto"/>
        </w:rPr>
        <w:t>Since inception, the Company received consulting and management services from one of its investors. In January 2014, the Company issued 470,589 shares of common stock as partial compensation for these services. The fair value of the shares was approximately $238,000.</w:t>
      </w:r>
    </w:p>
    <w:p>
      <w:pPr>
        <w:spacing w:after="0" w:line="170"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total amount of consulting and management services provided by this investor amounted to $2,379,000 and $1,280,000 during the period and year ended December 31, 2013 and 2014 and $946,000 and $115,000 during the six months ended June 30, 2014 and 2015, respectively. As of December 31, 2013, December 31, 2014, and June 30, 2015, the Company included approximately $514,000, $353,000, and $46,000, respectively, in accounts payable related to service fees charged by this investor.</w:t>
      </w:r>
    </w:p>
    <w:p>
      <w:pPr>
        <w:spacing w:after="0" w:line="185" w:lineRule="exact"/>
        <w:rPr>
          <w:sz w:val="20"/>
          <w:szCs w:val="20"/>
          <w:color w:val="auto"/>
        </w:rPr>
      </w:pPr>
    </w:p>
    <w:p>
      <w:pPr>
        <w:jc w:val="both"/>
        <w:ind w:right="360" w:firstLine="341"/>
        <w:spacing w:after="0" w:line="270" w:lineRule="auto"/>
        <w:rPr>
          <w:sz w:val="20"/>
          <w:szCs w:val="20"/>
          <w:color w:val="auto"/>
        </w:rPr>
      </w:pPr>
      <w:r>
        <w:rPr>
          <w:rFonts w:ascii="Arial" w:cs="Arial" w:eastAsia="Arial" w:hAnsi="Arial"/>
          <w:sz w:val="17"/>
          <w:szCs w:val="17"/>
          <w:color w:val="auto"/>
        </w:rPr>
        <w:t>During the six month period ended June 30, 2015 the Company recognized $7,460,000 of revenue associated with its collaboration with Genzyme related to research and development services provided during this period. The company also recognized $2.1 million of expense during the six months ended June 30, 2015 related to in-kind services provided by Genzyme associated with the collaboration arrangement.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For the purposes of the financial statements as of December 31, 2013 and December 31, 2014 and the period and year then ended, the Company has evaluated the subsequent events through June 19, 2015, the date these audited financial statements were originally issued and October 30, 2015, the date these revised audited financial statements were issued.</w:t>
      </w:r>
    </w:p>
    <w:p>
      <w:pPr>
        <w:spacing w:after="0" w:line="179" w:lineRule="exact"/>
        <w:rPr>
          <w:sz w:val="20"/>
          <w:szCs w:val="20"/>
          <w:color w:val="auto"/>
        </w:rPr>
      </w:pPr>
    </w:p>
    <w:p>
      <w:pPr>
        <w:ind w:right="100" w:firstLine="341"/>
        <w:spacing w:after="0" w:line="282" w:lineRule="auto"/>
        <w:rPr>
          <w:sz w:val="20"/>
          <w:szCs w:val="20"/>
          <w:color w:val="auto"/>
        </w:rPr>
      </w:pPr>
      <w:r>
        <w:rPr>
          <w:rFonts w:ascii="Arial" w:cs="Arial" w:eastAsia="Arial" w:hAnsi="Arial"/>
          <w:sz w:val="17"/>
          <w:szCs w:val="17"/>
          <w:color w:val="auto"/>
        </w:rPr>
        <w:t>For the purpose of the interim financial statements as of June 30, 2015 and for the six month periods ended June 30, 2014 and 2015, the Company has evaluated the subsequent events through August 28, 2015 the date these interim financial statements were issued.</w:t>
      </w:r>
    </w:p>
    <w:p>
      <w:pPr>
        <w:spacing w:after="0" w:line="183" w:lineRule="exact"/>
        <w:rPr>
          <w:sz w:val="20"/>
          <w:szCs w:val="20"/>
          <w:color w:val="auto"/>
        </w:rPr>
      </w:pPr>
    </w:p>
    <w:p>
      <w:pPr>
        <w:ind w:left="1060" w:hanging="531"/>
        <w:spacing w:after="0"/>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Corporate actions (Unaudited)</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5560" w:right="980" w:hanging="4506"/>
        <w:spacing w:after="0" w:line="540" w:lineRule="auto"/>
        <w:tabs>
          <w:tab w:leader="none" w:pos="158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 August 2015, the Company amended the 2014 Plan to increase the number of shares reserved for issuance to 2,669,411 shares. 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Voyager Therapeutics, Inc.</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auto"/>
        </w:rPr>
        <w:t>(Information as of June 30, 2015 and for the six months ended</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i w:val="1"/>
          <w:iCs w:val="1"/>
          <w:color w:val="auto"/>
        </w:rPr>
        <w:t>June 30, 2014 and 2015 is unaudited)</w:t>
      </w:r>
    </w:p>
    <w:p>
      <w:pPr>
        <w:spacing w:after="0" w:line="214" w:lineRule="exact"/>
        <w:rPr>
          <w:sz w:val="20"/>
          <w:szCs w:val="20"/>
          <w:color w:val="auto"/>
        </w:rPr>
      </w:pPr>
    </w:p>
    <w:p>
      <w:pPr>
        <w:ind w:left="260" w:hanging="255"/>
        <w:spacing w:after="0"/>
        <w:tabs>
          <w:tab w:leader="none" w:pos="26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(Continued)</w:t>
      </w:r>
    </w:p>
    <w:p>
      <w:pPr>
        <w:spacing w:after="0" w:line="241" w:lineRule="exact"/>
        <w:rPr>
          <w:rFonts w:ascii="Arial" w:cs="Arial" w:eastAsia="Arial" w:hAnsi="Arial"/>
          <w:sz w:val="17"/>
          <w:szCs w:val="17"/>
          <w:b w:val="1"/>
          <w:bCs w:val="1"/>
          <w:color w:val="auto"/>
        </w:rPr>
      </w:pPr>
    </w:p>
    <w:p>
      <w:pPr>
        <w:ind w:left="1580" w:hanging="526"/>
        <w:spacing w:after="0"/>
        <w:tabs>
          <w:tab w:leader="none" w:pos="15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October 2015, the Company amended the 2014 Plan to increase the number of shares reserved for issuance to 2,998,823 shares.</w:t>
      </w:r>
    </w:p>
    <w:p>
      <w:pPr>
        <w:spacing w:after="0" w:line="261" w:lineRule="exact"/>
        <w:rPr>
          <w:rFonts w:ascii="Arial" w:cs="Arial" w:eastAsia="Arial" w:hAnsi="Arial"/>
          <w:sz w:val="16"/>
          <w:szCs w:val="16"/>
          <w:color w:val="auto"/>
        </w:rPr>
      </w:pPr>
    </w:p>
    <w:p>
      <w:pPr>
        <w:ind w:left="1580" w:hanging="526"/>
        <w:spacing w:after="0" w:line="282" w:lineRule="auto"/>
        <w:tabs>
          <w:tab w:leader="none" w:pos="15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October 2015, the Company approved the 2015 Stock Option and Incentive Plan and reserved 1,311,812 shares of common stock for future issuance.</w:t>
      </w:r>
    </w:p>
    <w:p>
      <w:pPr>
        <w:spacing w:after="0" w:line="182" w:lineRule="exact"/>
        <w:rPr>
          <w:rFonts w:ascii="Arial" w:cs="Arial" w:eastAsia="Arial" w:hAnsi="Arial"/>
          <w:sz w:val="17"/>
          <w:szCs w:val="17"/>
          <w:color w:val="auto"/>
        </w:rPr>
      </w:pPr>
    </w:p>
    <w:p>
      <w:pPr>
        <w:ind w:left="1580" w:right="220" w:hanging="526"/>
        <w:spacing w:after="0" w:line="282" w:lineRule="auto"/>
        <w:tabs>
          <w:tab w:leader="none" w:pos="15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October 2015, the Company approved the 2015 Employee Stock Purchase Plan and reserved 262,362 shares of common stock for future issuance.</w:t>
      </w:r>
    </w:p>
    <w:p>
      <w:pPr>
        <w:spacing w:after="0" w:line="393" w:lineRule="exact"/>
        <w:rPr>
          <w:sz w:val="20"/>
          <w:szCs w:val="20"/>
          <w:color w:val="auto"/>
        </w:rPr>
      </w:pPr>
    </w:p>
    <w:p>
      <w:pPr>
        <w:ind w:left="1060" w:right="120" w:hanging="531"/>
        <w:spacing w:after="0" w:line="265" w:lineRule="auto"/>
        <w:tabs>
          <w:tab w:leader="none" w:pos="10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On October 29, 2015, in preparation for the Company's initial public offering, the Company's Board of Directors and stockholders approved a 1-for-4.25 reverse split of the Company's common stock, which became effective on October 29, 2015. All share and per share amounts in the financial statements and notes thereto have been retroactively adjusted for all periods presented to give effect to this reverse split, including reclassifying an amount equal to the reduction in par value of common stock to additional paid-in capital.</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178435</wp:posOffset>
            </wp:positionV>
            <wp:extent cx="2131060" cy="7327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3106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156845</wp:posOffset>
            </wp:positionV>
            <wp:extent cx="19062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147320</wp:posOffset>
            </wp:positionV>
            <wp:extent cx="19062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 and Company</w:t>
      </w:r>
    </w:p>
    <w:p>
      <w:pPr>
        <w:spacing w:after="0" w:line="68"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Wedbush PacGrow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Piper Jaffray</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31"/>
          <w:szCs w:val="31"/>
          <w:b w:val="1"/>
          <w:bCs w:val="1"/>
          <w:color w:val="auto"/>
        </w:rPr>
        <w:t>Nomura</w:t>
      </w:r>
    </w:p>
    <w:p>
      <w:pPr>
        <w:spacing w:after="0" w:line="200" w:lineRule="exact"/>
        <w:rPr>
          <w:sz w:val="20"/>
          <w:szCs w:val="20"/>
          <w:color w:val="auto"/>
        </w:rPr>
      </w:pPr>
    </w:p>
    <w:p>
      <w:pPr>
        <w:sectPr>
          <w:pgSz w:w="11900" w:h="16838" w:orient="portrait"/>
          <w:cols w:equalWidth="0" w:num="2">
            <w:col w:w="8920" w:space="720"/>
            <w:col w:w="1780"/>
          </w:cols>
          <w:pgMar w:left="240" w:top="131" w:right="239" w:bottom="1440" w:gutter="0" w:footer="0" w:header="0"/>
          <w:type w:val="continuous"/>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November 10, 2015</w:t>
      </w:r>
    </w:p>
    <w:p>
      <w:pPr>
        <w:spacing w:after="0" w:line="221" w:lineRule="exact"/>
        <w:rPr>
          <w:sz w:val="20"/>
          <w:szCs w:val="20"/>
          <w:color w:val="auto"/>
        </w:rPr>
      </w:pPr>
    </w:p>
    <w:p>
      <w:pPr>
        <w:jc w:val="both"/>
        <w:ind w:right="60" w:firstLine="341"/>
        <w:spacing w:after="0" w:line="228" w:lineRule="auto"/>
        <w:rPr>
          <w:sz w:val="20"/>
          <w:szCs w:val="20"/>
          <w:color w:val="auto"/>
        </w:rPr>
      </w:pPr>
      <w:r>
        <w:rPr>
          <w:rFonts w:ascii="Arial" w:cs="Arial" w:eastAsia="Arial" w:hAnsi="Arial"/>
          <w:sz w:val="17"/>
          <w:szCs w:val="17"/>
          <w:b w:val="1"/>
          <w:bCs w:val="1"/>
          <w:color w:val="auto"/>
        </w:rPr>
        <w:t>Through and including December 5, 2015 (the 25</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day after the date of this prospectus), all dealers that buy, sell or trade in these securities, whether or not participating in this offering, may be required to deliver a prospectus. This is in addition to the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2504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326390</wp:posOffset>
            </wp:positionV>
            <wp:extent cx="7250430"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490855</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9" w:name="page220"/>
    <w:bookmarkEnd w:id="2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lowerRoman"/>
      <w:start w:val="2"/>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1)"/>
      <w:numFmt w:val="decimal"/>
      <w:start w:val="2"/>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1)"/>
      <w:numFmt w:val="decimal"/>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decimal"/>
      <w:start w:val="1"/>
    </w:lvl>
  </w:abstractNum>
  <w:abstractNum w:abstractNumId="79">
    <w:nsid w:val="3FA62ACA"/>
    <w:multiLevelType w:val="hybridMultilevel"/>
    <w:lvl w:ilvl="0">
      <w:lvlJc w:val="left"/>
      <w:lvlText w:val="(%1)"/>
      <w:numFmt w:val="decimal"/>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1)"/>
      <w:numFmt w:val="decimal"/>
      <w:start w:val="1"/>
    </w:lvl>
  </w:abstractNum>
  <w:abstractNum w:abstractNumId="83">
    <w:nsid w:val="9DAF632"/>
    <w:multiLevelType w:val="hybridMultilevel"/>
    <w:lvl w:ilvl="0">
      <w:lvlJc w:val="left"/>
      <w:lvlText w:val="(%1)"/>
      <w:numFmt w:val="lowerRoman"/>
      <w:start w:val="2"/>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1)"/>
      <w:numFmt w:val="decimal"/>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1)"/>
      <w:numFmt w:val="decimal"/>
      <w:start w:val="1"/>
    </w:lvl>
  </w:abstractNum>
  <w:abstractNum w:abstractNumId="106">
    <w:nsid w:val="2B0D8DBE"/>
    <w:multiLevelType w:val="hybridMultilevel"/>
    <w:lvl w:ilvl="0">
      <w:lvlJc w:val="left"/>
      <w:lvlText w:val="(%1)"/>
      <w:numFmt w:val="decimal"/>
      <w:start w:val="3"/>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1)"/>
      <w:numFmt w:val="lowerLetter"/>
      <w:start w:val="3"/>
    </w:lvl>
  </w:abstractNum>
  <w:abstractNum w:abstractNumId="116">
    <w:nsid w:val="3DB012B3"/>
    <w:multiLevelType w:val="hybridMultilevel"/>
    <w:lvl w:ilvl="0">
      <w:lvlJc w:val="left"/>
      <w:lvlText w:val="•"/>
      <w:numFmt w:val="bullet"/>
      <w:start w:val="1"/>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
      <w:numFmt w:val="bullet"/>
      <w:start w:val="1"/>
    </w:lvl>
  </w:abstractNum>
  <w:abstractNum w:abstractNumId="120">
    <w:nsid w:val="4F97E3E4"/>
    <w:multiLevelType w:val="hybridMultilevel"/>
    <w:lvl w:ilvl="0">
      <w:lvlJc w:val="left"/>
      <w:lvlText w:val="•"/>
      <w:numFmt w:val="bullet"/>
      <w:start w:val="1"/>
    </w:lvl>
  </w:abstractNum>
  <w:abstractNum w:abstractNumId="121">
    <w:nsid w:val="53B0A9E"/>
    <w:multiLevelType w:val="hybridMultilevel"/>
    <w:lvl w:ilvl="0">
      <w:lvlJc w:val="left"/>
      <w:lvlText w:val="%1."/>
      <w:numFmt w:val="decimal"/>
      <w:start w:val="2"/>
    </w:lvl>
    <w:lvl w:ilvl="1">
      <w:lvlJc w:val="left"/>
      <w:lvlText w:val="•"/>
      <w:numFmt w:val="bullet"/>
      <w:start w:val="1"/>
    </w:lvl>
  </w:abstractNum>
  <w:abstractNum w:abstractNumId="122">
    <w:nsid w:val="34FD6B4F"/>
    <w:multiLevelType w:val="hybridMultilevel"/>
    <w:lvl w:ilvl="0">
      <w:lvlJc w:val="left"/>
      <w:lvlText w:val="%1."/>
      <w:numFmt w:val="decimal"/>
      <w:start w:val="8"/>
    </w:lvl>
  </w:abstractNum>
  <w:abstractNum w:abstractNumId="123">
    <w:nsid w:val="5915FF32"/>
    <w:multiLevelType w:val="hybridMultilevel"/>
    <w:lvl w:ilvl="0">
      <w:lvlJc w:val="left"/>
      <w:lvlText w:val="%1)"/>
      <w:numFmt w:val="lowerLetter"/>
      <w:start w:val="1"/>
    </w:lvl>
    <w:lvl w:ilvl="1">
      <w:lvlJc w:val="left"/>
      <w:lvlText w:val="%2)"/>
      <w:numFmt w:val="decimal"/>
      <w:start w:val="1"/>
    </w:lvl>
  </w:abstractNum>
  <w:abstractNum w:abstractNumId="124">
    <w:nsid w:val="56438D15"/>
    <w:multiLevelType w:val="hybridMultilevel"/>
    <w:lvl w:ilvl="0">
      <w:lvlJc w:val="left"/>
      <w:lvlText w:val="%1."/>
      <w:numFmt w:val="decimal"/>
      <w:start w:val="15"/>
    </w:lvl>
    <w:lvl w:ilvl="1">
      <w:lvlJc w:val="left"/>
      <w:lvlText w:val="%2)"/>
      <w:numFmt w:val="decimal"/>
      <w:start w:val="2"/>
    </w:lvl>
  </w:abstractNum>
  <w:abstractNum w:abstractNumId="125">
    <w:nsid w:val="519E314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2019-12-09T06:08:55Z</dcterms:created>
  <dcterms:modified xsi:type="dcterms:W3CDTF">2019-12-09T06:08:55Z</dcterms:modified>
</cp:coreProperties>
</file>