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125095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142875</wp:posOffset>
            </wp:positionV>
            <wp:extent cx="16033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line="376" w:lineRule="exact"/>
        <w:rPr>
          <w:sz w:val="24"/>
          <w:szCs w:val="24"/>
          <w:color w:val="auto"/>
        </w:rPr>
      </w:pPr>
      <w:r>
        <w:rPr>
          <w:rFonts w:ascii="Arial Unicode MS" w:cs="Arial Unicode MS" w:eastAsia="Arial Unicode MS" w:hAnsi="Arial Unicode MS"/>
          <w:sz w:val="28"/>
          <w:szCs w:val="28"/>
          <w:color w:val="auto"/>
          <w:vertAlign w:val="superscript"/>
        </w:rPr>
        <w:t>☒</w:t>
      </w:r>
      <w:r>
        <w:rPr>
          <w:rFonts w:ascii="Arial" w:cs="Arial" w:eastAsia="Arial" w:hAnsi="Arial"/>
          <w:sz w:val="18"/>
          <w:szCs w:val="18"/>
          <w:b w:val="1"/>
          <w:bCs w:val="1"/>
          <w:color w:val="auto"/>
        </w:rPr>
        <w:t xml:space="preserve">   QUARTERLY REPORT PURSUANT TO SECTION 13 OR 15(D) OF THE SECURITIES EXCHANGE ACT OF 1934.</w:t>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2015.</w:t>
      </w:r>
    </w:p>
    <w:p>
      <w:pPr>
        <w:spacing w:after="0" w:line="126" w:lineRule="exact"/>
        <w:rPr>
          <w:sz w:val="24"/>
          <w:szCs w:val="24"/>
          <w:color w:val="auto"/>
        </w:rPr>
      </w:pPr>
    </w:p>
    <w:p>
      <w:pPr>
        <w:spacing w:after="0"/>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3640"/>
        <w:spacing w:after="0"/>
        <w:tabs>
          <w:tab w:leader="none" w:pos="59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143510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Voyager Therapeutics, Inc.</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133350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202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Delaware</w:t>
            </w:r>
          </w:p>
        </w:tc>
        <w:tc>
          <w:tcPr>
            <w:tcW w:w="4480" w:type="dxa"/>
            <w:vAlign w:val="bottom"/>
          </w:tcPr>
          <w:p>
            <w:pPr>
              <w:jc w:val="right"/>
              <w:spacing w:after="0"/>
              <w:rPr>
                <w:sz w:val="20"/>
                <w:szCs w:val="20"/>
                <w:color w:val="auto"/>
              </w:rPr>
            </w:pPr>
            <w:r>
              <w:rPr>
                <w:rFonts w:ascii="Arial" w:cs="Arial" w:eastAsia="Arial" w:hAnsi="Arial"/>
                <w:sz w:val="14"/>
                <w:szCs w:val="14"/>
                <w:b w:val="1"/>
                <w:bCs w:val="1"/>
                <w:color w:val="auto"/>
              </w:rPr>
              <w:t>46-3003182</w:t>
            </w:r>
          </w:p>
        </w:tc>
        <w:tc>
          <w:tcPr>
            <w:tcW w:w="0" w:type="dxa"/>
            <w:vAlign w:val="bottom"/>
          </w:tcPr>
          <w:p>
            <w:pPr>
              <w:spacing w:after="0"/>
              <w:rPr>
                <w:sz w:val="1"/>
                <w:szCs w:val="1"/>
                <w:color w:val="auto"/>
              </w:rPr>
            </w:pPr>
          </w:p>
        </w:tc>
      </w:tr>
      <w:tr>
        <w:trPr>
          <w:trHeight w:val="108"/>
        </w:trPr>
        <w:tc>
          <w:tcPr>
            <w:tcW w:w="2020" w:type="dxa"/>
            <w:vAlign w:val="bottom"/>
          </w:tcPr>
          <w:p>
            <w:pPr>
              <w:jc w:val="center"/>
              <w:ind w:right="157"/>
              <w:spacing w:after="0" w:line="109" w:lineRule="exact"/>
              <w:rPr>
                <w:sz w:val="20"/>
                <w:szCs w:val="20"/>
                <w:color w:val="auto"/>
              </w:rPr>
            </w:pPr>
            <w:r>
              <w:rPr>
                <w:rFonts w:ascii="Arial" w:cs="Arial" w:eastAsia="Arial" w:hAnsi="Arial"/>
                <w:sz w:val="11"/>
                <w:szCs w:val="11"/>
                <w:b w:val="1"/>
                <w:bCs w:val="1"/>
                <w:color w:val="auto"/>
                <w:w w:val="90"/>
              </w:rPr>
              <w:t>(State or other jurisdiction of</w:t>
            </w:r>
          </w:p>
        </w:tc>
        <w:tc>
          <w:tcPr>
            <w:tcW w:w="4480" w:type="dxa"/>
            <w:vAlign w:val="bottom"/>
          </w:tcPr>
          <w:p>
            <w:pPr>
              <w:jc w:val="center"/>
              <w:ind w:left="3598"/>
              <w:spacing w:after="0" w:line="10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2020" w:type="dxa"/>
            <w:vAlign w:val="bottom"/>
          </w:tcPr>
          <w:p>
            <w:pPr>
              <w:jc w:val="center"/>
              <w:ind w:right="157"/>
              <w:spacing w:after="0"/>
              <w:rPr>
                <w:sz w:val="20"/>
                <w:szCs w:val="20"/>
                <w:color w:val="auto"/>
              </w:rPr>
            </w:pPr>
            <w:r>
              <w:rPr>
                <w:rFonts w:ascii="Arial" w:cs="Arial" w:eastAsia="Arial" w:hAnsi="Arial"/>
                <w:sz w:val="11"/>
                <w:szCs w:val="11"/>
                <w:b w:val="1"/>
                <w:bCs w:val="1"/>
                <w:color w:val="auto"/>
                <w:w w:val="89"/>
              </w:rPr>
              <w:t>incorporation or organization)</w:t>
            </w:r>
          </w:p>
        </w:tc>
        <w:tc>
          <w:tcPr>
            <w:tcW w:w="4480" w:type="dxa"/>
            <w:vAlign w:val="bottom"/>
          </w:tcPr>
          <w:p>
            <w:pPr>
              <w:jc w:val="center"/>
              <w:ind w:left="3578"/>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78"/>
        </w:trPr>
        <w:tc>
          <w:tcPr>
            <w:tcW w:w="2020" w:type="dxa"/>
            <w:vAlign w:val="bottom"/>
          </w:tcPr>
          <w:p>
            <w:pPr>
              <w:ind w:left="360"/>
              <w:spacing w:after="0"/>
              <w:rPr>
                <w:sz w:val="20"/>
                <w:szCs w:val="20"/>
                <w:color w:val="auto"/>
              </w:rPr>
            </w:pPr>
            <w:r>
              <w:rPr>
                <w:rFonts w:ascii="Arial" w:cs="Arial" w:eastAsia="Arial" w:hAnsi="Arial"/>
                <w:sz w:val="14"/>
                <w:szCs w:val="14"/>
                <w:b w:val="1"/>
                <w:bCs w:val="1"/>
                <w:color w:val="auto"/>
              </w:rPr>
              <w:t>75 Sidney Street,</w:t>
            </w:r>
          </w:p>
        </w:tc>
        <w:tc>
          <w:tcPr>
            <w:tcW w:w="448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86"/>
        </w:trPr>
        <w:tc>
          <w:tcPr>
            <w:tcW w:w="202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Cambridge, Massachusetts</w:t>
            </w:r>
          </w:p>
        </w:tc>
        <w:tc>
          <w:tcPr>
            <w:tcW w:w="4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20" w:type="dxa"/>
            <w:vAlign w:val="bottom"/>
          </w:tcPr>
          <w:p>
            <w:pPr>
              <w:jc w:val="center"/>
              <w:ind w:right="157"/>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4480" w:type="dxa"/>
            <w:vAlign w:val="bottom"/>
          </w:tcPr>
          <w:p>
            <w:pPr>
              <w:jc w:val="center"/>
              <w:ind w:left="3598"/>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3"/>
                <w:szCs w:val="23"/>
                <w:color w:val="auto"/>
              </w:rPr>
            </w:pPr>
          </w:p>
        </w:tc>
        <w:tc>
          <w:tcPr>
            <w:tcW w:w="4480" w:type="dxa"/>
            <w:vAlign w:val="bottom"/>
          </w:tcPr>
          <w:p>
            <w:pPr>
              <w:jc w:val="right"/>
              <w:ind w:right="2518"/>
              <w:spacing w:after="0"/>
              <w:rPr>
                <w:sz w:val="20"/>
                <w:szCs w:val="20"/>
                <w:color w:val="auto"/>
              </w:rPr>
            </w:pPr>
            <w:r>
              <w:rPr>
                <w:rFonts w:ascii="Arial" w:cs="Arial" w:eastAsia="Arial" w:hAnsi="Arial"/>
                <w:sz w:val="14"/>
                <w:szCs w:val="14"/>
                <w:b w:val="1"/>
                <w:bCs w:val="1"/>
                <w:color w:val="auto"/>
              </w:rPr>
              <w:t>(857) 259-5340</w:t>
            </w:r>
          </w:p>
        </w:tc>
        <w:tc>
          <w:tcPr>
            <w:tcW w:w="0" w:type="dxa"/>
            <w:vAlign w:val="bottom"/>
          </w:tcPr>
          <w:p>
            <w:pPr>
              <w:spacing w:after="0"/>
              <w:rPr>
                <w:sz w:val="1"/>
                <w:szCs w:val="1"/>
                <w:color w:val="auto"/>
              </w:rPr>
            </w:pPr>
          </w:p>
        </w:tc>
      </w:tr>
      <w:tr>
        <w:trPr>
          <w:trHeight w:val="140"/>
        </w:trPr>
        <w:tc>
          <w:tcPr>
            <w:tcW w:w="2020" w:type="dxa"/>
            <w:vAlign w:val="bottom"/>
          </w:tcPr>
          <w:p>
            <w:pPr>
              <w:spacing w:after="0"/>
              <w:rPr>
                <w:sz w:val="12"/>
                <w:szCs w:val="12"/>
                <w:color w:val="auto"/>
              </w:rPr>
            </w:pPr>
          </w:p>
        </w:tc>
        <w:tc>
          <w:tcPr>
            <w:tcW w:w="4480" w:type="dxa"/>
            <w:vAlign w:val="bottom"/>
          </w:tcPr>
          <w:p>
            <w:pPr>
              <w:jc w:val="center"/>
              <w:ind w:right="1498"/>
              <w:spacing w:after="0"/>
              <w:rPr>
                <w:sz w:val="20"/>
                <w:szCs w:val="20"/>
                <w:color w:val="auto"/>
              </w:rPr>
            </w:pPr>
            <w:r>
              <w:rPr>
                <w:rFonts w:ascii="Arial" w:cs="Arial" w:eastAsia="Arial" w:hAnsi="Arial"/>
                <w:sz w:val="11"/>
                <w:szCs w:val="11"/>
                <w:b w:val="1"/>
                <w:bCs w:val="1"/>
                <w:color w:val="auto"/>
                <w:w w:val="87"/>
              </w:rPr>
              <w:t>(Registrant’s telephone number, including area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jc w:val="center"/>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135255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90" w:lineRule="exact"/>
        <w:rPr>
          <w:sz w:val="24"/>
          <w:szCs w:val="24"/>
          <w:color w:val="auto"/>
        </w:rPr>
      </w:pPr>
    </w:p>
    <w:p>
      <w:pPr>
        <w:jc w:val="both"/>
        <w:spacing w:after="0" w:line="13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p>
    <w:p>
      <w:pPr>
        <w:ind w:left="140"/>
        <w:spacing w:after="0"/>
        <w:rPr>
          <w:sz w:val="20"/>
          <w:szCs w:val="20"/>
          <w:color w:val="auto"/>
        </w:rPr>
      </w:pPr>
      <w:r>
        <w:rPr>
          <w:rFonts w:ascii="Arial" w:cs="Arial" w:eastAsia="Arial" w:hAnsi="Arial"/>
          <w:sz w:val="14"/>
          <w:szCs w:val="14"/>
          <w:color w:val="auto"/>
        </w:rPr>
        <w:t>No</w:t>
      </w:r>
    </w:p>
    <w:p>
      <w:pPr>
        <w:spacing w:after="0" w:line="129" w:lineRule="exact"/>
        <w:rPr>
          <w:sz w:val="24"/>
          <w:szCs w:val="24"/>
          <w:color w:val="auto"/>
        </w:rPr>
      </w:pPr>
    </w:p>
    <w:p>
      <w:pPr>
        <w:jc w:val="both"/>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00" w:lineRule="exact"/>
        <w:rPr>
          <w:sz w:val="24"/>
          <w:szCs w:val="24"/>
          <w:color w:val="auto"/>
        </w:rPr>
      </w:pPr>
    </w:p>
    <w:p>
      <w:pPr>
        <w:jc w:val="both"/>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80" w:type="dxa"/>
            <w:vAlign w:val="bottom"/>
          </w:tcPr>
          <w:p>
            <w:pPr>
              <w:spacing w:after="0"/>
              <w:rPr>
                <w:sz w:val="14"/>
                <w:szCs w:val="14"/>
                <w:color w:val="auto"/>
              </w:rPr>
            </w:pPr>
          </w:p>
        </w:tc>
        <w:tc>
          <w:tcPr>
            <w:tcW w:w="4460" w:type="dxa"/>
            <w:vAlign w:val="bottom"/>
            <w:vMerge w:val="restart"/>
          </w:tcPr>
          <w:p>
            <w:pPr>
              <w:ind w:left="220"/>
              <w:spacing w:after="0"/>
              <w:rPr>
                <w:sz w:val="20"/>
                <w:szCs w:val="20"/>
                <w:color w:val="auto"/>
              </w:rPr>
            </w:pPr>
            <w:r>
              <w:rPr>
                <w:rFonts w:ascii="Arial" w:cs="Arial" w:eastAsia="Arial" w:hAnsi="Arial"/>
                <w:sz w:val="14"/>
                <w:szCs w:val="14"/>
                <w:color w:val="auto"/>
              </w:rPr>
              <w:t>(Do not check if a smaller reporting company)</w:t>
            </w:r>
          </w:p>
        </w:tc>
        <w:tc>
          <w:tcPr>
            <w:tcW w:w="2120" w:type="dxa"/>
            <w:vAlign w:val="bottom"/>
          </w:tcPr>
          <w:p>
            <w:pPr>
              <w:ind w:left="1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780" w:type="dxa"/>
            <w:vAlign w:val="bottom"/>
          </w:tcPr>
          <w:p>
            <w:pPr>
              <w:ind w:left="4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460" w:type="dxa"/>
            <w:vAlign w:val="bottom"/>
            <w:vMerge w:val="continue"/>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960" w:type="dxa"/>
            <w:vAlign w:val="bottom"/>
            <w:gridSpan w:val="3"/>
          </w:tcPr>
          <w:p>
            <w:pPr>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  Yes</w:t>
            </w:r>
          </w:p>
        </w:tc>
        <w:tc>
          <w:tcPr>
            <w:tcW w:w="2120" w:type="dxa"/>
            <w:vAlign w:val="bottom"/>
          </w:tcPr>
          <w:p>
            <w:pPr>
              <w:ind w:left="10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outstanding shares of the registrant’s common stock, par value $0.001 per share, as of December 15, 2015 was 26,749,240.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106680</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484505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20" w:right="91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14"/>
          </w:tcPr>
          <w:p>
            <w:pPr>
              <w:jc w:val="center"/>
              <w:ind w:right="2000"/>
              <w:spacing w:after="0"/>
              <w:rPr>
                <w:sz w:val="20"/>
                <w:szCs w:val="20"/>
                <w:color w:val="auto"/>
              </w:rPr>
            </w:pPr>
            <w:r>
              <w:rPr>
                <w:rFonts w:ascii="Arial" w:cs="Arial" w:eastAsia="Arial" w:hAnsi="Arial"/>
                <w:sz w:val="18"/>
                <w:szCs w:val="18"/>
                <w:b w:val="1"/>
                <w:bCs w:val="1"/>
                <w:color w:val="auto"/>
              </w:rPr>
              <w:t>VOYAGER THERAPEUTICS</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gridSpan w:val="13"/>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80" w:type="dxa"/>
            <w:vAlign w:val="bottom"/>
            <w:tcBorders>
              <w:bottom w:val="single" w:sz="8" w:color="0000EE"/>
            </w:tcBorders>
            <w:gridSpan w:val="9"/>
          </w:tcPr>
          <w:p>
            <w:pPr>
              <w:jc w:val="cente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19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ind w:left="40"/>
              <w:spacing w:after="0"/>
              <w:rPr>
                <w:sz w:val="20"/>
                <w:szCs w:val="20"/>
                <w:color w:val="auto"/>
              </w:rPr>
            </w:pPr>
            <w:r>
              <w:rPr>
                <w:rFonts w:ascii="Arial" w:cs="Arial" w:eastAsia="Arial" w:hAnsi="Arial"/>
                <w:sz w:val="18"/>
                <w:szCs w:val="18"/>
                <w:color w:val="auto"/>
              </w:rPr>
              <w:t>ITEM 1.</w:t>
            </w:r>
          </w:p>
        </w:tc>
        <w:tc>
          <w:tcPr>
            <w:tcW w:w="6700" w:type="dxa"/>
            <w:vAlign w:val="bottom"/>
            <w:gridSpan w:val="22"/>
          </w:tcPr>
          <w:p>
            <w:pPr>
              <w:spacing w:after="0"/>
              <w:rPr>
                <w:sz w:val="20"/>
                <w:szCs w:val="20"/>
                <w:color w:val="auto"/>
              </w:rPr>
            </w:pPr>
            <w:r>
              <w:rPr>
                <w:rFonts w:ascii="Arial" w:cs="Arial" w:eastAsia="Arial" w:hAnsi="Arial"/>
                <w:sz w:val="18"/>
                <w:szCs w:val="18"/>
                <w:color w:val="auto"/>
              </w:rPr>
              <w:t>CONDENSED FINANCIAL STATEMENTS (UNAUDITED)</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60" w:type="dxa"/>
            <w:vAlign w:val="bottom"/>
            <w:tcBorders>
              <w:bottom w:val="single" w:sz="8" w:color="0000EE"/>
            </w:tcBorders>
            <w:gridSpan w:val="20"/>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STATEMENTS OF OPERATIONS AND COMPREHENSIVE LOSS</w:t>
              </w:r>
            </w:hyperlink>
          </w:p>
        </w:tc>
        <w:tc>
          <w:tcPr>
            <w:tcW w:w="5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STATEMENTS OF CASH FLOWS</w:t>
              </w:r>
            </w:hyperlink>
          </w:p>
        </w:tc>
        <w:tc>
          <w:tcPr>
            <w:tcW w:w="29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0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FINANCIAL STATEMENTS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tcPr>
          <w:p>
            <w:pPr>
              <w:jc w:val="right"/>
              <w:ind w:right="320"/>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2.</w:t>
              </w:r>
            </w:hyperlink>
          </w:p>
        </w:tc>
        <w:tc>
          <w:tcPr>
            <w:tcW w:w="6700" w:type="dxa"/>
            <w:vAlign w:val="bottom"/>
            <w:gridSpan w:val="22"/>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MANAGEMENT’S DISCUSSION AND ANALYSIS OF FINANCIAL CONDITION AND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56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w:anchor="page30">
              <w:r>
                <w:rPr>
                  <w:rFonts w:ascii="Arial" w:cs="Arial" w:eastAsia="Arial" w:hAnsi="Arial"/>
                  <w:sz w:val="18"/>
                  <w:szCs w:val="18"/>
                  <w:color w:val="0000EE"/>
                </w:rPr>
                <w:t>RESULTS OF OPERATIONS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vMerge w:val="restart"/>
          </w:tcPr>
          <w:p>
            <w:pPr>
              <w:jc w:val="right"/>
              <w:ind w:right="20"/>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ITEM 3.</w:t>
              </w:r>
            </w:hyperlink>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0000EE"/>
            </w:tcBorders>
            <w:gridSpan w:val="3"/>
            <w:vMerge w:val="continue"/>
          </w:tcPr>
          <w:p>
            <w:pPr>
              <w:spacing w:after="0"/>
              <w:rPr>
                <w:sz w:val="24"/>
                <w:szCs w:val="24"/>
                <w:color w:val="auto"/>
              </w:rPr>
            </w:pPr>
          </w:p>
        </w:tc>
        <w:tc>
          <w:tcPr>
            <w:tcW w:w="300" w:type="dxa"/>
            <w:vAlign w:val="bottom"/>
            <w:vMerge w:val="restart"/>
          </w:tcPr>
          <w:p>
            <w:pPr>
              <w:spacing w:after="0"/>
              <w:rPr>
                <w:sz w:val="24"/>
                <w:szCs w:val="24"/>
                <w:color w:val="auto"/>
              </w:rPr>
            </w:pPr>
          </w:p>
        </w:tc>
        <w:tc>
          <w:tcPr>
            <w:tcW w:w="6140" w:type="dxa"/>
            <w:vAlign w:val="bottom"/>
            <w:gridSpan w:val="19"/>
            <w:vMerge w:val="restart"/>
          </w:tcPr>
          <w:p>
            <w:pPr>
              <w:spacing w:after="0"/>
              <w:rPr>
                <w:rFonts w:ascii="Arial" w:cs="Arial" w:eastAsia="Arial" w:hAnsi="Arial"/>
                <w:sz w:val="18"/>
                <w:szCs w:val="18"/>
                <w:color w:val="0000EE"/>
                <w:w w:val="98"/>
              </w:rPr>
            </w:pPr>
            <w:hyperlink w:anchor="page39">
              <w:r>
                <w:rPr>
                  <w:rFonts w:ascii="Arial" w:cs="Arial" w:eastAsia="Arial" w:hAnsi="Arial"/>
                  <w:sz w:val="18"/>
                  <w:szCs w:val="18"/>
                  <w:color w:val="0000EE"/>
                  <w:w w:val="98"/>
                </w:rPr>
                <w:t>QUANTITATIVE AND QUALITATIVE DISCLOSURES ABOUT MARKET RISK</w:t>
              </w:r>
            </w:hyperlink>
          </w:p>
        </w:tc>
        <w:tc>
          <w:tcPr>
            <w:tcW w:w="56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6140" w:type="dxa"/>
            <w:vAlign w:val="bottom"/>
            <w:tcBorders>
              <w:bottom w:val="single" w:sz="8" w:color="0000EE"/>
            </w:tcBorders>
            <w:gridSpan w:val="19"/>
            <w:vMerge w:val="continue"/>
          </w:tcPr>
          <w:p>
            <w:pPr>
              <w:spacing w:after="0" w:line="20" w:lineRule="exact"/>
              <w:rPr>
                <w:sz w:val="1"/>
                <w:szCs w:val="1"/>
                <w:color w:val="auto"/>
              </w:rPr>
            </w:pPr>
          </w:p>
        </w:tc>
        <w:tc>
          <w:tcPr>
            <w:tcW w:w="56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tcBorders>
              <w:bottom w:val="single" w:sz="8" w:color="0000EE"/>
            </w:tcBorders>
          </w:tcPr>
          <w:p>
            <w:pPr>
              <w:jc w:val="right"/>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ITEM 4.</w:t>
              </w:r>
            </w:hyperlink>
          </w:p>
        </w:tc>
        <w:tc>
          <w:tcPr>
            <w:tcW w:w="320" w:type="dxa"/>
            <w:vAlign w:val="bottom"/>
            <w:gridSpan w:val="2"/>
            <w:vMerge w:val="restart"/>
          </w:tcPr>
          <w:p>
            <w:pPr>
              <w:spacing w:after="0"/>
              <w:rPr>
                <w:sz w:val="24"/>
                <w:szCs w:val="24"/>
                <w:color w:val="auto"/>
              </w:rPr>
            </w:pPr>
          </w:p>
        </w:tc>
        <w:tc>
          <w:tcPr>
            <w:tcW w:w="2600" w:type="dxa"/>
            <w:vAlign w:val="bottom"/>
            <w:gridSpan w:val="11"/>
            <w:vMerge w:val="restart"/>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CONTROLS AND PROCEDURES</w:t>
              </w:r>
            </w:hyperlink>
          </w:p>
        </w:tc>
        <w:tc>
          <w:tcPr>
            <w:tcW w:w="4100" w:type="dxa"/>
            <w:vAlign w:val="bottom"/>
            <w:gridSpan w:val="11"/>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2600" w:type="dxa"/>
            <w:vAlign w:val="bottom"/>
            <w:tcBorders>
              <w:bottom w:val="single" w:sz="8" w:color="0000EE"/>
            </w:tcBorders>
            <w:gridSpan w:val="11"/>
            <w:vMerge w:val="continue"/>
          </w:tcPr>
          <w:p>
            <w:pPr>
              <w:spacing w:after="0" w:line="20" w:lineRule="exact"/>
              <w:rPr>
                <w:sz w:val="1"/>
                <w:szCs w:val="1"/>
                <w:color w:val="auto"/>
              </w:rPr>
            </w:pPr>
          </w:p>
        </w:tc>
        <w:tc>
          <w:tcPr>
            <w:tcW w:w="4100" w:type="dxa"/>
            <w:vAlign w:val="bottom"/>
            <w:gridSpan w:val="11"/>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7"/>
          </w:tcPr>
          <w:p>
            <w:pPr>
              <w:jc w:val="cente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PART II. OTHER INFORMATION</w:t>
              </w:r>
            </w:hyperlink>
          </w:p>
        </w:tc>
        <w:tc>
          <w:tcPr>
            <w:tcW w:w="20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0000EE"/>
            </w:tcBorders>
            <w:gridSpan w:val="3"/>
          </w:tcPr>
          <w:p>
            <w:pPr>
              <w:jc w:val="right"/>
              <w:ind w:right="20"/>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ITEM 1.</w:t>
              </w:r>
            </w:hyperlink>
          </w:p>
        </w:tc>
        <w:tc>
          <w:tcPr>
            <w:tcW w:w="300" w:type="dxa"/>
            <w:vAlign w:val="bottom"/>
            <w:vMerge w:val="restart"/>
          </w:tcPr>
          <w:p>
            <w:pPr>
              <w:spacing w:after="0"/>
              <w:rPr>
                <w:sz w:val="24"/>
                <w:szCs w:val="24"/>
                <w:color w:val="auto"/>
              </w:rPr>
            </w:pPr>
          </w:p>
        </w:tc>
        <w:tc>
          <w:tcPr>
            <w:tcW w:w="6700" w:type="dxa"/>
            <w:vAlign w:val="bottom"/>
            <w:gridSpan w:val="22"/>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6700" w:type="dxa"/>
            <w:vAlign w:val="bottom"/>
            <w:gridSpan w:val="2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vMerge w:val="restart"/>
          </w:tcPr>
          <w:p>
            <w:pPr>
              <w:spacing w:after="0"/>
              <w:rPr>
                <w:sz w:val="24"/>
                <w:szCs w:val="24"/>
                <w:color w:val="auto"/>
              </w:rPr>
            </w:pPr>
          </w:p>
        </w:tc>
        <w:tc>
          <w:tcPr>
            <w:tcW w:w="740" w:type="dxa"/>
            <w:vAlign w:val="bottom"/>
            <w:tcBorders>
              <w:bottom w:val="single" w:sz="8" w:color="0000EE"/>
            </w:tcBorders>
            <w:gridSpan w:val="4"/>
          </w:tcPr>
          <w:p>
            <w:pPr>
              <w:jc w:val="right"/>
              <w:ind w:right="20"/>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ITEM 1A.</w:t>
              </w:r>
            </w:hyperlink>
          </w:p>
        </w:tc>
        <w:tc>
          <w:tcPr>
            <w:tcW w:w="300" w:type="dxa"/>
            <w:vAlign w:val="bottom"/>
            <w:vMerge w:val="restart"/>
          </w:tcPr>
          <w:p>
            <w:pPr>
              <w:spacing w:after="0"/>
              <w:rPr>
                <w:sz w:val="24"/>
                <w:szCs w:val="24"/>
                <w:color w:val="auto"/>
              </w:rPr>
            </w:pPr>
          </w:p>
        </w:tc>
        <w:tc>
          <w:tcPr>
            <w:tcW w:w="1240" w:type="dxa"/>
            <w:vAlign w:val="bottom"/>
            <w:tcBorders>
              <w:top w:val="single" w:sz="8" w:color="0000EE"/>
              <w:bottom w:val="single" w:sz="8" w:color="0000EE"/>
            </w:tcBorders>
            <w:gridSpan w:val="4"/>
            <w:vMerge w:val="restart"/>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RISK FACTORS</w:t>
              </w:r>
            </w:hyperlink>
          </w:p>
        </w:tc>
        <w:tc>
          <w:tcPr>
            <w:tcW w:w="620" w:type="dxa"/>
            <w:vAlign w:val="bottom"/>
            <w:tcBorders>
              <w:top w:val="single" w:sz="8" w:color="0000EE"/>
              <w:bottom w:val="single" w:sz="8" w:color="0000EE"/>
            </w:tcBorders>
            <w:vMerge w:val="restart"/>
          </w:tcPr>
          <w:p>
            <w:pPr>
              <w:spacing w:after="0"/>
              <w:rPr>
                <w:sz w:val="24"/>
                <w:szCs w:val="24"/>
                <w:color w:val="auto"/>
              </w:rPr>
            </w:pPr>
          </w:p>
        </w:tc>
        <w:tc>
          <w:tcPr>
            <w:tcW w:w="4840" w:type="dxa"/>
            <w:vAlign w:val="bottom"/>
            <w:gridSpan w:val="1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240" w:type="dxa"/>
            <w:vAlign w:val="bottom"/>
            <w:tcBorders>
              <w:bottom w:val="single" w:sz="8" w:color="0000EE"/>
            </w:tcBorders>
            <w:gridSpan w:val="4"/>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4840" w:type="dxa"/>
            <w:vAlign w:val="bottom"/>
            <w:gridSpan w:val="17"/>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0000EE"/>
            </w:tcBorders>
            <w:gridSpan w:val="3"/>
          </w:tcPr>
          <w:p>
            <w:pPr>
              <w:jc w:val="right"/>
              <w:ind w:right="20"/>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ITEM 2.</w:t>
              </w:r>
            </w:hyperlink>
          </w:p>
        </w:tc>
        <w:tc>
          <w:tcPr>
            <w:tcW w:w="300" w:type="dxa"/>
            <w:vAlign w:val="bottom"/>
            <w:vMerge w:val="restart"/>
          </w:tcPr>
          <w:p>
            <w:pPr>
              <w:spacing w:after="0"/>
              <w:rPr>
                <w:sz w:val="24"/>
                <w:szCs w:val="24"/>
                <w:color w:val="auto"/>
              </w:rPr>
            </w:pPr>
          </w:p>
        </w:tc>
        <w:tc>
          <w:tcPr>
            <w:tcW w:w="6700" w:type="dxa"/>
            <w:vAlign w:val="bottom"/>
            <w:gridSpan w:val="22"/>
            <w:vMerge w:val="restart"/>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UNREGISTERED SALES OF EQUITY SECURITIES AND USE OF PROCEEDS</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6700" w:type="dxa"/>
            <w:vAlign w:val="bottom"/>
            <w:gridSpan w:val="2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0000EE"/>
            </w:tcBorders>
            <w:gridSpan w:val="3"/>
          </w:tcPr>
          <w:p>
            <w:pPr>
              <w:jc w:val="right"/>
              <w:ind w:right="20"/>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ITEM 3.</w:t>
              </w:r>
            </w:hyperlink>
          </w:p>
        </w:tc>
        <w:tc>
          <w:tcPr>
            <w:tcW w:w="300" w:type="dxa"/>
            <w:vAlign w:val="bottom"/>
            <w:vMerge w:val="restart"/>
          </w:tcPr>
          <w:p>
            <w:pPr>
              <w:spacing w:after="0"/>
              <w:rPr>
                <w:sz w:val="24"/>
                <w:szCs w:val="24"/>
                <w:color w:val="auto"/>
              </w:rPr>
            </w:pPr>
          </w:p>
        </w:tc>
        <w:tc>
          <w:tcPr>
            <w:tcW w:w="3180" w:type="dxa"/>
            <w:vAlign w:val="bottom"/>
            <w:tcBorders>
              <w:top w:val="single" w:sz="8" w:color="0000EE"/>
              <w:bottom w:val="single" w:sz="8" w:color="0000EE"/>
            </w:tcBorders>
            <w:gridSpan w:val="13"/>
            <w:vMerge w:val="restart"/>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DEFAULTS UPON SENIOR SECURITIES</w:t>
              </w:r>
            </w:hyperlink>
          </w:p>
        </w:tc>
        <w:tc>
          <w:tcPr>
            <w:tcW w:w="2880" w:type="dxa"/>
            <w:vAlign w:val="bottom"/>
            <w:tcBorders>
              <w:top w:val="single" w:sz="8" w:color="0000EE"/>
              <w:bottom w:val="single" w:sz="8" w:color="0000EE"/>
            </w:tcBorders>
            <w:gridSpan w:val="5"/>
            <w:vMerge w:val="restart"/>
          </w:tcPr>
          <w:p>
            <w:pPr>
              <w:spacing w:after="0"/>
              <w:rPr>
                <w:sz w:val="24"/>
                <w:szCs w:val="24"/>
                <w:color w:val="auto"/>
              </w:rPr>
            </w:pPr>
          </w:p>
        </w:tc>
        <w:tc>
          <w:tcPr>
            <w:tcW w:w="64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3180" w:type="dxa"/>
            <w:vAlign w:val="bottom"/>
            <w:tcBorders>
              <w:bottom w:val="single" w:sz="8" w:color="0000EE"/>
            </w:tcBorders>
            <w:gridSpan w:val="13"/>
            <w:vMerge w:val="continue"/>
          </w:tcPr>
          <w:p>
            <w:pPr>
              <w:spacing w:after="0" w:line="20" w:lineRule="exact"/>
              <w:rPr>
                <w:sz w:val="1"/>
                <w:szCs w:val="1"/>
                <w:color w:val="auto"/>
              </w:rPr>
            </w:pPr>
          </w:p>
        </w:tc>
        <w:tc>
          <w:tcPr>
            <w:tcW w:w="2880" w:type="dxa"/>
            <w:vAlign w:val="bottom"/>
            <w:gridSpan w:val="5"/>
            <w:vMerge w:val="continue"/>
          </w:tcPr>
          <w:p>
            <w:pPr>
              <w:spacing w:after="0" w:line="20" w:lineRule="exact"/>
              <w:rPr>
                <w:sz w:val="1"/>
                <w:szCs w:val="1"/>
                <w:color w:val="auto"/>
              </w:rPr>
            </w:pPr>
          </w:p>
        </w:tc>
        <w:tc>
          <w:tcPr>
            <w:tcW w:w="64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0000EE"/>
            </w:tcBorders>
            <w:gridSpan w:val="3"/>
          </w:tcPr>
          <w:p>
            <w:pPr>
              <w:jc w:val="right"/>
              <w:ind w:right="20"/>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ITEM 4.</w:t>
              </w:r>
            </w:hyperlink>
          </w:p>
        </w:tc>
        <w:tc>
          <w:tcPr>
            <w:tcW w:w="300" w:type="dxa"/>
            <w:vAlign w:val="bottom"/>
            <w:vMerge w:val="restart"/>
          </w:tcPr>
          <w:p>
            <w:pPr>
              <w:spacing w:after="0"/>
              <w:rPr>
                <w:sz w:val="24"/>
                <w:szCs w:val="24"/>
                <w:color w:val="auto"/>
              </w:rPr>
            </w:pPr>
          </w:p>
        </w:tc>
        <w:tc>
          <w:tcPr>
            <w:tcW w:w="2440" w:type="dxa"/>
            <w:vAlign w:val="bottom"/>
            <w:gridSpan w:val="10"/>
            <w:vMerge w:val="restart"/>
          </w:tcPr>
          <w:p>
            <w:pPr>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MINE SAFETY DISCLOSURES</w:t>
              </w:r>
            </w:hyperlink>
          </w:p>
        </w:tc>
        <w:tc>
          <w:tcPr>
            <w:tcW w:w="4260" w:type="dxa"/>
            <w:vAlign w:val="bottom"/>
            <w:gridSpan w:val="1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440" w:type="dxa"/>
            <w:vAlign w:val="bottom"/>
            <w:tcBorders>
              <w:bottom w:val="single" w:sz="8" w:color="0000EE"/>
            </w:tcBorders>
            <w:gridSpan w:val="10"/>
            <w:vMerge w:val="continue"/>
          </w:tcPr>
          <w:p>
            <w:pPr>
              <w:spacing w:after="0" w:line="20" w:lineRule="exact"/>
              <w:rPr>
                <w:sz w:val="1"/>
                <w:szCs w:val="1"/>
                <w:color w:val="auto"/>
              </w:rPr>
            </w:pPr>
          </w:p>
        </w:tc>
        <w:tc>
          <w:tcPr>
            <w:tcW w:w="4260" w:type="dxa"/>
            <w:vAlign w:val="bottom"/>
            <w:gridSpan w:val="1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0000EE"/>
            </w:tcBorders>
            <w:gridSpan w:val="3"/>
          </w:tcPr>
          <w:p>
            <w:pPr>
              <w:jc w:val="right"/>
              <w:ind w:right="20"/>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ITEM 5.</w:t>
              </w:r>
            </w:hyperlink>
          </w:p>
        </w:tc>
        <w:tc>
          <w:tcPr>
            <w:tcW w:w="300" w:type="dxa"/>
            <w:vAlign w:val="bottom"/>
            <w:vMerge w:val="restart"/>
          </w:tcPr>
          <w:p>
            <w:pPr>
              <w:spacing w:after="0"/>
              <w:rPr>
                <w:sz w:val="24"/>
                <w:szCs w:val="24"/>
                <w:color w:val="auto"/>
              </w:rPr>
            </w:pPr>
          </w:p>
        </w:tc>
        <w:tc>
          <w:tcPr>
            <w:tcW w:w="1880" w:type="dxa"/>
            <w:vAlign w:val="bottom"/>
            <w:gridSpan w:val="6"/>
            <w:vMerge w:val="restart"/>
          </w:tcPr>
          <w:p>
            <w:pPr>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OTHER INFORMATION</w:t>
              </w:r>
            </w:hyperlink>
          </w:p>
        </w:tc>
        <w:tc>
          <w:tcPr>
            <w:tcW w:w="4820" w:type="dxa"/>
            <w:vAlign w:val="bottom"/>
            <w:gridSpan w:val="1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880" w:type="dxa"/>
            <w:vAlign w:val="bottom"/>
            <w:tcBorders>
              <w:bottom w:val="single" w:sz="8" w:color="0000EE"/>
            </w:tcBorders>
            <w:gridSpan w:val="6"/>
            <w:vMerge w:val="continue"/>
          </w:tcPr>
          <w:p>
            <w:pPr>
              <w:spacing w:after="0" w:line="20" w:lineRule="exact"/>
              <w:rPr>
                <w:sz w:val="1"/>
                <w:szCs w:val="1"/>
                <w:color w:val="auto"/>
              </w:rPr>
            </w:pPr>
          </w:p>
        </w:tc>
        <w:tc>
          <w:tcPr>
            <w:tcW w:w="4820" w:type="dxa"/>
            <w:vAlign w:val="bottom"/>
            <w:gridSpan w:val="16"/>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tcBorders>
              <w:bottom w:val="single" w:sz="8" w:color="0000EE"/>
            </w:tcBorders>
          </w:tcPr>
          <w:p>
            <w:pPr>
              <w:jc w:val="right"/>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ITEM 6.</w:t>
              </w:r>
            </w:hyperlink>
          </w:p>
        </w:tc>
        <w:tc>
          <w:tcPr>
            <w:tcW w:w="320" w:type="dxa"/>
            <w:vAlign w:val="bottom"/>
            <w:gridSpan w:val="2"/>
            <w:vMerge w:val="restart"/>
          </w:tcPr>
          <w:p>
            <w:pPr>
              <w:spacing w:after="0"/>
              <w:rPr>
                <w:sz w:val="24"/>
                <w:szCs w:val="24"/>
                <w:color w:val="auto"/>
              </w:rPr>
            </w:pPr>
          </w:p>
        </w:tc>
        <w:tc>
          <w:tcPr>
            <w:tcW w:w="820" w:type="dxa"/>
            <w:vAlign w:val="bottom"/>
            <w:gridSpan w:val="2"/>
            <w:vMerge w:val="restart"/>
          </w:tcPr>
          <w:p>
            <w:pPr>
              <w:spacing w:after="0"/>
              <w:rPr>
                <w:rFonts w:ascii="Arial" w:cs="Arial" w:eastAsia="Arial" w:hAnsi="Arial"/>
                <w:sz w:val="18"/>
                <w:szCs w:val="18"/>
                <w:color w:val="0000EE"/>
                <w:w w:val="97"/>
              </w:rPr>
            </w:pPr>
            <w:hyperlink w:anchor="page85">
              <w:r>
                <w:rPr>
                  <w:rFonts w:ascii="Arial" w:cs="Arial" w:eastAsia="Arial" w:hAnsi="Arial"/>
                  <w:sz w:val="18"/>
                  <w:szCs w:val="18"/>
                  <w:color w:val="0000EE"/>
                  <w:w w:val="97"/>
                </w:rPr>
                <w:t>EXHIBITS</w:t>
              </w:r>
            </w:hyperlink>
          </w:p>
        </w:tc>
        <w:tc>
          <w:tcPr>
            <w:tcW w:w="5880" w:type="dxa"/>
            <w:vAlign w:val="bottom"/>
            <w:gridSpan w:val="20"/>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820" w:type="dxa"/>
            <w:vAlign w:val="bottom"/>
            <w:tcBorders>
              <w:bottom w:val="single" w:sz="8" w:color="0000EE"/>
            </w:tcBorders>
            <w:gridSpan w:val="2"/>
            <w:vMerge w:val="continue"/>
          </w:tcPr>
          <w:p>
            <w:pPr>
              <w:spacing w:after="0" w:line="20" w:lineRule="exact"/>
              <w:rPr>
                <w:sz w:val="1"/>
                <w:szCs w:val="1"/>
                <w:color w:val="auto"/>
              </w:rPr>
            </w:pPr>
          </w:p>
        </w:tc>
        <w:tc>
          <w:tcPr>
            <w:tcW w:w="5880" w:type="dxa"/>
            <w:vAlign w:val="bottom"/>
            <w:gridSpan w:val="20"/>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87">
              <w:r>
                <w:rPr>
                  <w:rFonts w:ascii="Arial" w:cs="Arial" w:eastAsia="Arial" w:hAnsi="Arial"/>
                  <w:sz w:val="18"/>
                  <w:szCs w:val="18"/>
                  <w:color w:val="0000EE"/>
                  <w:w w:val="92"/>
                </w:rPr>
                <w:t>SIGNATURES</w:t>
              </w:r>
            </w:hyperlink>
          </w:p>
        </w:tc>
        <w:tc>
          <w:tcPr>
            <w:tcW w:w="56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-1905</wp:posOffset>
            </wp:positionV>
            <wp:extent cx="445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313"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4</w:t>
      </w:r>
    </w:p>
    <w:p>
      <w:pPr>
        <w:spacing w:after="0" w:line="185"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5</w:t>
      </w:r>
    </w:p>
    <w:p>
      <w:pPr>
        <w:spacing w:after="0" w:line="185"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6</w:t>
      </w:r>
    </w:p>
    <w:p>
      <w:pPr>
        <w:spacing w:after="0" w:line="185"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30</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39</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39</w:t>
      </w:r>
    </w:p>
    <w:p>
      <w:pPr>
        <w:spacing w:after="0" w:line="200" w:lineRule="exact"/>
        <w:rPr>
          <w:sz w:val="20"/>
          <w:szCs w:val="20"/>
          <w:color w:val="auto"/>
        </w:rPr>
      </w:pPr>
    </w:p>
    <w:p>
      <w:pPr>
        <w:spacing w:after="0" w:line="35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41</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41</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84</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84</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84</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84</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85</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87</w:t>
      </w:r>
    </w:p>
    <w:p>
      <w:pPr>
        <w:sectPr>
          <w:pgSz w:w="11900" w:h="16838" w:orient="portrait"/>
          <w:cols w:equalWidth="0" w:num="2">
            <w:col w:w="7840" w:space="700"/>
            <w:col w:w="499"/>
          </w:cols>
          <w:pgMar w:left="1420" w:top="111" w:right="1440"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PART I. FINANCIAL INFORMATION</w:t>
      </w:r>
    </w:p>
    <w:p>
      <w:pPr>
        <w:spacing w:after="0" w:line="13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Voyager Therapeutics, Inc.</w:t>
      </w:r>
    </w:p>
    <w:p>
      <w:pPr>
        <w:jc w:val="center"/>
        <w:spacing w:after="0" w:line="203" w:lineRule="auto"/>
        <w:rPr>
          <w:sz w:val="20"/>
          <w:szCs w:val="20"/>
          <w:color w:val="auto"/>
        </w:rPr>
      </w:pPr>
      <w:r>
        <w:rPr>
          <w:rFonts w:ascii="Arial" w:cs="Arial" w:eastAsia="Arial" w:hAnsi="Arial"/>
          <w:sz w:val="18"/>
          <w:szCs w:val="18"/>
          <w:b w:val="1"/>
          <w:bCs w:val="1"/>
          <w:color w:val="auto"/>
        </w:rPr>
        <w:t>Condensed Balance Sheets</w:t>
      </w:r>
    </w:p>
    <w:p>
      <w:pPr>
        <w:jc w:val="center"/>
        <w:spacing w:after="0" w:line="204" w:lineRule="auto"/>
        <w:rPr>
          <w:sz w:val="20"/>
          <w:szCs w:val="20"/>
          <w:color w:val="auto"/>
        </w:rPr>
      </w:pPr>
      <w:r>
        <w:rPr>
          <w:rFonts w:ascii="Arial" w:cs="Arial" w:eastAsia="Arial" w:hAnsi="Arial"/>
          <w:sz w:val="18"/>
          <w:szCs w:val="18"/>
          <w:b w:val="1"/>
          <w:bCs w:val="1"/>
          <w:i w:val="1"/>
          <w:iCs w:val="1"/>
          <w:color w:val="auto"/>
        </w:rPr>
        <w:t>(amounts 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66,533</w:t>
            </w:r>
          </w:p>
        </w:tc>
        <w:tc>
          <w:tcPr>
            <w:tcW w:w="1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tcPr>
          <w:p>
            <w:pPr>
              <w:ind w:left="320"/>
              <w:spacing w:after="0"/>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41,138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40" w:type="dxa"/>
            <w:vAlign w:val="bottom"/>
          </w:tcPr>
          <w:p>
            <w:pPr>
              <w:ind w:left="440"/>
              <w:spacing w:after="0" w:line="155" w:lineRule="exact"/>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108,613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8,358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Arial" w:cs="Arial" w:eastAsia="Arial" w:hAnsi="Arial"/>
                <w:sz w:val="14"/>
                <w:szCs w:val="14"/>
                <w:color w:val="auto"/>
              </w:rPr>
              <w:t>Deposits and other non-current assets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Marketable securities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52,922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340" w:type="dxa"/>
            <w:vAlign w:val="bottom"/>
            <w:tcBorders>
              <w:bottom w:val="single" w:sz="8" w:color="CCEEFF"/>
            </w:tcBorders>
          </w:tcPr>
          <w:p>
            <w:pPr>
              <w:ind w:left="440"/>
              <w:spacing w:after="0" w:line="142" w:lineRule="exact"/>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166,435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11,497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tcPr>
          <w:p>
            <w:pPr>
              <w:ind w:left="320"/>
              <w:spacing w:after="0"/>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2,942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rent, current portion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tcPr>
          <w:p>
            <w:pPr>
              <w:ind w:left="320"/>
              <w:spacing w:after="0"/>
              <w:rPr>
                <w:sz w:val="20"/>
                <w:szCs w:val="20"/>
                <w:color w:val="auto"/>
              </w:rPr>
            </w:pPr>
            <w:r>
              <w:rPr>
                <w:rFonts w:ascii="Arial" w:cs="Arial" w:eastAsia="Arial" w:hAnsi="Arial"/>
                <w:sz w:val="14"/>
                <w:szCs w:val="14"/>
                <w:color w:val="auto"/>
              </w:rPr>
              <w:t>Deferred revenue, current portion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19,589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3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23,366</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2,474</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Arial" w:cs="Arial" w:eastAsia="Arial" w:hAnsi="Arial"/>
                <w:sz w:val="14"/>
                <w:szCs w:val="14"/>
                <w:color w:val="auto"/>
              </w:rPr>
              <w:t>Deferred rent, net of current portion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 net of current portion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tranche liability</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4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64,716</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10,348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(see note 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340" w:type="dxa"/>
            <w:vAlign w:val="bottom"/>
          </w:tcPr>
          <w:p>
            <w:pPr>
              <w:spacing w:after="0" w:line="108" w:lineRule="exact"/>
              <w:rPr>
                <w:sz w:val="20"/>
                <w:szCs w:val="20"/>
                <w:color w:val="auto"/>
              </w:rPr>
            </w:pPr>
            <w:r>
              <w:rPr>
                <w:rFonts w:ascii="Arial" w:cs="Arial" w:eastAsia="Arial" w:hAnsi="Arial"/>
                <w:sz w:val="12"/>
                <w:szCs w:val="12"/>
                <w:color w:val="auto"/>
              </w:rPr>
              <w:t>Redeemable convertible preferred stock (Series A), $0.001 par value: 45,000,000 shares authorized at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40" w:type="dxa"/>
            <w:vAlign w:val="bottom"/>
          </w:tcPr>
          <w:p>
            <w:pPr>
              <w:ind w:left="140"/>
              <w:spacing w:after="0" w:line="135" w:lineRule="exact"/>
              <w:rPr>
                <w:sz w:val="20"/>
                <w:szCs w:val="20"/>
                <w:color w:val="auto"/>
              </w:rPr>
            </w:pPr>
            <w:r>
              <w:rPr>
                <w:rFonts w:ascii="Arial" w:cs="Arial" w:eastAsia="Arial" w:hAnsi="Arial"/>
                <w:sz w:val="14"/>
                <w:szCs w:val="14"/>
                <w:color w:val="auto"/>
                <w:w w:val="92"/>
              </w:rPr>
              <w:t>September 30, 2015 and December 31, 2014; 45,000,000 and 25,000,000 shares issued and outstanding at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40" w:type="dxa"/>
            <w:vAlign w:val="bottom"/>
          </w:tcPr>
          <w:p>
            <w:pPr>
              <w:ind w:left="140"/>
              <w:spacing w:after="0" w:line="135" w:lineRule="exact"/>
              <w:rPr>
                <w:sz w:val="20"/>
                <w:szCs w:val="20"/>
                <w:color w:val="auto"/>
              </w:rPr>
            </w:pPr>
            <w:r>
              <w:rPr>
                <w:rFonts w:ascii="Arial" w:cs="Arial" w:eastAsia="Arial" w:hAnsi="Arial"/>
                <w:sz w:val="14"/>
                <w:szCs w:val="14"/>
                <w:color w:val="auto"/>
                <w:w w:val="96"/>
              </w:rPr>
              <w:t>September 30, 2015 and December 31, 2014, respectively; aggregate liquidation preference of $48,621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59,863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21,979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140"/>
              <w:spacing w:after="0"/>
              <w:rPr>
                <w:sz w:val="20"/>
                <w:szCs w:val="20"/>
                <w:color w:val="auto"/>
              </w:rPr>
            </w:pPr>
            <w:r>
              <w:rPr>
                <w:rFonts w:ascii="Arial" w:cs="Arial" w:eastAsia="Arial" w:hAnsi="Arial"/>
                <w:sz w:val="14"/>
                <w:szCs w:val="14"/>
                <w:color w:val="auto"/>
              </w:rPr>
              <w:t>and $26,086, at September 30, 2015 and December 31, 2014 respectively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3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Redeemable convertible preferred stock (Series B), $0.001 par value: 30,000,001 and 0 shares authorized,</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4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issued and outstanding at September 30, 2015 and December 31, 2014, respectively; aggregate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88,995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liquidation preference of $93,827 and 0 at September 30, 2015 and December 31, 2014, respectively</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Arial" w:cs="Arial" w:eastAsia="Arial" w:hAnsi="Arial"/>
                <w:sz w:val="14"/>
                <w:szCs w:val="14"/>
                <w:color w:val="auto"/>
              </w:rPr>
              <w:t>Stockholders’ deficit: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340" w:type="dxa"/>
            <w:vAlign w:val="bottom"/>
            <w:shd w:val="clear" w:color="auto" w:fill="CCEEFF"/>
          </w:tcPr>
          <w:p>
            <w:pPr>
              <w:ind w:left="320"/>
              <w:spacing w:after="0" w:line="108" w:lineRule="exact"/>
              <w:rPr>
                <w:sz w:val="20"/>
                <w:szCs w:val="20"/>
                <w:color w:val="auto"/>
              </w:rPr>
            </w:pPr>
            <w:r>
              <w:rPr>
                <w:rFonts w:ascii="Arial" w:cs="Arial" w:eastAsia="Arial" w:hAnsi="Arial"/>
                <w:sz w:val="12"/>
                <w:szCs w:val="12"/>
                <w:color w:val="auto"/>
              </w:rPr>
              <w:t>Common stock, $0.001 par value: 95,000,000, and 65,000,000 shares authorized at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4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w w:val="93"/>
              </w:rPr>
              <w:t>September 30, 2015 and December 31, 2014 respectively; 1,369,715 and 814,834 shares issued and</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outstanding at September 30, 2015 and December 31, 2014, respectively</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4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Accumulated other comprehensive gain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3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(47,178)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40" w:type="dxa"/>
            <w:vAlign w:val="bottom"/>
            <w:shd w:val="clear" w:color="auto" w:fill="CCEEFF"/>
          </w:tcPr>
          <w:p>
            <w:pPr>
              <w:ind w:left="440"/>
              <w:spacing w:after="0" w:line="155" w:lineRule="exact"/>
              <w:rPr>
                <w:sz w:val="20"/>
                <w:szCs w:val="20"/>
                <w:color w:val="auto"/>
              </w:rPr>
            </w:pPr>
            <w:r>
              <w:rPr>
                <w:rFonts w:ascii="Arial" w:cs="Arial" w:eastAsia="Arial" w:hAnsi="Arial"/>
                <w:sz w:val="14"/>
                <w:szCs w:val="14"/>
                <w:color w:val="auto"/>
              </w:rPr>
              <w:t>Total stockholders’ deficit</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(47,139)</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(20,830)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40" w:type="dxa"/>
            <w:vAlign w:val="bottom"/>
          </w:tcPr>
          <w:p>
            <w:pPr>
              <w:ind w:left="440"/>
              <w:spacing w:after="0" w:line="142" w:lineRule="exact"/>
              <w:rPr>
                <w:sz w:val="20"/>
                <w:szCs w:val="20"/>
                <w:color w:val="auto"/>
              </w:rPr>
            </w:pPr>
            <w:r>
              <w:rPr>
                <w:rFonts w:ascii="Arial" w:cs="Arial" w:eastAsia="Arial" w:hAnsi="Arial"/>
                <w:sz w:val="14"/>
                <w:szCs w:val="14"/>
                <w:color w:val="auto"/>
              </w:rPr>
              <w:t>Total liabilities, redeemable convertible preferred stock and stockholders’ deficit</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166,435</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Voyager Therapeutics, Inc.</w:t>
      </w:r>
    </w:p>
    <w:p>
      <w:pPr>
        <w:jc w:val="center"/>
        <w:spacing w:after="0" w:line="205" w:lineRule="auto"/>
        <w:rPr>
          <w:sz w:val="20"/>
          <w:szCs w:val="20"/>
          <w:color w:val="auto"/>
        </w:rPr>
      </w:pPr>
      <w:r>
        <w:rPr>
          <w:rFonts w:ascii="Arial" w:cs="Arial" w:eastAsia="Arial" w:hAnsi="Arial"/>
          <w:sz w:val="22"/>
          <w:szCs w:val="22"/>
          <w:b w:val="1"/>
          <w:bCs w:val="1"/>
          <w:color w:val="auto"/>
        </w:rPr>
        <w:t>Condensed Statements of Operations and Comprehensive Loss</w:t>
      </w:r>
    </w:p>
    <w:p>
      <w:pPr>
        <w:jc w:val="center"/>
        <w:spacing w:after="0" w:line="205" w:lineRule="auto"/>
        <w:rPr>
          <w:sz w:val="20"/>
          <w:szCs w:val="20"/>
          <w:color w:val="auto"/>
        </w:rPr>
      </w:pPr>
      <w:r>
        <w:rPr>
          <w:rFonts w:ascii="Arial" w:cs="Arial" w:eastAsia="Arial" w:hAnsi="Arial"/>
          <w:sz w:val="22"/>
          <w:szCs w:val="22"/>
          <w:b w:val="1"/>
          <w:bCs w:val="1"/>
          <w:i w:val="1"/>
          <w:iCs w:val="1"/>
          <w:color w:val="auto"/>
        </w:rPr>
        <w:t>(amounts in thousands, except per share and share data)</w:t>
      </w:r>
    </w:p>
    <w:p>
      <w:pPr>
        <w:jc w:val="center"/>
        <w:spacing w:after="0"/>
        <w:rPr>
          <w:sz w:val="20"/>
          <w:szCs w:val="20"/>
          <w:color w:val="auto"/>
        </w:rPr>
      </w:pPr>
      <w:r>
        <w:rPr>
          <w:rFonts w:ascii="Arial" w:cs="Arial" w:eastAsia="Arial" w:hAnsi="Arial"/>
          <w:sz w:val="22"/>
          <w:szCs w:val="22"/>
          <w:b w:val="1"/>
          <w:bCs w:val="1"/>
          <w:i w:val="1"/>
          <w:i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5"/>
          </w:tcPr>
          <w:p>
            <w:pPr>
              <w:jc w:val="right"/>
              <w:ind w:right="3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5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64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176"/>
        </w:trPr>
        <w:tc>
          <w:tcPr>
            <w:tcW w:w="4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financing expense</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(22,389)</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163"/>
        </w:trPr>
        <w:tc>
          <w:tcPr>
            <w:tcW w:w="464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Other comprehensive gain</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available-for-sale-securities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comprehensive gain</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(22,351)</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122"/>
        </w:trPr>
        <w:tc>
          <w:tcPr>
            <w:tcW w:w="464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color w:val="auto"/>
              </w:rPr>
              <w:t>Reconciliation of net loss to net loss attributable to common</w:t>
            </w: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40"/>
              <w:spacing w:after="0" w:line="202" w:lineRule="exact"/>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7"/>
                <w:szCs w:val="17"/>
                <w:color w:val="auto"/>
              </w:rPr>
              <w:t>Accretion of redeemable convertible preferred stock to</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(2,594)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3"/>
        </w:trPr>
        <w:tc>
          <w:tcPr>
            <w:tcW w:w="4640" w:type="dxa"/>
            <w:vAlign w:val="bottom"/>
          </w:tcPr>
          <w:p>
            <w:pPr>
              <w:ind w:left="140"/>
              <w:spacing w:after="0" w:line="202" w:lineRule="exact"/>
              <w:rPr>
                <w:sz w:val="20"/>
                <w:szCs w:val="20"/>
                <w:color w:val="auto"/>
              </w:rPr>
            </w:pPr>
            <w:r>
              <w:rPr>
                <w:rFonts w:ascii="Arial" w:cs="Arial" w:eastAsia="Arial" w:hAnsi="Arial"/>
                <w:sz w:val="18"/>
                <w:szCs w:val="18"/>
                <w:color w:val="auto"/>
              </w:rPr>
              <w:t>redemption value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Accrued dividends on Series A redeemable convertible</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(6,914)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(29,473)</w:t>
            </w:r>
          </w:p>
        </w:tc>
        <w:tc>
          <w:tcPr>
            <w:tcW w:w="1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27"/>
        </w:trPr>
        <w:tc>
          <w:tcPr>
            <w:tcW w:w="4640" w:type="dxa"/>
            <w:vAlign w:val="bottom"/>
            <w:vMerge w:val="restart"/>
            <w:shd w:val="clear" w:color="auto" w:fill="CCEEFF"/>
          </w:tcPr>
          <w:p>
            <w:pPr>
              <w:spacing w:after="0" w:line="162" w:lineRule="exact"/>
              <w:rPr>
                <w:sz w:val="20"/>
                <w:szCs w:val="20"/>
                <w:color w:val="auto"/>
              </w:rPr>
            </w:pPr>
            <w:r>
              <w:rPr>
                <w:rFonts w:ascii="Arial" w:cs="Arial" w:eastAsia="Arial" w:hAnsi="Arial"/>
                <w:sz w:val="18"/>
                <w:szCs w:val="18"/>
                <w:color w:val="auto"/>
                <w:w w:val="93"/>
              </w:rPr>
              <w:t>Net loss per share attributable to common stockholders, basic</w:t>
            </w: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640" w:type="dxa"/>
            <w:vAlign w:val="bottom"/>
            <w:vMerge w:val="continue"/>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0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and diluted</w:t>
            </w:r>
          </w:p>
        </w:tc>
        <w:tc>
          <w:tcPr>
            <w:tcW w:w="3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4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color w:val="auto"/>
              </w:rPr>
              <w:t>Weighted-average common shares outstanding, basic and</w:t>
            </w: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1,317,150</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684,192</w:t>
            </w: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1,161,982</w:t>
            </w: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583,294</w:t>
            </w:r>
          </w:p>
        </w:tc>
        <w:tc>
          <w:tcPr>
            <w:tcW w:w="0" w:type="dxa"/>
            <w:vAlign w:val="bottom"/>
          </w:tcPr>
          <w:p>
            <w:pPr>
              <w:spacing w:after="0"/>
              <w:rPr>
                <w:sz w:val="1"/>
                <w:szCs w:val="1"/>
                <w:color w:val="auto"/>
              </w:rPr>
            </w:pPr>
          </w:p>
        </w:tc>
      </w:tr>
      <w:tr>
        <w:trPr>
          <w:trHeight w:val="196"/>
        </w:trPr>
        <w:tc>
          <w:tcPr>
            <w:tcW w:w="4640" w:type="dxa"/>
            <w:vAlign w:val="bottom"/>
          </w:tcPr>
          <w:p>
            <w:pPr>
              <w:ind w:left="140"/>
              <w:spacing w:after="0" w:line="189" w:lineRule="exact"/>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Voyager Therapeutics, Inc.</w:t>
      </w:r>
    </w:p>
    <w:p>
      <w:pPr>
        <w:jc w:val="center"/>
        <w:ind w:right="-199"/>
        <w:spacing w:after="0" w:line="203" w:lineRule="auto"/>
        <w:rPr>
          <w:sz w:val="20"/>
          <w:szCs w:val="20"/>
          <w:color w:val="auto"/>
        </w:rPr>
      </w:pPr>
      <w:r>
        <w:rPr>
          <w:rFonts w:ascii="Arial" w:cs="Arial" w:eastAsia="Arial" w:hAnsi="Arial"/>
          <w:sz w:val="18"/>
          <w:szCs w:val="18"/>
          <w:b w:val="1"/>
          <w:bCs w:val="1"/>
          <w:color w:val="auto"/>
        </w:rPr>
        <w:t>Condensed Statements of Cash Flows</w:t>
      </w:r>
    </w:p>
    <w:p>
      <w:pPr>
        <w:jc w:val="center"/>
        <w:ind w:right="-199"/>
        <w:spacing w:after="0" w:line="204" w:lineRule="auto"/>
        <w:rPr>
          <w:sz w:val="20"/>
          <w:szCs w:val="20"/>
          <w:color w:val="auto"/>
        </w:rPr>
      </w:pPr>
      <w:r>
        <w:rPr>
          <w:rFonts w:ascii="Arial" w:cs="Arial" w:eastAsia="Arial" w:hAnsi="Arial"/>
          <w:sz w:val="18"/>
          <w:szCs w:val="18"/>
          <w:b w:val="1"/>
          <w:bCs w:val="1"/>
          <w:i w:val="1"/>
          <w:iCs w:val="1"/>
          <w:color w:val="auto"/>
        </w:rPr>
        <w:t>(amounts in thousands)</w:t>
      </w:r>
    </w:p>
    <w:p>
      <w:pPr>
        <w:jc w:val="center"/>
        <w:ind w:right="-199"/>
        <w:spacing w:after="0"/>
        <w:rPr>
          <w:sz w:val="20"/>
          <w:szCs w:val="20"/>
          <w:color w:val="auto"/>
        </w:rPr>
      </w:pPr>
      <w:r>
        <w:rPr>
          <w:rFonts w:ascii="Arial" w:cs="Arial" w:eastAsia="Arial" w:hAnsi="Arial"/>
          <w:sz w:val="18"/>
          <w:szCs w:val="18"/>
          <w:b w:val="1"/>
          <w:bCs w:val="1"/>
          <w:i w:val="1"/>
          <w:i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from operating activities</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20"/>
                <w:szCs w:val="20"/>
                <w:color w:val="auto"/>
              </w:rPr>
            </w:pPr>
            <w:r>
              <w:rPr>
                <w:rFonts w:ascii="Arial" w:cs="Arial" w:eastAsia="Arial" w:hAnsi="Arial"/>
                <w:sz w:val="14"/>
                <w:szCs w:val="14"/>
                <w:color w:val="auto"/>
              </w:rPr>
              <w:t>Net loss</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(22,389)</w:t>
            </w:r>
          </w:p>
        </w:tc>
        <w:tc>
          <w:tcPr>
            <w:tcW w:w="56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(11,627)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2,061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20"/>
                <w:szCs w:val="20"/>
                <w:color w:val="auto"/>
              </w:rPr>
            </w:pPr>
            <w:r>
              <w:rPr>
                <w:rFonts w:ascii="Arial" w:cs="Arial" w:eastAsia="Arial" w:hAnsi="Arial"/>
                <w:sz w:val="14"/>
                <w:szCs w:val="14"/>
                <w:color w:val="auto"/>
              </w:rPr>
              <w:t>Amortization of premiums and discounts on marketable securities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preferred stock tranche liability</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9,750</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20"/>
                <w:szCs w:val="20"/>
                <w:color w:val="auto"/>
              </w:rPr>
            </w:pPr>
            <w:r>
              <w:rPr>
                <w:rFonts w:ascii="Arial" w:cs="Arial" w:eastAsia="Arial" w:hAnsi="Arial"/>
                <w:sz w:val="14"/>
                <w:szCs w:val="14"/>
                <w:color w:val="auto"/>
              </w:rPr>
              <w:t>Non-cash interest on convertible promissory notes payable</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Expense related to shares issued in connection with services performed</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20"/>
                <w:szCs w:val="20"/>
                <w:color w:val="auto"/>
              </w:rPr>
            </w:pPr>
            <w:r>
              <w:rPr>
                <w:rFonts w:ascii="Arial" w:cs="Arial" w:eastAsia="Arial" w:hAnsi="Arial"/>
                <w:sz w:val="14"/>
                <w:szCs w:val="14"/>
                <w:color w:val="auto"/>
              </w:rPr>
              <w:t>In-kind research and development expenses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2,190</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Deferred rent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ind w:left="220"/>
              <w:spacing w:after="0"/>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57,604</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28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(1,013)</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ind w:left="220"/>
              <w:spacing w:after="0"/>
              <w:rPr>
                <w:sz w:val="20"/>
                <w:szCs w:val="20"/>
                <w:color w:val="auto"/>
              </w:rPr>
            </w:pPr>
            <w:r>
              <w:rPr>
                <w:rFonts w:ascii="Arial" w:cs="Arial" w:eastAsia="Arial" w:hAnsi="Arial"/>
                <w:sz w:val="14"/>
                <w:szCs w:val="14"/>
                <w:color w:val="auto"/>
              </w:rPr>
              <w:t>Other non-current liabilities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(186)</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Lease incentive benefit</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6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50,856</w:t>
            </w: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(7,126)</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from investing activities</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(909)</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Change in restricted cash</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20"/>
                <w:szCs w:val="20"/>
                <w:color w:val="auto"/>
              </w:rPr>
            </w:pPr>
            <w:r>
              <w:rPr>
                <w:rFonts w:ascii="Arial" w:cs="Arial" w:eastAsia="Arial" w:hAnsi="Arial"/>
                <w:sz w:val="14"/>
                <w:szCs w:val="14"/>
                <w:color w:val="auto"/>
              </w:rPr>
              <w:t>Purchases of marketable securities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(100,283)</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maturities of marketable securities</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(95,192)</w:t>
            </w:r>
          </w:p>
        </w:tc>
        <w:tc>
          <w:tcPr>
            <w:tcW w:w="16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(2,293)</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from financing activities</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280" w:type="dxa"/>
            <w:vAlign w:val="bottom"/>
          </w:tcPr>
          <w:p>
            <w:pPr>
              <w:spacing w:after="0" w:line="108" w:lineRule="exact"/>
              <w:rPr>
                <w:sz w:val="20"/>
                <w:szCs w:val="20"/>
                <w:color w:val="auto"/>
              </w:rPr>
            </w:pPr>
            <w:r>
              <w:rPr>
                <w:rFonts w:ascii="Arial" w:cs="Arial" w:eastAsia="Arial" w:hAnsi="Arial"/>
                <w:sz w:val="12"/>
                <w:szCs w:val="12"/>
                <w:color w:val="auto"/>
              </w:rPr>
              <w:t>Proceeds from the issuance of Series A redeemable convertible preferred stock and tranche rights, net of</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19,999</w:t>
            </w: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15,542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280" w:type="dxa"/>
            <w:vAlign w:val="bottom"/>
          </w:tcPr>
          <w:p>
            <w:pPr>
              <w:ind w:left="140"/>
              <w:spacing w:after="0"/>
              <w:rPr>
                <w:sz w:val="20"/>
                <w:szCs w:val="20"/>
                <w:color w:val="auto"/>
              </w:rPr>
            </w:pPr>
            <w:r>
              <w:rPr>
                <w:rFonts w:ascii="Arial" w:cs="Arial" w:eastAsia="Arial" w:hAnsi="Arial"/>
                <w:sz w:val="14"/>
                <w:szCs w:val="14"/>
                <w:color w:val="auto"/>
              </w:rPr>
              <w:t>issuance costs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28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Proceeds from the issuance of Series B redeemable convertible preferred stock net of discount and issuance</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84,780</w:t>
            </w: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20"/>
                <w:szCs w:val="20"/>
                <w:color w:val="auto"/>
              </w:rPr>
            </w:pPr>
            <w:r>
              <w:rPr>
                <w:rFonts w:ascii="Arial" w:cs="Arial" w:eastAsia="Arial" w:hAnsi="Arial"/>
                <w:sz w:val="14"/>
                <w:szCs w:val="14"/>
                <w:color w:val="auto"/>
              </w:rPr>
              <w:t>Deferred initial public offering costs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(954)</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the issuance of common stock and restricted stock</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103,834</w:t>
            </w: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15,614</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increase in cash and cash equivalents</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59,498</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6,195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beginning of period</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7,035</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66,533</w:t>
            </w:r>
          </w:p>
        </w:tc>
        <w:tc>
          <w:tcPr>
            <w:tcW w:w="1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6,330</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80" w:type="dxa"/>
            <w:vAlign w:val="bottom"/>
          </w:tcPr>
          <w:p>
            <w:pPr>
              <w:spacing w:after="0"/>
              <w:rPr>
                <w:sz w:val="20"/>
                <w:szCs w:val="20"/>
                <w:color w:val="auto"/>
              </w:rPr>
            </w:pPr>
            <w:r>
              <w:rPr>
                <w:rFonts w:ascii="Arial" w:cs="Arial" w:eastAsia="Arial" w:hAnsi="Arial"/>
                <w:sz w:val="14"/>
                <w:szCs w:val="14"/>
                <w:b w:val="1"/>
                <w:bCs w:val="1"/>
                <w:color w:val="auto"/>
              </w:rPr>
              <w:t>Supplemental disclosure of cash and non-cash activities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Accretion of redeemable convertible preferred stock to redemption value</w:t>
            </w: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6,045</w:t>
            </w:r>
          </w:p>
        </w:tc>
        <w:tc>
          <w:tcPr>
            <w:tcW w:w="56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280" w:type="dxa"/>
            <w:vAlign w:val="bottom"/>
          </w:tcPr>
          <w:p>
            <w:pPr>
              <w:spacing w:after="0" w:line="108" w:lineRule="exact"/>
              <w:rPr>
                <w:sz w:val="20"/>
                <w:szCs w:val="20"/>
                <w:color w:val="auto"/>
              </w:rPr>
            </w:pPr>
            <w:r>
              <w:rPr>
                <w:rFonts w:ascii="Arial" w:cs="Arial" w:eastAsia="Arial" w:hAnsi="Arial"/>
                <w:sz w:val="12"/>
                <w:szCs w:val="12"/>
                <w:color w:val="auto"/>
              </w:rPr>
              <w:t>Exchange of promissory notes payable and accrued interest into Series A redeemable convertible preferred</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289"/>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2,929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280" w:type="dxa"/>
            <w:vAlign w:val="bottom"/>
          </w:tcPr>
          <w:p>
            <w:pPr>
              <w:ind w:left="140"/>
              <w:spacing w:after="0"/>
              <w:rPr>
                <w:sz w:val="20"/>
                <w:szCs w:val="20"/>
                <w:color w:val="auto"/>
              </w:rPr>
            </w:pPr>
            <w:r>
              <w:rPr>
                <w:rFonts w:ascii="Arial" w:cs="Arial" w:eastAsia="Arial" w:hAnsi="Arial"/>
                <w:sz w:val="14"/>
                <w:szCs w:val="14"/>
                <w:color w:val="auto"/>
              </w:rPr>
              <w:t>stock and tranche rights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Deferred initial public offering costs included in accrued expenses</w:t>
            </w: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VOYAGER THERAPEUTICS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5"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Voyager Therapeutics, Inc. (“the Company”) is a clinical</w:t>
      </w:r>
      <w:r>
        <w:rPr>
          <w:rFonts w:ascii="MS PGothic" w:cs="MS PGothic" w:eastAsia="MS PGothic" w:hAnsi="MS PGothic"/>
          <w:sz w:val="17"/>
          <w:szCs w:val="17"/>
          <w:color w:val="auto"/>
        </w:rPr>
        <w:t>‑</w:t>
      </w:r>
      <w:r>
        <w:rPr>
          <w:rFonts w:ascii="Arial" w:cs="Arial" w:eastAsia="Arial" w:hAnsi="Arial"/>
          <w:sz w:val="17"/>
          <w:szCs w:val="17"/>
          <w:color w:val="auto"/>
        </w:rPr>
        <w:t>stage gene therapy company focused on developing</w:t>
      </w:r>
    </w:p>
    <w:p>
      <w:pPr>
        <w:spacing w:after="0" w:line="176" w:lineRule="exact"/>
        <w:rPr>
          <w:sz w:val="20"/>
          <w:szCs w:val="20"/>
          <w:color w:val="auto"/>
        </w:rPr>
      </w:pPr>
      <w:r>
        <w:rPr>
          <w:rFonts w:ascii="Arial" w:cs="Arial" w:eastAsia="Arial" w:hAnsi="Arial"/>
          <w:sz w:val="16"/>
          <w:szCs w:val="16"/>
          <w:color w:val="auto"/>
        </w:rPr>
        <w:t>life</w:t>
      </w:r>
      <w:r>
        <w:rPr>
          <w:rFonts w:ascii="MS PGothic" w:cs="MS PGothic" w:eastAsia="MS PGothic" w:hAnsi="MS PGothic"/>
          <w:sz w:val="16"/>
          <w:szCs w:val="16"/>
          <w:color w:val="auto"/>
        </w:rPr>
        <w:t>‑</w:t>
      </w:r>
      <w:r>
        <w:rPr>
          <w:rFonts w:ascii="Arial" w:cs="Arial" w:eastAsia="Arial" w:hAnsi="Arial"/>
          <w:sz w:val="16"/>
          <w:szCs w:val="16"/>
          <w:color w:val="auto"/>
        </w:rPr>
        <w:t>changing treatments for patients suffering from severe diseases of the central nervous system (the “CNS”). The Company</w:t>
      </w:r>
    </w:p>
    <w:p>
      <w:pPr>
        <w:spacing w:after="0" w:line="176" w:lineRule="exact"/>
        <w:rPr>
          <w:sz w:val="20"/>
          <w:szCs w:val="20"/>
          <w:color w:val="auto"/>
        </w:rPr>
      </w:pPr>
      <w:r>
        <w:rPr>
          <w:rFonts w:ascii="Arial" w:cs="Arial" w:eastAsia="Arial" w:hAnsi="Arial"/>
          <w:sz w:val="17"/>
          <w:szCs w:val="17"/>
          <w:color w:val="auto"/>
        </w:rPr>
        <w:t>focuses on CNS diseases where it believes that an adeno</w:t>
      </w:r>
      <w:r>
        <w:rPr>
          <w:rFonts w:ascii="MS PGothic" w:cs="MS PGothic" w:eastAsia="MS PGothic" w:hAnsi="MS PGothic"/>
          <w:sz w:val="17"/>
          <w:szCs w:val="17"/>
          <w:color w:val="auto"/>
        </w:rPr>
        <w:t>‑</w:t>
      </w:r>
      <w:r>
        <w:rPr>
          <w:rFonts w:ascii="Arial" w:cs="Arial" w:eastAsia="Arial" w:hAnsi="Arial"/>
          <w:sz w:val="17"/>
          <w:szCs w:val="17"/>
          <w:color w:val="auto"/>
        </w:rPr>
        <w:t>associated virus (“AAV”) gene therapy approach can have a</w:t>
      </w:r>
    </w:p>
    <w:p>
      <w:pPr>
        <w:spacing w:after="0" w:line="216" w:lineRule="auto"/>
        <w:rPr>
          <w:sz w:val="20"/>
          <w:szCs w:val="20"/>
          <w:color w:val="auto"/>
        </w:rPr>
      </w:pPr>
      <w:r>
        <w:rPr>
          <w:rFonts w:ascii="Arial" w:cs="Arial" w:eastAsia="Arial" w:hAnsi="Arial"/>
          <w:sz w:val="17"/>
          <w:szCs w:val="17"/>
          <w:color w:val="auto"/>
        </w:rPr>
        <w:t>clinically meaningful impact by either increasing or decreasing the production of a specific protein. The Company has</w:t>
      </w:r>
    </w:p>
    <w:p>
      <w:pPr>
        <w:spacing w:after="0" w:line="176" w:lineRule="exact"/>
        <w:rPr>
          <w:sz w:val="20"/>
          <w:szCs w:val="20"/>
          <w:color w:val="auto"/>
        </w:rPr>
      </w:pPr>
      <w:r>
        <w:rPr>
          <w:rFonts w:ascii="Arial" w:cs="Arial" w:eastAsia="Arial" w:hAnsi="Arial"/>
          <w:sz w:val="16"/>
          <w:szCs w:val="16"/>
          <w:color w:val="auto"/>
        </w:rPr>
        <w:t>created a product engine that enables it to engineer, optimize, manufacture and deliver its AAV</w:t>
      </w:r>
      <w:r>
        <w:rPr>
          <w:rFonts w:ascii="MS PGothic" w:cs="MS PGothic" w:eastAsia="MS PGothic" w:hAnsi="MS PGothic"/>
          <w:sz w:val="16"/>
          <w:szCs w:val="16"/>
          <w:color w:val="auto"/>
        </w:rPr>
        <w:t>‑</w:t>
      </w:r>
      <w:r>
        <w:rPr>
          <w:rFonts w:ascii="Arial" w:cs="Arial" w:eastAsia="Arial" w:hAnsi="Arial"/>
          <w:sz w:val="16"/>
          <w:szCs w:val="16"/>
          <w:color w:val="auto"/>
        </w:rPr>
        <w:t>based gene therapies that</w:t>
      </w:r>
    </w:p>
    <w:p>
      <w:pPr>
        <w:spacing w:after="0" w:line="229" w:lineRule="auto"/>
        <w:rPr>
          <w:sz w:val="20"/>
          <w:szCs w:val="20"/>
          <w:color w:val="auto"/>
        </w:rPr>
      </w:pPr>
      <w:r>
        <w:rPr>
          <w:rFonts w:ascii="Arial" w:cs="Arial" w:eastAsia="Arial" w:hAnsi="Arial"/>
          <w:sz w:val="16"/>
          <w:szCs w:val="16"/>
          <w:color w:val="auto"/>
        </w:rPr>
        <w:t>have the potential to provide durable efficacy following a single administration directly to the CNS. The Company’s product</w:t>
      </w:r>
    </w:p>
    <w:p>
      <w:pPr>
        <w:spacing w:after="0" w:line="215" w:lineRule="auto"/>
        <w:rPr>
          <w:sz w:val="20"/>
          <w:szCs w:val="20"/>
          <w:color w:val="auto"/>
        </w:rPr>
      </w:pPr>
      <w:r>
        <w:rPr>
          <w:rFonts w:ascii="Arial" w:cs="Arial" w:eastAsia="Arial" w:hAnsi="Arial"/>
          <w:sz w:val="17"/>
          <w:szCs w:val="17"/>
          <w:color w:val="auto"/>
        </w:rPr>
        <w:t>engine has rapidly generated programs for five CNS indications, including advanced Parkinson’s disease, a form of</w:t>
      </w:r>
    </w:p>
    <w:p>
      <w:pPr>
        <w:spacing w:after="0" w:line="216" w:lineRule="auto"/>
        <w:rPr>
          <w:sz w:val="20"/>
          <w:szCs w:val="20"/>
          <w:color w:val="auto"/>
        </w:rPr>
      </w:pPr>
      <w:r>
        <w:rPr>
          <w:rFonts w:ascii="Arial" w:cs="Arial" w:eastAsia="Arial" w:hAnsi="Arial"/>
          <w:sz w:val="17"/>
          <w:szCs w:val="17"/>
          <w:color w:val="auto"/>
        </w:rPr>
        <w:t>monogenic amyotrophic lateral sclerosis, Friedreich’s ataxia, Huntington’s disease and spinal muscular atrophy. The</w:t>
      </w:r>
    </w:p>
    <w:p>
      <w:pPr>
        <w:spacing w:after="0" w:line="176" w:lineRule="exact"/>
        <w:rPr>
          <w:sz w:val="20"/>
          <w:szCs w:val="20"/>
          <w:color w:val="auto"/>
        </w:rPr>
      </w:pPr>
      <w:r>
        <w:rPr>
          <w:rFonts w:ascii="Arial" w:cs="Arial" w:eastAsia="Arial" w:hAnsi="Arial"/>
          <w:sz w:val="16"/>
          <w:szCs w:val="16"/>
          <w:color w:val="auto"/>
        </w:rPr>
        <w:t>Company’s most advanced clinical candidate, VY</w:t>
      </w:r>
      <w:r>
        <w:rPr>
          <w:rFonts w:ascii="MS PGothic" w:cs="MS PGothic" w:eastAsia="MS PGothic" w:hAnsi="MS PGothic"/>
          <w:sz w:val="16"/>
          <w:szCs w:val="16"/>
          <w:color w:val="auto"/>
        </w:rPr>
        <w:t>‑</w:t>
      </w:r>
      <w:r>
        <w:rPr>
          <w:rFonts w:ascii="Arial" w:cs="Arial" w:eastAsia="Arial" w:hAnsi="Arial"/>
          <w:sz w:val="16"/>
          <w:szCs w:val="16"/>
          <w:color w:val="auto"/>
        </w:rPr>
        <w:t>AADC01, is being evaluated for the treatment of advanced Parkinson’s</w:t>
      </w:r>
    </w:p>
    <w:p>
      <w:pPr>
        <w:spacing w:after="0" w:line="176" w:lineRule="exact"/>
        <w:rPr>
          <w:sz w:val="20"/>
          <w:szCs w:val="20"/>
          <w:color w:val="auto"/>
        </w:rPr>
      </w:pPr>
      <w:r>
        <w:rPr>
          <w:rFonts w:ascii="Arial" w:cs="Arial" w:eastAsia="Arial" w:hAnsi="Arial"/>
          <w:sz w:val="16"/>
          <w:szCs w:val="16"/>
          <w:color w:val="auto"/>
        </w:rPr>
        <w:t>disease in an open</w:t>
      </w:r>
      <w:r>
        <w:rPr>
          <w:rFonts w:ascii="MS PGothic" w:cs="MS PGothic" w:eastAsia="MS PGothic" w:hAnsi="MS PGothic"/>
          <w:sz w:val="16"/>
          <w:szCs w:val="16"/>
          <w:color w:val="auto"/>
        </w:rPr>
        <w:t>‑</w:t>
      </w:r>
      <w:r>
        <w:rPr>
          <w:rFonts w:ascii="Arial" w:cs="Arial" w:eastAsia="Arial" w:hAnsi="Arial"/>
          <w:sz w:val="16"/>
          <w:szCs w:val="16"/>
          <w:color w:val="auto"/>
        </w:rPr>
        <w:t>label, Phase 1b clinical trial with the goal of generating human proof</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concept data in the second half of</w:t>
      </w:r>
    </w:p>
    <w:p>
      <w:pPr>
        <w:spacing w:after="0"/>
        <w:rPr>
          <w:sz w:val="20"/>
          <w:szCs w:val="20"/>
          <w:color w:val="auto"/>
        </w:rPr>
      </w:pPr>
      <w:r>
        <w:rPr>
          <w:rFonts w:ascii="Arial" w:cs="Arial" w:eastAsia="Arial" w:hAnsi="Arial"/>
          <w:sz w:val="18"/>
          <w:szCs w:val="18"/>
          <w:color w:val="auto"/>
        </w:rPr>
        <w:t>2016.</w:t>
      </w:r>
    </w:p>
    <w:p>
      <w:pPr>
        <w:spacing w:after="0" w:line="169"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The Company is subject to risks common to companies in the biotechnology and gene therapy industry, including but not limited to, risks of failure of pre</w:t>
      </w:r>
      <w:r>
        <w:rPr>
          <w:rFonts w:ascii="MS PGothic" w:cs="MS PGothic" w:eastAsia="MS PGothic" w:hAnsi="MS PGothic"/>
          <w:sz w:val="18"/>
          <w:szCs w:val="18"/>
          <w:color w:val="auto"/>
        </w:rPr>
        <w:t>‑</w:t>
      </w:r>
      <w:r>
        <w:rPr>
          <w:rFonts w:ascii="Arial" w:cs="Arial" w:eastAsia="Arial" w:hAnsi="Arial"/>
          <w:sz w:val="18"/>
          <w:szCs w:val="18"/>
          <w:color w:val="auto"/>
        </w:rPr>
        <w:t>clinical studies, and clinical trials, the need to obtain marketing approval for its drug product candidates, the need to successfully commercialize and gain market acceptance of its drug product candidates, dependence on key personnel, protection of proprietary technology, compliance with government regulations, development by competitors of technological innovations and ability to transition from pilot</w:t>
      </w:r>
      <w:r>
        <w:rPr>
          <w:rFonts w:ascii="MS PGothic" w:cs="MS PGothic" w:eastAsia="MS PGothic" w:hAnsi="MS PGothic"/>
          <w:sz w:val="18"/>
          <w:szCs w:val="18"/>
          <w:color w:val="auto"/>
        </w:rPr>
        <w:t>‑</w:t>
      </w:r>
      <w:r>
        <w:rPr>
          <w:rFonts w:ascii="Arial" w:cs="Arial" w:eastAsia="Arial" w:hAnsi="Arial"/>
          <w:sz w:val="18"/>
          <w:szCs w:val="18"/>
          <w:color w:val="auto"/>
        </w:rPr>
        <w:t>scale manufacturing to large</w:t>
      </w:r>
      <w:r>
        <w:rPr>
          <w:rFonts w:ascii="MS PGothic" w:cs="MS PGothic" w:eastAsia="MS PGothic" w:hAnsi="MS PGothic"/>
          <w:sz w:val="18"/>
          <w:szCs w:val="18"/>
          <w:color w:val="auto"/>
        </w:rPr>
        <w:t>‑</w:t>
      </w:r>
      <w:r>
        <w:rPr>
          <w:rFonts w:ascii="Arial" w:cs="Arial" w:eastAsia="Arial" w:hAnsi="Arial"/>
          <w:sz w:val="18"/>
          <w:szCs w:val="18"/>
          <w:color w:val="auto"/>
        </w:rPr>
        <w:t>scale production of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The following is a summary of significant accounting policies followed in the preparation of these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100" w:firstLine="648"/>
        <w:spacing w:after="0" w:line="237" w:lineRule="auto"/>
        <w:rPr>
          <w:sz w:val="20"/>
          <w:szCs w:val="20"/>
          <w:color w:val="auto"/>
        </w:rPr>
      </w:pPr>
      <w:r>
        <w:rPr>
          <w:rFonts w:ascii="Arial" w:cs="Arial" w:eastAsia="Arial" w:hAnsi="Arial"/>
          <w:sz w:val="16"/>
          <w:szCs w:val="16"/>
          <w:color w:val="auto"/>
        </w:rPr>
        <w:t>The accompanying unaudited condensed financial statements of the Company have been prepared in accordance with accounting principles generally accepted in the United States (“GAAP”) for interim financial reporting and as required by Regulation S-X, Rule 10-01. Accordingly, they do not include all of the information and footnotes required by GAAP for complete financial statements. For further information, refer to the financial statements and footnotes included in the Company’s Registration Statement on Form S-1 for the year ended December 31, 2014 as filed with the Securities and Exchange Commission (“SEC”). Any reference in these notes to applicable guidance is meant to refer to the authoritative United States generally accepted accounting principles as found in the Accounting Standards Codification (“ASC”) and Accounting Standards Updates (“ASU”) of the Financial Accounting Standards Board (“FASB”).</w:t>
      </w:r>
    </w:p>
    <w:p>
      <w:pPr>
        <w:spacing w:after="0" w:line="167" w:lineRule="exact"/>
        <w:rPr>
          <w:sz w:val="20"/>
          <w:szCs w:val="20"/>
          <w:color w:val="auto"/>
        </w:rPr>
      </w:pPr>
    </w:p>
    <w:p>
      <w:pPr>
        <w:ind w:right="20" w:firstLine="432"/>
        <w:spacing w:after="0" w:line="221" w:lineRule="auto"/>
        <w:rPr>
          <w:sz w:val="20"/>
          <w:szCs w:val="20"/>
          <w:color w:val="auto"/>
        </w:rPr>
      </w:pPr>
      <w:r>
        <w:rPr>
          <w:rFonts w:ascii="Arial" w:cs="Arial" w:eastAsia="Arial" w:hAnsi="Arial"/>
          <w:sz w:val="17"/>
          <w:szCs w:val="17"/>
          <w:color w:val="auto"/>
        </w:rPr>
        <w:t>On November 16, 2015 the Company completed the sale of 5,750,000 shares of its common stock in its initial public offering (the “IPO”), at a price to the public of $14.00 per share, resulting in estimated net proceeds to the Company of $72.7 million after deducting underwriting discounts and commissions and estimated offering expenses payable by the Company. On October 29, 2015, in preparation for the Company's IPO, the Company's Board of Directors and stockholders approved a 1-for-4.25 reverse split of the Company's common stock, which became effective on October 29, 2015. All share and per share amounts in the financial statements and notes thereto have been retroactively adjusted for all periods presented to give effect to this reverse split, including reclassifying an amount equal to the reduction in par value of common stock to additional paid-in capital. In connection with the closing of the IPO, all of the Company’s outstanding redeemable convertible preferred stock automatically converted into shares of common stock as of November 16, 2015, resulting in the issuance by the Company of an additional 17,647,054 shares of common stock. The significant increase in shares outstanding in November 2015 is expected to impact the year-over-year comparability of the Company’s net loss per share calculations over the next year.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revenue recognition, accrued expenses, valuation of the tranche rights,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income taxes and the fair value of common stock. The Company bases its estimates on historical experience and other market specific or other relevant assumptions that it believes to be reasonable under the circumstances. Actual results may differ from those estimates or assumptions.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accompanying condensed balance sheets as of September 30, 2015, the condensed statements of operations and comprehensive loss for the three and nine months ended September 30, 2015 and 2014, and the condensed statements of cash flows for the nine months ended September 30, 2015 and 2014 are unaudited. The interim unaudited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2015, the results of its operations and comprehensive loss for the three and nine months ended September 30, 2015 and 2014, and its cash flows for the nine months ended September 30, 2015 and 2014. The financial data and other information disclosed in these notes related to the periods ended September 30, 2015 and 2014 are unaudited. The results for the three and nine months ended September 30, 2015, are not necessarily indicative of results to be expected for the year ending December 31, 2015, any other interim periods, or any future year or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5"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that distinguishes between the following:</w:t>
      </w:r>
    </w:p>
    <w:p>
      <w:pPr>
        <w:spacing w:after="0" w:line="163" w:lineRule="exact"/>
        <w:rPr>
          <w:sz w:val="20"/>
          <w:szCs w:val="20"/>
          <w:color w:val="auto"/>
        </w:rPr>
      </w:pPr>
    </w:p>
    <w:p>
      <w:pPr>
        <w:ind w:left="1040" w:hanging="6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market prices in active markets for identical assets or liabilities.</w:t>
      </w:r>
    </w:p>
    <w:p>
      <w:pPr>
        <w:spacing w:after="0" w:line="198" w:lineRule="exact"/>
        <w:rPr>
          <w:rFonts w:ascii="Arial" w:cs="Arial" w:eastAsia="Arial" w:hAnsi="Arial"/>
          <w:sz w:val="18"/>
          <w:szCs w:val="18"/>
          <w:color w:val="auto"/>
        </w:rPr>
      </w:pPr>
    </w:p>
    <w:p>
      <w:pPr>
        <w:ind w:left="1020" w:right="480" w:hanging="54"/>
        <w:spacing w:after="0" w:line="24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inputs that are either directly or indirectly observable, such as quoted market prices, interest rates, and yield curves.</w:t>
      </w:r>
    </w:p>
    <w:p>
      <w:pPr>
        <w:spacing w:after="0" w:line="169" w:lineRule="exact"/>
        <w:rPr>
          <w:rFonts w:ascii="Arial" w:cs="Arial" w:eastAsia="Arial" w:hAnsi="Arial"/>
          <w:sz w:val="18"/>
          <w:szCs w:val="18"/>
          <w:color w:val="auto"/>
        </w:rPr>
      </w:pPr>
    </w:p>
    <w:p>
      <w:pPr>
        <w:ind w:left="1020" w:right="220" w:hanging="54"/>
        <w:spacing w:after="0" w:line="24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3</w:t>
      </w:r>
      <w:r>
        <w:rPr>
          <w:rFonts w:ascii="Arial" w:cs="Arial" w:eastAsia="Arial" w:hAnsi="Arial"/>
          <w:sz w:val="18"/>
          <w:szCs w:val="18"/>
          <w:color w:val="auto"/>
        </w:rPr>
        <w:t>—Unobservable inputs developed using estimates of assumptions developed by the Company, which reflect those that a market participant would use.</w:t>
      </w:r>
    </w:p>
    <w:p>
      <w:pPr>
        <w:spacing w:after="0" w:line="170"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20" w:firstLine="648"/>
        <w:spacing w:after="0" w:line="203" w:lineRule="exact"/>
        <w:rPr>
          <w:sz w:val="20"/>
          <w:szCs w:val="20"/>
          <w:color w:val="auto"/>
        </w:rPr>
      </w:pPr>
      <w:r>
        <w:rPr>
          <w:rFonts w:ascii="Arial" w:cs="Arial" w:eastAsia="Arial" w:hAnsi="Arial"/>
          <w:sz w:val="15"/>
          <w:szCs w:val="15"/>
          <w:color w:val="auto"/>
        </w:rPr>
        <w:t>The carrying amounts reflected in the balance sheets for cash and cash equivalents, prepaid expenses and other current assets, accounts payable and accrued expenses approximate their fair values, due to their short</w:t>
      </w:r>
      <w:r>
        <w:rPr>
          <w:rFonts w:ascii="MS PGothic" w:cs="MS PGothic" w:eastAsia="MS PGothic" w:hAnsi="MS PGothic"/>
          <w:sz w:val="15"/>
          <w:szCs w:val="15"/>
          <w:color w:val="auto"/>
        </w:rPr>
        <w:t>‑</w:t>
      </w:r>
      <w:r>
        <w:rPr>
          <w:rFonts w:ascii="Arial" w:cs="Arial" w:eastAsia="Arial" w:hAnsi="Arial"/>
          <w:sz w:val="15"/>
          <w:szCs w:val="15"/>
          <w:color w:val="auto"/>
        </w:rPr>
        <w: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money market funds.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Company classifies marketable securities with a remaining maturity when purchased of greater than three months as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Marketable securities with a remaining maturity date greater than one year are classified as non</w:t>
      </w:r>
      <w:r>
        <w:rPr>
          <w:rFonts w:ascii="MS PGothic" w:cs="MS PGothic" w:eastAsia="MS PGothic" w:hAnsi="MS PGothic"/>
          <w:sz w:val="17"/>
          <w:szCs w:val="17"/>
          <w:color w:val="auto"/>
        </w:rPr>
        <w:t>‑</w:t>
      </w:r>
      <w:r>
        <w:rPr>
          <w:rFonts w:ascii="Arial" w:cs="Arial" w:eastAsia="Arial" w:hAnsi="Arial"/>
          <w:sz w:val="17"/>
          <w:szCs w:val="17"/>
          <w:color w:val="auto"/>
        </w:rPr>
        <w:t>current where the Company has the intent and ability to hold these securities for at least the next twelve months.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securities are maintained by an investment manager and may consist of U.S. Treasury securities and U.S. government agency securities.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securities are carried at fair value with the unrealized gains and losses included in other comprehensive income as a component of stockholders’ deficit until realized. Any premium or discount arising at purchase is amortized and/or accreted to interest income and/or expense.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temporary” and, if so, recognizes the unrealized loss through a charge to the Company’s statement of operations and comprehensive loss.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marketable securities held as of December 31, 2014.</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Marketable securities as of September 30, 2015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5"/>
                <w:szCs w:val="15"/>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 of September 30, 2015</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65,371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money market funds included in cash and cash equivalents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6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Marketable securities:</w:t>
            </w:r>
          </w:p>
        </w:tc>
        <w:tc>
          <w:tcPr>
            <w:tcW w:w="4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notes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U.S. Government agency bonds</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tcPr>
          <w:p>
            <w:pPr>
              <w:spacing w:after="0"/>
              <w:rPr>
                <w:sz w:val="20"/>
                <w:szCs w:val="20"/>
                <w:color w:val="auto"/>
              </w:rPr>
            </w:pPr>
            <w:r>
              <w:rPr>
                <w:rFonts w:ascii="Arial" w:cs="Arial" w:eastAsia="Arial" w:hAnsi="Arial"/>
                <w:sz w:val="18"/>
                <w:szCs w:val="18"/>
                <w:color w:val="auto"/>
              </w:rPr>
              <w:t>Total money market funds and marketable securities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159,393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35" w:lineRule="auto"/>
        <w:rPr>
          <w:sz w:val="20"/>
          <w:szCs w:val="20"/>
          <w:color w:val="auto"/>
        </w:rPr>
      </w:pPr>
      <w:r>
        <w:rPr>
          <w:rFonts w:ascii="Arial" w:cs="Arial" w:eastAsia="Arial" w:hAnsi="Arial"/>
          <w:sz w:val="18"/>
          <w:szCs w:val="18"/>
          <w:color w:val="auto"/>
        </w:rPr>
        <w:t>The estimated fair value of the Company’s marketable securities balance at September 30, 2015, by contractual maturity,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41,138</w:t>
            </w:r>
          </w:p>
        </w:tc>
      </w:tr>
      <w:tr>
        <w:trPr>
          <w:trHeight w:val="216"/>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two years</w:t>
            </w:r>
          </w:p>
        </w:tc>
        <w:tc>
          <w:tcPr>
            <w:tcW w:w="1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52,922</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94,060</w:t>
            </w:r>
          </w:p>
        </w:tc>
      </w:tr>
      <w:tr>
        <w:trPr>
          <w:trHeight w:val="27"/>
        </w:trPr>
        <w:tc>
          <w:tcPr>
            <w:tcW w:w="44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320" w:firstLine="648"/>
        <w:spacing w:after="0" w:line="194" w:lineRule="exact"/>
        <w:rPr>
          <w:sz w:val="20"/>
          <w:szCs w:val="20"/>
          <w:color w:val="auto"/>
        </w:rPr>
      </w:pPr>
      <w:r>
        <w:rPr>
          <w:rFonts w:ascii="Arial" w:cs="Arial" w:eastAsia="Arial" w:hAnsi="Arial"/>
          <w:sz w:val="16"/>
          <w:szCs w:val="16"/>
          <w:color w:val="auto"/>
        </w:rPr>
        <w:t>At September 30, 2015 and December 31, 2014, the Company maintained restricted cash totaling approximately $314,000 held in the form of money market accounts as collateral for the Company’s facility lease obligation and credit cards. The balance is included within deposits and other non</w:t>
      </w:r>
      <w:r>
        <w:rPr>
          <w:rFonts w:ascii="MS PGothic" w:cs="MS PGothic" w:eastAsia="MS PGothic" w:hAnsi="MS PGothic"/>
          <w:sz w:val="16"/>
          <w:szCs w:val="16"/>
          <w:color w:val="auto"/>
        </w:rPr>
        <w:t>‑</w:t>
      </w:r>
      <w:r>
        <w:rPr>
          <w:rFonts w:ascii="Arial" w:cs="Arial" w:eastAsia="Arial" w:hAnsi="Arial"/>
          <w:sz w:val="16"/>
          <w:szCs w:val="16"/>
          <w:color w:val="auto"/>
        </w:rPr>
        <w:t>current assets in the accompanying balance sheets.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44" w:lineRule="exact"/>
        <w:rPr>
          <w:sz w:val="20"/>
          <w:szCs w:val="20"/>
          <w:color w:val="auto"/>
        </w:rPr>
      </w:pPr>
    </w:p>
    <w:p>
      <w:pPr>
        <w:ind w:right="20" w:firstLine="648"/>
        <w:spacing w:after="0" w:line="189" w:lineRule="exact"/>
        <w:rPr>
          <w:sz w:val="20"/>
          <w:szCs w:val="20"/>
          <w:color w:val="auto"/>
        </w:rPr>
      </w:pPr>
      <w:r>
        <w:rPr>
          <w:rFonts w:ascii="Arial" w:cs="Arial" w:eastAsia="Arial" w:hAnsi="Arial"/>
          <w:sz w:val="16"/>
          <w:szCs w:val="16"/>
          <w:color w:val="auto"/>
        </w:rPr>
        <w:t>Property and equipment consists of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 betterments are capitalized. Depreciation is calculated over the estimated useful lives of the assets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w:t>
      </w:r>
    </w:p>
    <w:p>
      <w:pPr>
        <w:spacing w:after="0" w:line="13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44"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The Company evaluates long</w:t>
      </w:r>
      <w:r>
        <w:rPr>
          <w:rFonts w:ascii="MS PGothic" w:cs="MS PGothic" w:eastAsia="MS PGothic" w:hAnsi="MS PGothic"/>
          <w:sz w:val="18"/>
          <w:szCs w:val="18"/>
          <w:color w:val="auto"/>
        </w:rPr>
        <w:t>‑</w:t>
      </w:r>
      <w:r>
        <w:rPr>
          <w:rFonts w:ascii="Arial" w:cs="Arial" w:eastAsia="Arial" w:hAnsi="Arial"/>
          <w:sz w:val="18"/>
          <w:szCs w:val="18"/>
          <w:color w:val="auto"/>
        </w:rPr>
        <w:t>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has not recognized any impairment losses from inception through September 30, 2015.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58"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7"/>
          <w:szCs w:val="17"/>
          <w:color w:val="auto"/>
        </w:rPr>
        <w:t>Deferred issuance costs, which primarily consist of direct incremental legal and accounting fees relating to the Company’s proposed initial public offering of common stock are capitalized as incurred. The deferred issuance costs will be offset against proceeds upon the consummation of the offering. Approximately $1,302,000 of deferred issuance costs were incurred and capitalized as of September 30, 2015. No amounts were capitalized as of December 31, 2014. Such costs are included within other non</w:t>
      </w:r>
      <w:r>
        <w:rPr>
          <w:rFonts w:ascii="MS PGothic" w:cs="MS PGothic" w:eastAsia="MS PGothic" w:hAnsi="MS PGothic"/>
          <w:sz w:val="17"/>
          <w:szCs w:val="17"/>
          <w:color w:val="auto"/>
        </w:rPr>
        <w:t>‑</w:t>
      </w:r>
      <w:r>
        <w:rPr>
          <w:rFonts w:ascii="Arial" w:cs="Arial" w:eastAsia="Arial" w:hAnsi="Arial"/>
          <w:sz w:val="17"/>
          <w:szCs w:val="17"/>
          <w:color w:val="auto"/>
        </w:rPr>
        <w:t>current assets on the balance sheet.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As of September 30, 2015, all of the Company’s revenue is generated exclusively from its collaboration agreement with Genzyme Corporation, a Sanofi company (“Genzyme”).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Company recognizes revenue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w:t>
      </w:r>
    </w:p>
    <w:p>
      <w:pPr>
        <w:spacing w:after="0"/>
        <w:rPr>
          <w:sz w:val="20"/>
          <w:szCs w:val="20"/>
          <w:color w:val="auto"/>
        </w:rPr>
      </w:pPr>
      <w:r>
        <w:rPr>
          <w:rFonts w:ascii="Arial" w:cs="Arial" w:eastAsia="Arial" w:hAnsi="Arial"/>
          <w:sz w:val="18"/>
          <w:szCs w:val="18"/>
          <w:color w:val="auto"/>
        </w:rPr>
        <w:t>Accordingly, revenue is recognized for each unit of accounting when all of the following criteria are met:</w:t>
      </w:r>
    </w:p>
    <w:p>
      <w:pPr>
        <w:spacing w:after="0" w:line="128" w:lineRule="exact"/>
        <w:rPr>
          <w:sz w:val="20"/>
          <w:szCs w:val="20"/>
          <w:color w:val="auto"/>
        </w:rPr>
      </w:pPr>
    </w:p>
    <w:p>
      <w:pPr>
        <w:ind w:left="780" w:hanging="12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57" w:lineRule="exact"/>
        <w:rPr>
          <w:rFonts w:ascii="Arial" w:cs="Arial" w:eastAsia="Arial" w:hAnsi="Arial"/>
          <w:sz w:val="18"/>
          <w:szCs w:val="18"/>
          <w:color w:val="auto"/>
        </w:rPr>
      </w:pPr>
    </w:p>
    <w:p>
      <w:pPr>
        <w:ind w:left="760" w:hanging="10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57" w:lineRule="exact"/>
        <w:rPr>
          <w:rFonts w:ascii="Arial" w:cs="Arial" w:eastAsia="Arial" w:hAnsi="Arial"/>
          <w:sz w:val="18"/>
          <w:szCs w:val="18"/>
          <w:color w:val="auto"/>
        </w:rPr>
      </w:pPr>
    </w:p>
    <w:p>
      <w:pPr>
        <w:ind w:left="740" w:hanging="8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57" w:lineRule="exact"/>
        <w:rPr>
          <w:rFonts w:ascii="Arial" w:cs="Arial" w:eastAsia="Arial" w:hAnsi="Arial"/>
          <w:sz w:val="18"/>
          <w:szCs w:val="18"/>
          <w:color w:val="auto"/>
        </w:rPr>
      </w:pPr>
    </w:p>
    <w:p>
      <w:pPr>
        <w:ind w:left="820" w:hanging="16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58"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Amounts received prior to satisfying the revenue recognition criteria are recorded as deferred revenue in the Company’s balance sheet. Amounts expected to be recognized as revenue within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22"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The Company analyzes the multiple element arrangements based on the guidance in ASC Topic 605</w:t>
      </w:r>
      <w:r>
        <w:rPr>
          <w:rFonts w:ascii="MS PGothic" w:cs="MS PGothic" w:eastAsia="MS PGothic" w:hAnsi="MS PGothic"/>
          <w:sz w:val="16"/>
          <w:szCs w:val="16"/>
          <w:color w:val="auto"/>
        </w:rPr>
        <w:t>‑</w:t>
      </w:r>
      <w:r>
        <w:rPr>
          <w:rFonts w:ascii="Arial" w:cs="Arial" w:eastAsia="Arial" w:hAnsi="Arial"/>
          <w:sz w:val="16"/>
          <w:szCs w:val="16"/>
          <w:color w:val="auto"/>
        </w:rPr>
        <w:t xml:space="preserve">25,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Recognition—Multiple Element Arrangements </w:t>
      </w:r>
      <w:r>
        <w:rPr>
          <w:rFonts w:ascii="Arial" w:cs="Arial" w:eastAsia="Arial" w:hAnsi="Arial"/>
          <w:sz w:val="16"/>
          <w:szCs w:val="16"/>
          <w:color w:val="auto"/>
        </w:rPr>
        <w:t>(“ASC 605</w:t>
      </w:r>
      <w:r>
        <w:rPr>
          <w:rFonts w:ascii="MS PGothic" w:cs="MS PGothic" w:eastAsia="MS PGothic" w:hAnsi="MS PGothic"/>
          <w:sz w:val="16"/>
          <w:szCs w:val="16"/>
          <w:color w:val="auto"/>
        </w:rPr>
        <w:t>‑</w:t>
      </w:r>
      <w:r>
        <w:rPr>
          <w:rFonts w:ascii="Arial" w:cs="Arial" w:eastAsia="Arial" w:hAnsi="Arial"/>
          <w:sz w:val="16"/>
          <w:szCs w:val="16"/>
          <w:color w:val="auto"/>
        </w:rPr>
        <w:t>25”). Pursuant to the guidance in ASC 605</w:t>
      </w:r>
      <w:r>
        <w:rPr>
          <w:rFonts w:ascii="MS PGothic" w:cs="MS PGothic" w:eastAsia="MS PGothic" w:hAnsi="MS PGothic"/>
          <w:sz w:val="16"/>
          <w:szCs w:val="16"/>
          <w:color w:val="auto"/>
        </w:rPr>
        <w:t>‑</w:t>
      </w:r>
      <w:r>
        <w:rPr>
          <w:rFonts w:ascii="Arial" w:cs="Arial" w:eastAsia="Arial" w:hAnsi="Arial"/>
          <w:sz w:val="16"/>
          <w:szCs w:val="16"/>
          <w:color w:val="auto"/>
        </w:rPr>
        <w:t>25,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multiple 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management to make judgements about the individual deliverables and whether such deliverables are separate from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within control of the Company. In assessing whether an item has standalone value, the Company considers factors such as the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19"/>
        <w:spacing w:after="0" w:line="244" w:lineRule="auto"/>
        <w:rPr>
          <w:sz w:val="20"/>
          <w:szCs w:val="20"/>
          <w:color w:val="auto"/>
        </w:rPr>
      </w:pPr>
      <w:r>
        <w:rPr>
          <w:rFonts w:ascii="Arial" w:cs="Arial" w:eastAsia="Arial" w:hAnsi="Arial"/>
          <w:sz w:val="16"/>
          <w:szCs w:val="16"/>
          <w:color w:val="auto"/>
        </w:rPr>
        <w:t>research, manufacturing and commercialization capabilities of the collaboration partner and the availability of the associated expertise in the general marketplace. In addition, the Company considers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The Company’s collaboration agreement does not contain a general right of return relative to any delivered items.</w:t>
      </w:r>
    </w:p>
    <w:p>
      <w:pPr>
        <w:spacing w:after="0" w:line="118" w:lineRule="exact"/>
        <w:rPr>
          <w:sz w:val="20"/>
          <w:szCs w:val="20"/>
          <w:color w:val="auto"/>
        </w:rPr>
      </w:pPr>
    </w:p>
    <w:p>
      <w:pPr>
        <w:ind w:right="39" w:firstLine="648"/>
        <w:spacing w:after="0" w:line="180" w:lineRule="exact"/>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Then the applicable revenue recognition criteria in ASC 605 are applied to each of the separate units of accounting in determining the appropriate period and pattern of recognition. The Company determines the selling price of a unit of accounting following the hierarchy of evidence prescribed by ASC 605</w:t>
      </w:r>
      <w:r>
        <w:rPr>
          <w:rFonts w:ascii="MS PGothic" w:cs="MS PGothic" w:eastAsia="MS PGothic" w:hAnsi="MS PGothic"/>
          <w:sz w:val="16"/>
          <w:szCs w:val="16"/>
          <w:color w:val="auto"/>
        </w:rPr>
        <w:t>‑</w:t>
      </w:r>
      <w:r>
        <w:rPr>
          <w:rFonts w:ascii="Arial" w:cs="Arial" w:eastAsia="Arial" w:hAnsi="Arial"/>
          <w:sz w:val="16"/>
          <w:szCs w:val="16"/>
          <w:color w:val="auto"/>
        </w:rPr>
        <w:t>25. Accordingly, the Company determines the estimated selling price for units of accounting within each arrangement using vendor specific objective evidence (“VSOE”) of selling price, if available, third party evidence (“TPE”) of selling price if VSOE is not available, or best estimate of selling price (“BESP”) if neither VSOE or TPE is available. The Company has only used BESP to estimate the selling price, since it has not had VSOE or TPE of selling price of any units of accounting to date. Determining BESP for a unit of accounting requires significant judgement. In developing the BESP for a unit of accounting, the Company considers applicable market conditions and relevant entity specific factors, including factors that were contemplated in negotiating the agreement with the customer and estimated costs. The Company validates BESP for units of accounting by evaluating whether changes in the key assumptions used to determine the BESP will have a significant effect on the allocation of arrangement consideration between multiple units of accounting.</w:t>
      </w:r>
    </w:p>
    <w:p>
      <w:pPr>
        <w:spacing w:after="0" w:line="58"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Options are considered substantive if, at the inception of the arrangement, the Company is at risk as to whether the collaboration partner will choose to exercise the option. Factors that the Company considers in evaluating whether an option is substantive include the cost to exercise the option, the overall objective of the arrangement, the benefit the collaborator might obtain from the arrangement without exercising the option and the likelihood the option will be exercised. When an option is considered substantive, the Company does not consider the option or item underlying the option to be a deliverable at the inception of the arrangement and the associated option fees are not included in allocable consideration, assuming the option is not priced at a significant and incremental discount. Conversely, when an option is not considered substantive, the Company would consider the option, including other deliverables contingent upon the exercise of the option, to be a deliverable at the inception of the arrangement and a corresponding amount would be included in allocable arrangement consideration. In addition, if the price of the option includes a significant incremental discount, the option would be included as a deliverable at the inception of the arrangement.</w:t>
      </w:r>
    </w:p>
    <w:p>
      <w:pPr>
        <w:spacing w:after="0" w:line="58" w:lineRule="exact"/>
        <w:rPr>
          <w:sz w:val="20"/>
          <w:szCs w:val="20"/>
          <w:color w:val="auto"/>
        </w:rPr>
      </w:pPr>
    </w:p>
    <w:p>
      <w:pPr>
        <w:ind w:right="59" w:firstLine="648"/>
        <w:spacing w:after="0" w:line="223" w:lineRule="auto"/>
        <w:rPr>
          <w:sz w:val="20"/>
          <w:szCs w:val="20"/>
          <w:color w:val="auto"/>
        </w:rPr>
      </w:pPr>
      <w:r>
        <w:rPr>
          <w:rFonts w:ascii="Arial" w:cs="Arial" w:eastAsia="Arial" w:hAnsi="Arial"/>
          <w:sz w:val="17"/>
          <w:szCs w:val="17"/>
          <w:color w:val="auto"/>
        </w:rPr>
        <w:t>The Company recognizes arrangement consideration allocated to each unit of accounting when all of the revenue recognition criteria in ASC 605 are satisfied for that particular unit of accounting. The Company will recognize revenue associated with license options upon exercise of the option, if the underlying license has standalone value from the other deliverables to be provided subsequent to delivery of the license. If the license does not have standalone value, the amounts allocated to the license option will be combined with the related undelivered items as a single unit of accounting. The amounts allocated to the license option in the Genzyme agreement will be deferred until the option is exercised. The revenue recognition upon option exercise will be determined based on whether the license has standalone value from the remaining deliverables under the arrangement at the time of exercise.</w:t>
      </w:r>
    </w:p>
    <w:p>
      <w:pPr>
        <w:spacing w:after="0" w:line="60" w:lineRule="exact"/>
        <w:rPr>
          <w:sz w:val="20"/>
          <w:szCs w:val="20"/>
          <w:color w:val="auto"/>
        </w:rPr>
      </w:pPr>
    </w:p>
    <w:p>
      <w:pPr>
        <w:ind w:right="79" w:firstLine="648"/>
        <w:spacing w:after="0" w:line="182" w:lineRule="exact"/>
        <w:rPr>
          <w:sz w:val="20"/>
          <w:szCs w:val="20"/>
          <w:color w:val="auto"/>
        </w:rPr>
      </w:pPr>
      <w:r>
        <w:rPr>
          <w:rFonts w:ascii="Arial" w:cs="Arial" w:eastAsia="Arial" w:hAnsi="Arial"/>
          <w:sz w:val="17"/>
          <w:szCs w:val="17"/>
          <w:color w:val="auto"/>
        </w:rPr>
        <w:t>The Company recognizes the amounts associated with research and development services, alliance joint steering committees and development advisory committees ratably over the associated period of performance. If there is no discernible pattern of performance and/or objectively measurable performance measures do not exist, then the Company recognizes revenue under the arrangement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period the Company is expected to complete its performance obligations. Conversely, if the pattern of performance in which the service is provided to the customer can be determined and objectively measureable performance exist, then the Company recognizes revenue under the arrangement using the proportional performance method. Revenue recognized is limited to the lesser of the cumulative amount of payments received of the cumulative revenue earned determined using the straight line method or proportional performance, as applicable, as of the period end date.</w:t>
      </w:r>
    </w:p>
    <w:p>
      <w:pPr>
        <w:spacing w:after="0" w:line="54" w:lineRule="exact"/>
        <w:rPr>
          <w:sz w:val="20"/>
          <w:szCs w:val="20"/>
          <w:color w:val="auto"/>
        </w:rPr>
      </w:pPr>
    </w:p>
    <w:p>
      <w:pPr>
        <w:ind w:right="379" w:firstLine="648"/>
        <w:spacing w:after="0" w:line="259" w:lineRule="auto"/>
        <w:rPr>
          <w:sz w:val="20"/>
          <w:szCs w:val="20"/>
          <w:color w:val="auto"/>
        </w:rPr>
      </w:pPr>
      <w:r>
        <w:rPr>
          <w:rFonts w:ascii="Arial" w:cs="Arial" w:eastAsia="Arial" w:hAnsi="Arial"/>
          <w:sz w:val="16"/>
          <w:szCs w:val="16"/>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(i) the consideration is commensurate with either the Company’s performance to</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178" w:lineRule="exact"/>
        <w:rPr>
          <w:sz w:val="20"/>
          <w:szCs w:val="20"/>
          <w:color w:val="auto"/>
        </w:rPr>
      </w:pPr>
      <w:r>
        <w:rPr>
          <w:rFonts w:ascii="Arial" w:cs="Arial" w:eastAsia="Arial" w:hAnsi="Arial"/>
          <w:sz w:val="16"/>
          <w:szCs w:val="16"/>
          <w:color w:val="auto"/>
        </w:rPr>
        <w:t>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The Company evaluates factors such as clinical, regulatory, commercial and other risks that must be overcome to achieve the respective milestone and the level of effort and investment required to achieve the respective milestone in making this assessment. There is considerable judgement involved in determining whether a milestone satisfies all of the criteria required to conclude that a milestone is substantive. In accordance with ASC Topic 605</w:t>
      </w:r>
      <w:r>
        <w:rPr>
          <w:rFonts w:ascii="MS PGothic" w:cs="MS PGothic" w:eastAsia="MS PGothic" w:hAnsi="MS PGothic"/>
          <w:sz w:val="16"/>
          <w:szCs w:val="16"/>
          <w:color w:val="auto"/>
        </w:rPr>
        <w:t>‑</w:t>
      </w:r>
      <w:r>
        <w:rPr>
          <w:rFonts w:ascii="Arial" w:cs="Arial" w:eastAsia="Arial" w:hAnsi="Arial"/>
          <w:sz w:val="16"/>
          <w:szCs w:val="16"/>
          <w:color w:val="auto"/>
        </w:rPr>
        <w:t xml:space="preserve">28, </w:t>
      </w:r>
      <w:r>
        <w:rPr>
          <w:rFonts w:ascii="Arial" w:cs="Arial" w:eastAsia="Arial" w:hAnsi="Arial"/>
          <w:sz w:val="16"/>
          <w:szCs w:val="16"/>
          <w:i w:val="1"/>
          <w:iCs w:val="1"/>
          <w:color w:val="auto"/>
        </w:rPr>
        <w:t>Revenue Recognition—Milestone Method</w:t>
      </w:r>
    </w:p>
    <w:p>
      <w:pPr>
        <w:ind w:right="60"/>
        <w:spacing w:after="0" w:line="182" w:lineRule="exact"/>
        <w:rPr>
          <w:sz w:val="20"/>
          <w:szCs w:val="20"/>
          <w:color w:val="auto"/>
        </w:rPr>
      </w:pPr>
      <w:r>
        <w:rPr>
          <w:rFonts w:ascii="Arial" w:cs="Arial" w:eastAsia="Arial" w:hAnsi="Arial"/>
          <w:sz w:val="18"/>
          <w:szCs w:val="18"/>
          <w:color w:val="auto"/>
        </w:rPr>
        <w:t>(“ASC 605</w:t>
      </w:r>
      <w:r>
        <w:rPr>
          <w:rFonts w:ascii="MS PGothic" w:cs="MS PGothic" w:eastAsia="MS PGothic" w:hAnsi="MS PGothic"/>
          <w:sz w:val="18"/>
          <w:szCs w:val="18"/>
          <w:color w:val="auto"/>
        </w:rPr>
        <w:t>‑</w:t>
      </w:r>
      <w:r>
        <w:rPr>
          <w:rFonts w:ascii="Arial" w:cs="Arial" w:eastAsia="Arial" w:hAnsi="Arial"/>
          <w:sz w:val="18"/>
          <w:szCs w:val="18"/>
          <w:color w:val="auto"/>
        </w:rPr>
        <w:t>28”) clinical and regulatory milestones that are considered substantive, will be recognized as revenue in its entirety upon successful accomplishment of the milestone, assuming all other revenue recognition criteria are met. Milestones that are not considered substantive would be recognized as revenue over the remaining period of performance, assuming all other revenue recognition criteria are met. Revenue from commercial milestone payments will be accounted for as royalties and recorded as revenue upon achievement of the milestone, assuming all other revenue recognition criteria are met.</w:t>
      </w:r>
    </w:p>
    <w:p>
      <w:pPr>
        <w:spacing w:after="0" w:line="54"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63"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The Company also considers the impact of potential future payments it makes in its role as a vendor to its customers or collaboration partners and evaluates if these potential future payments could be reductions of revenue from that customer. If the potential future payments to the customer are (i) a separately identifiable benefit and (ii) the fair value of the identifiable benefit can be reasonably estimated, then the payments are accounted for separately from the revenue received from the customer. If however, both of these criteria are not satisfied, then the payments are treated as a reduction of revenue.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240" w:firstLine="648"/>
        <w:spacing w:after="0" w:line="189" w:lineRule="exact"/>
        <w:rPr>
          <w:sz w:val="20"/>
          <w:szCs w:val="20"/>
          <w:color w:val="auto"/>
        </w:rPr>
      </w:pPr>
      <w:r>
        <w:rPr>
          <w:rFonts w:ascii="Arial" w:cs="Arial" w:eastAsia="Arial" w:hAnsi="Arial"/>
          <w:sz w:val="17"/>
          <w:szCs w:val="17"/>
          <w:color w:val="auto"/>
        </w:rPr>
        <w:t>Research and development costs are charged to expense as incurred in performing research and development activities. The costs include employee compensation costs, external research, consultant costs, sponsored research, in</w:t>
      </w:r>
      <w:r>
        <w:rPr>
          <w:rFonts w:ascii="MS PGothic" w:cs="MS PGothic" w:eastAsia="MS PGothic" w:hAnsi="MS PGothic"/>
          <w:sz w:val="17"/>
          <w:szCs w:val="17"/>
          <w:color w:val="auto"/>
        </w:rPr>
        <w:t>‑</w:t>
      </w:r>
      <w:r>
        <w:rPr>
          <w:rFonts w:ascii="Arial" w:cs="Arial" w:eastAsia="Arial" w:hAnsi="Arial"/>
          <w:sz w:val="17"/>
          <w:szCs w:val="17"/>
          <w:color w:val="auto"/>
        </w:rPr>
        <w:t>kind services provided under the Genzyme agreement, license fees, process development and facilities costs. Facilities costs primarily include the allocation of rent, utilities and depreciation.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85"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The Company has entered into various research and development contracts with research institutions and other companies. These agreements are generally cancelable.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Company’s estimates. The Company’s historical accrual estimates have not been materially different from the actual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8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Company expenses patent application and related legal costs as incurred and classifies such costs as general and administrative expenses in the accompanying statements of operations.</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85"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7"/>
          <w:szCs w:val="17"/>
          <w:color w:val="auto"/>
        </w:rPr>
        <w:t>The Company accounts for its stock</w:t>
      </w:r>
      <w:r>
        <w:rPr>
          <w:rFonts w:ascii="MS PGothic" w:cs="MS PGothic" w:eastAsia="MS PGothic" w:hAnsi="MS PGothic"/>
          <w:sz w:val="17"/>
          <w:szCs w:val="17"/>
          <w:color w:val="auto"/>
        </w:rPr>
        <w:t>‑</w:t>
      </w:r>
      <w:r>
        <w:rPr>
          <w:rFonts w:ascii="Arial" w:cs="Arial" w:eastAsia="Arial" w:hAnsi="Arial"/>
          <w:sz w:val="17"/>
          <w:szCs w:val="17"/>
          <w:color w:val="auto"/>
        </w:rPr>
        <w:t xml:space="preserve">based compensation awards in accordance with ASC Topic 718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—Stock Compensation </w:t>
      </w:r>
      <w:r>
        <w:rPr>
          <w:rFonts w:ascii="Arial" w:cs="Arial" w:eastAsia="Arial" w:hAnsi="Arial"/>
          <w:sz w:val="17"/>
          <w:szCs w:val="17"/>
          <w:color w:val="auto"/>
        </w:rPr>
        <w:t>(“ASC 718”). ASC 718 requires all stock</w:t>
      </w:r>
      <w:r>
        <w:rPr>
          <w:rFonts w:ascii="MS PGothic" w:cs="MS PGothic" w:eastAsia="MS PGothic" w:hAnsi="MS PGothic"/>
          <w:sz w:val="17"/>
          <w:szCs w:val="17"/>
          <w:color w:val="auto"/>
        </w:rPr>
        <w:t>‑</w:t>
      </w:r>
      <w:r>
        <w:rPr>
          <w:rFonts w:ascii="Arial" w:cs="Arial" w:eastAsia="Arial" w:hAnsi="Arial"/>
          <w:sz w:val="17"/>
          <w:szCs w:val="17"/>
          <w:color w:val="auto"/>
        </w:rPr>
        <w:t>based payments to employees and directors,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grants of restricted stock and stock options, to be recognized as expense in the statements of operations based on their grant date fair values. Grants of restricted stock and stock options to other service providers, referred to as non</w:t>
      </w:r>
      <w:r>
        <w:rPr>
          <w:rFonts w:ascii="MS PGothic" w:cs="MS PGothic" w:eastAsia="MS PGothic" w:hAnsi="MS PGothic"/>
          <w:sz w:val="17"/>
          <w:szCs w:val="17"/>
          <w:color w:val="auto"/>
        </w:rPr>
        <w:t>‑</w:t>
      </w:r>
      <w:r>
        <w:rPr>
          <w:rFonts w:ascii="Arial" w:cs="Arial" w:eastAsia="Arial" w:hAnsi="Arial"/>
          <w:sz w:val="17"/>
          <w:szCs w:val="17"/>
          <w:color w:val="auto"/>
        </w:rPr>
        <w:t>employees, are required to be recognized as expense in the statements of operations based on their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40"/>
        <w:spacing w:after="0" w:line="203" w:lineRule="exact"/>
        <w:rPr>
          <w:sz w:val="20"/>
          <w:szCs w:val="20"/>
          <w:color w:val="auto"/>
        </w:rPr>
      </w:pPr>
      <w:r>
        <w:rPr>
          <w:rFonts w:ascii="Arial" w:cs="Arial" w:eastAsia="Arial" w:hAnsi="Arial"/>
          <w:sz w:val="16"/>
          <w:szCs w:val="16"/>
          <w:color w:val="auto"/>
        </w:rPr>
        <w:t>vesting date fair values. The Company estimates the fair value of options granted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Company uses the value of its common stock to determine the fair value of restricted stock awards.</w:t>
      </w:r>
    </w:p>
    <w:p>
      <w:pPr>
        <w:spacing w:after="0" w:line="162" w:lineRule="exact"/>
        <w:rPr>
          <w:sz w:val="20"/>
          <w:szCs w:val="20"/>
          <w:color w:val="auto"/>
        </w:rPr>
      </w:pPr>
    </w:p>
    <w:p>
      <w:pPr>
        <w:ind w:right="160" w:firstLine="648"/>
        <w:spacing w:after="0" w:line="184" w:lineRule="exact"/>
        <w:rPr>
          <w:sz w:val="20"/>
          <w:szCs w:val="20"/>
          <w:color w:val="auto"/>
        </w:rPr>
      </w:pPr>
      <w:r>
        <w:rPr>
          <w:rFonts w:ascii="Arial" w:cs="Arial" w:eastAsia="Arial" w:hAnsi="Arial"/>
          <w:sz w:val="16"/>
          <w:szCs w:val="16"/>
          <w:color w:val="auto"/>
        </w:rPr>
        <w:t>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requires inputs based on certain subjective assumptions, including (a) the expected stock price volatility, (b) the calculation of expected term of the award, (c)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and</w:t>
      </w:r>
    </w:p>
    <w:p>
      <w:pPr>
        <w:spacing w:after="0" w:line="1" w:lineRule="exact"/>
        <w:rPr>
          <w:sz w:val="20"/>
          <w:szCs w:val="20"/>
          <w:color w:val="auto"/>
        </w:rPr>
      </w:pPr>
    </w:p>
    <w:p>
      <w:pPr>
        <w:ind w:firstLine="3"/>
        <w:spacing w:after="0" w:line="179" w:lineRule="exact"/>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expected dividends. Due to a lack of company</w:t>
      </w:r>
      <w:r>
        <w:rPr>
          <w:rFonts w:ascii="MS PGothic" w:cs="MS PGothic" w:eastAsia="MS PGothic" w:hAnsi="MS PGothic"/>
          <w:sz w:val="17"/>
          <w:szCs w:val="17"/>
          <w:color w:val="auto"/>
        </w:rPr>
        <w:t>‑</w:t>
      </w:r>
      <w:r>
        <w:rPr>
          <w:rFonts w:ascii="Arial" w:cs="Arial" w:eastAsia="Arial" w:hAnsi="Arial"/>
          <w:sz w:val="17"/>
          <w:szCs w:val="17"/>
          <w:color w:val="auto"/>
        </w:rPr>
        <w:t xml:space="preserve">specific historical and implied volatility data of the Company’s common stock, the Company has based its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uses the simplified method as prescribed by the SEC Staff Accounting Bulletin No. 107, </w:t>
      </w:r>
      <w:r>
        <w:rPr>
          <w:rFonts w:ascii="Arial" w:cs="Arial" w:eastAsia="Arial" w:hAnsi="Arial"/>
          <w:sz w:val="17"/>
          <w:szCs w:val="17"/>
          <w:i w:val="1"/>
          <w:iCs w:val="1"/>
          <w:color w:val="auto"/>
        </w:rPr>
        <w:t>Share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w:t>
      </w:r>
      <w:r>
        <w:rPr>
          <w:rFonts w:ascii="Arial" w:cs="Arial" w:eastAsia="Arial" w:hAnsi="Arial"/>
          <w:sz w:val="17"/>
          <w:szCs w:val="17"/>
          <w:color w:val="auto"/>
        </w:rPr>
        <w:t>, to calculate the expected term for stock options granted to employees as it does not have sufficient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data to provide a reasonable basis upon which to estimate the expected term. For stock options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the Company utilizes the contractual term of the arrangement as the basis for the expected term assumption.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66" w:lineRule="exact"/>
        <w:rPr>
          <w:sz w:val="20"/>
          <w:szCs w:val="20"/>
          <w:color w:val="auto"/>
        </w:rPr>
      </w:pPr>
    </w:p>
    <w:p>
      <w:pPr>
        <w:ind w:right="20" w:firstLine="648"/>
        <w:spacing w:after="0" w:line="189" w:lineRule="exact"/>
        <w:rPr>
          <w:sz w:val="20"/>
          <w:szCs w:val="20"/>
          <w:color w:val="auto"/>
        </w:rPr>
      </w:pPr>
      <w:r>
        <w:rPr>
          <w:rFonts w:ascii="Arial" w:cs="Arial" w:eastAsia="Arial" w:hAnsi="Arial"/>
          <w:sz w:val="17"/>
          <w:szCs w:val="17"/>
          <w:color w:val="auto"/>
        </w:rPr>
        <w:t>The Company expenses the fair value of its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awards to employees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associated service period, which is generally the period in which the related services are received.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awards to non</w:t>
      </w:r>
      <w:r>
        <w:rPr>
          <w:rFonts w:ascii="MS PGothic" w:cs="MS PGothic" w:eastAsia="MS PGothic" w:hAnsi="MS PGothic"/>
          <w:sz w:val="17"/>
          <w:szCs w:val="17"/>
          <w:color w:val="auto"/>
        </w:rPr>
        <w:t>‑</w:t>
      </w:r>
      <w:r>
        <w:rPr>
          <w:rFonts w:ascii="Arial" w:cs="Arial" w:eastAsia="Arial" w:hAnsi="Arial"/>
          <w:sz w:val="17"/>
          <w:szCs w:val="17"/>
          <w:color w:val="auto"/>
        </w:rPr>
        <w:t>employees are adjusted through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at each reporting period end to reflect the current fair value of such awards and are expensed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w:t>
      </w:r>
    </w:p>
    <w:p>
      <w:pPr>
        <w:spacing w:after="0" w:line="163" w:lineRule="exact"/>
        <w:rPr>
          <w:sz w:val="20"/>
          <w:szCs w:val="20"/>
          <w:color w:val="auto"/>
        </w:rPr>
      </w:pPr>
    </w:p>
    <w:p>
      <w:pPr>
        <w:ind w:right="240" w:firstLine="648"/>
        <w:spacing w:after="0" w:line="189" w:lineRule="exact"/>
        <w:rPr>
          <w:sz w:val="20"/>
          <w:szCs w:val="20"/>
          <w:color w:val="auto"/>
        </w:rPr>
      </w:pPr>
      <w:r>
        <w:rPr>
          <w:rFonts w:ascii="Arial" w:cs="Arial" w:eastAsia="Arial" w:hAnsi="Arial"/>
          <w:sz w:val="17"/>
          <w:szCs w:val="17"/>
          <w:color w:val="auto"/>
        </w:rPr>
        <w:t>The Company records the expense for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awards subject to performance</w:t>
      </w:r>
      <w:r>
        <w:rPr>
          <w:rFonts w:ascii="MS PGothic" w:cs="MS PGothic" w:eastAsia="MS PGothic" w:hAnsi="MS PGothic"/>
          <w:sz w:val="17"/>
          <w:szCs w:val="17"/>
          <w:color w:val="auto"/>
        </w:rPr>
        <w:t>‑</w:t>
      </w:r>
      <w:r>
        <w:rPr>
          <w:rFonts w:ascii="Arial" w:cs="Arial" w:eastAsia="Arial" w:hAnsi="Arial"/>
          <w:sz w:val="17"/>
          <w:szCs w:val="17"/>
          <w:color w:val="auto"/>
        </w:rPr>
        <w:t>based milestone vesting over the remaining service period when management determines that achievement of the milestone is probable. Management evaluates when the achievement of a performance</w:t>
      </w:r>
      <w:r>
        <w:rPr>
          <w:rFonts w:ascii="MS PGothic" w:cs="MS PGothic" w:eastAsia="MS PGothic" w:hAnsi="MS PGothic"/>
          <w:sz w:val="17"/>
          <w:szCs w:val="17"/>
          <w:color w:val="auto"/>
        </w:rPr>
        <w:t>‑</w:t>
      </w:r>
      <w:r>
        <w:rPr>
          <w:rFonts w:ascii="Arial" w:cs="Arial" w:eastAsia="Arial" w:hAnsi="Arial"/>
          <w:sz w:val="17"/>
          <w:szCs w:val="17"/>
          <w:color w:val="auto"/>
        </w:rPr>
        <w:t>based milestone is probable based on the expected satisfaction of the performance conditions as of the reporting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spacing w:after="0" w:line="16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2014, the Company does not have any significant uncertain tax positions.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Comprehensive loss is comprised of net loss and other comprehensive loss. Other comprehensive loss consists of unrealized gains and losses on marketable securities for the nine months ended September 30, 2015. There was no other comprehensive loss for the nine months ended September 30, 2014.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5"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Basic net loss per share of common stock is calculated by dividing the net loss attributable to common stockholders by the weighted</w:t>
      </w:r>
      <w:r>
        <w:rPr>
          <w:rFonts w:ascii="MS PGothic" w:cs="MS PGothic" w:eastAsia="MS PGothic" w:hAnsi="MS PGothic"/>
          <w:sz w:val="18"/>
          <w:szCs w:val="18"/>
          <w:color w:val="auto"/>
        </w:rPr>
        <w:t>‑</w:t>
      </w:r>
      <w:r>
        <w:rPr>
          <w:rFonts w:ascii="Arial" w:cs="Arial" w:eastAsia="Arial" w:hAnsi="Arial"/>
          <w:sz w:val="18"/>
          <w:szCs w:val="18"/>
          <w:color w:val="auto"/>
        </w:rPr>
        <w:t>average number of shares of common stock outstanding during the period, without consideration for potentially dilutive securities. Diluted net loss per share is computed by dividing the net loss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20"/>
        <w:spacing w:after="0" w:line="203" w:lineRule="exact"/>
        <w:rPr>
          <w:sz w:val="20"/>
          <w:szCs w:val="20"/>
          <w:color w:val="auto"/>
        </w:rPr>
      </w:pPr>
      <w:r>
        <w:rPr>
          <w:rFonts w:ascii="Arial" w:cs="Arial" w:eastAsia="Arial" w:hAnsi="Arial"/>
          <w:sz w:val="17"/>
          <w:szCs w:val="17"/>
          <w:color w:val="auto"/>
        </w:rPr>
        <w:t>attributable to common stockholders by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shares of common stock and potentially dilutive securities outstanding for the period determined using the treasury</w:t>
      </w:r>
      <w:r>
        <w:rPr>
          <w:rFonts w:ascii="MS PGothic" w:cs="MS PGothic" w:eastAsia="MS PGothic" w:hAnsi="MS PGothic"/>
          <w:sz w:val="17"/>
          <w:szCs w:val="17"/>
          <w:color w:val="auto"/>
        </w:rPr>
        <w:t>‑</w:t>
      </w:r>
      <w:r>
        <w:rPr>
          <w:rFonts w:ascii="Arial" w:cs="Arial" w:eastAsia="Arial" w:hAnsi="Arial"/>
          <w:sz w:val="17"/>
          <w:szCs w:val="17"/>
          <w:color w:val="auto"/>
        </w:rPr>
        <w:t>stock and if</w:t>
      </w:r>
      <w:r>
        <w:rPr>
          <w:rFonts w:ascii="MS PGothic" w:cs="MS PGothic" w:eastAsia="MS PGothic" w:hAnsi="MS PGothic"/>
          <w:sz w:val="17"/>
          <w:szCs w:val="17"/>
          <w:color w:val="auto"/>
        </w:rPr>
        <w:t>‑</w:t>
      </w:r>
      <w:r>
        <w:rPr>
          <w:rFonts w:ascii="Arial" w:cs="Arial" w:eastAsia="Arial" w:hAnsi="Arial"/>
          <w:sz w:val="17"/>
          <w:szCs w:val="17"/>
          <w:color w:val="auto"/>
        </w:rPr>
        <w:t>converted methods.</w:t>
      </w:r>
    </w:p>
    <w:p>
      <w:pPr>
        <w:spacing w:after="0" w:line="162"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For purposes of the diluted net loss per share calculation, redeemable convertible preferred stock and unvested restricted common stock are considered to be potentially dilutive securities, but are excluded from the calculation of diluted net loss per share because their effect would be anti</w:t>
      </w:r>
      <w:r>
        <w:rPr>
          <w:rFonts w:ascii="MS PGothic" w:cs="MS PGothic" w:eastAsia="MS PGothic" w:hAnsi="MS PGothic"/>
          <w:sz w:val="18"/>
          <w:szCs w:val="18"/>
          <w:color w:val="auto"/>
        </w:rPr>
        <w:t>‑</w:t>
      </w:r>
      <w:r>
        <w:rPr>
          <w:rFonts w:ascii="Arial" w:cs="Arial" w:eastAsia="Arial" w:hAnsi="Arial"/>
          <w:sz w:val="18"/>
          <w:szCs w:val="18"/>
          <w:color w:val="auto"/>
        </w:rPr>
        <w:t>dilutive and therefore, basic and diluted net loss per share were the same for all periods presented.</w:t>
      </w:r>
    </w:p>
    <w:p>
      <w:pPr>
        <w:spacing w:after="0" w:line="163" w:lineRule="exact"/>
        <w:rPr>
          <w:sz w:val="20"/>
          <w:szCs w:val="20"/>
          <w:color w:val="auto"/>
        </w:rPr>
      </w:pPr>
    </w:p>
    <w:p>
      <w:pPr>
        <w:ind w:right="620" w:firstLine="648"/>
        <w:spacing w:after="0" w:line="203" w:lineRule="exact"/>
        <w:rPr>
          <w:sz w:val="20"/>
          <w:szCs w:val="20"/>
          <w:color w:val="auto"/>
        </w:rPr>
      </w:pPr>
      <w:r>
        <w:rPr>
          <w:rFonts w:ascii="Arial" w:cs="Arial" w:eastAsia="Arial" w:hAnsi="Arial"/>
          <w:sz w:val="16"/>
          <w:szCs w:val="16"/>
          <w:color w:val="auto"/>
        </w:rPr>
        <w:t>The following table sets forth the outstanding potentially dilutive securities that have been excluded in the calculation of diluted net loss per share because to do so would be anti</w:t>
      </w:r>
      <w:r>
        <w:rPr>
          <w:rFonts w:ascii="MS PGothic" w:cs="MS PGothic" w:eastAsia="MS PGothic" w:hAnsi="MS PGothic"/>
          <w:sz w:val="16"/>
          <w:szCs w:val="16"/>
          <w:color w:val="auto"/>
        </w:rPr>
        <w:t>‑</w:t>
      </w:r>
      <w:r>
        <w:rPr>
          <w:rFonts w:ascii="Arial" w:cs="Arial" w:eastAsia="Arial" w:hAnsi="Arial"/>
          <w:sz w:val="16"/>
          <w:szCs w:val="16"/>
          <w:color w:val="auto"/>
        </w:rPr>
        <w:t>dilutive (in common stock equivalent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380" w:type="dxa"/>
            <w:vAlign w:val="bottom"/>
            <w:gridSpan w:val="4"/>
          </w:tcPr>
          <w:p>
            <w:pPr>
              <w:ind w:left="500"/>
              <w:spacing w:after="0"/>
              <w:rPr>
                <w:sz w:val="20"/>
                <w:szCs w:val="20"/>
                <w:color w:val="auto"/>
              </w:rPr>
            </w:pPr>
            <w:r>
              <w:rPr>
                <w:rFonts w:ascii="Arial" w:cs="Arial" w:eastAsia="Arial" w:hAnsi="Arial"/>
                <w:sz w:val="14"/>
                <w:szCs w:val="14"/>
                <w:b w:val="1"/>
                <w:bCs w:val="1"/>
                <w:color w:val="auto"/>
              </w:rPr>
              <w:t>As of September 30,</w:t>
            </w:r>
          </w:p>
        </w:tc>
      </w:tr>
      <w:tr>
        <w:trPr>
          <w:trHeight w:val="169"/>
        </w:trPr>
        <w:tc>
          <w:tcPr>
            <w:tcW w:w="66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69"/>
        </w:trPr>
        <w:tc>
          <w:tcPr>
            <w:tcW w:w="6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10,588,235</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5,882,352</w:t>
            </w:r>
          </w:p>
        </w:tc>
        <w:tc>
          <w:tcPr>
            <w:tcW w:w="12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7,058,819</w:t>
            </w: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2,013,140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2,505,256</w:t>
            </w:r>
          </w:p>
        </w:tc>
        <w:tc>
          <w:tcPr>
            <w:tcW w:w="12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852,249</w:t>
            </w: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7"/>
        </w:trPr>
        <w:tc>
          <w:tcPr>
            <w:tcW w:w="6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20,512,443</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8,387,608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364"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Company’s redeemable convertible preferred stock is entitled to receive dividends based on dividends declared to common stockholders, thereby giving the preferred stockholders the right to participate in undistributed earnings of the Company above the stated dividend rate. However, preferred stockholders do not have a contractual obligation to share in the losses of the Company. As of December 31, 2014 and all prior periods reported, the Company has been in a net loss position; therefore, the Company’s accounting for basic and diluted earnings per share was unaffected by the participation rights of the preferred stockholders. All of the Company’s outstanding convertible preferred stock automatically converted into shares of common stock as of November 16, 2015, resulting in the issuance by the Company of an additional 17,647,054 shares of common stock.</w:t>
      </w:r>
    </w:p>
    <w:p>
      <w:pPr>
        <w:spacing w:after="0" w:line="168"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color w:val="auto"/>
        </w:rPr>
        <w:t>The following table summarizes the Company’s unaudited pro forma net loss per share attributable to common stockholders (in thousands, except share and per share data):</w:t>
      </w:r>
    </w:p>
    <w:p>
      <w:pPr>
        <w:sectPr>
          <w:pgSz w:w="11900" w:h="16838" w:orient="portrait"/>
          <w:cols w:equalWidth="0" w:num="1">
            <w:col w:w="9060"/>
          </w:cols>
          <w:pgMar w:left="1420" w:top="112"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575437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ind w:left="140" w:hanging="129"/>
        <w:spacing w:after="0" w:line="203" w:lineRule="auto"/>
        <w:rPr>
          <w:sz w:val="20"/>
          <w:szCs w:val="20"/>
          <w:color w:val="auto"/>
        </w:rPr>
      </w:pPr>
      <w:r>
        <w:rPr>
          <w:rFonts w:ascii="Arial" w:cs="Arial" w:eastAsia="Arial" w:hAnsi="Arial"/>
          <w:sz w:val="18"/>
          <w:szCs w:val="18"/>
          <w:color w:val="auto"/>
        </w:rPr>
        <w:t>Weighted average number of common shares outstanding, basic and diluted</w:t>
      </w:r>
    </w:p>
    <w:p>
      <w:pPr>
        <w:spacing w:after="0" w:line="204" w:lineRule="auto"/>
        <w:rPr>
          <w:sz w:val="20"/>
          <w:szCs w:val="20"/>
          <w:color w:val="auto"/>
        </w:rPr>
      </w:pPr>
      <w:r>
        <w:rPr>
          <w:rFonts w:ascii="Arial" w:cs="Arial" w:eastAsia="Arial" w:hAnsi="Arial"/>
          <w:sz w:val="18"/>
          <w:szCs w:val="18"/>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5754370" cy="111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11760"/>
                    </a:xfrm>
                    <a:prstGeom prst="rect">
                      <a:avLst/>
                    </a:prstGeom>
                    <a:noFill/>
                  </pic:spPr>
                </pic:pic>
              </a:graphicData>
            </a:graphic>
          </wp:anchor>
        </w:drawing>
      </w:r>
    </w:p>
    <w:p>
      <w:pPr>
        <w:jc w:val="both"/>
        <w:ind w:left="340" w:right="420" w:hanging="129"/>
        <w:spacing w:after="0" w:line="218" w:lineRule="auto"/>
        <w:rPr>
          <w:sz w:val="20"/>
          <w:szCs w:val="20"/>
          <w:color w:val="auto"/>
        </w:rPr>
      </w:pPr>
      <w:r>
        <w:rPr>
          <w:rFonts w:ascii="Arial" w:cs="Arial" w:eastAsia="Arial" w:hAnsi="Arial"/>
          <w:sz w:val="18"/>
          <w:szCs w:val="18"/>
          <w:color w:val="auto"/>
        </w:rPr>
        <w:t>Dilutive effect of common share equivalents resulting from common share options and preferred common shares (as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575437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63195"/>
                    </a:xfrm>
                    <a:prstGeom prst="rect">
                      <a:avLst/>
                    </a:prstGeom>
                    <a:noFill/>
                  </pic:spPr>
                </pic:pic>
              </a:graphicData>
            </a:graphic>
          </wp:anchor>
        </w:drawing>
      </w:r>
    </w:p>
    <w:p>
      <w:pPr>
        <w:spacing w:after="0" w:line="170" w:lineRule="exact"/>
        <w:rPr>
          <w:sz w:val="20"/>
          <w:szCs w:val="20"/>
          <w:color w:val="auto"/>
        </w:rPr>
      </w:pPr>
    </w:p>
    <w:p>
      <w:pPr>
        <w:ind w:left="340" w:right="360" w:hanging="129"/>
        <w:spacing w:after="0" w:line="235" w:lineRule="auto"/>
        <w:rPr>
          <w:sz w:val="20"/>
          <w:szCs w:val="20"/>
          <w:color w:val="auto"/>
        </w:rPr>
      </w:pPr>
      <w:r>
        <w:rPr>
          <w:rFonts w:ascii="Arial" w:cs="Arial" w:eastAsia="Arial" w:hAnsi="Arial"/>
          <w:sz w:val="18"/>
          <w:szCs w:val="18"/>
          <w:color w:val="auto"/>
        </w:rPr>
        <w:t>Pro forma basic and diluted net loss per share attributable to common stockholders</w:t>
      </w:r>
    </w:p>
    <w:p>
      <w:pPr>
        <w:spacing w:after="0" w:line="175"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Concentrations of Credit Risk and Off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Balance Sheet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80" w:type="dxa"/>
            <w:vAlign w:val="bottom"/>
          </w:tcPr>
          <w:p>
            <w:pPr>
              <w:spacing w:after="0"/>
              <w:rPr>
                <w:sz w:val="15"/>
                <w:szCs w:val="15"/>
                <w:color w:val="auto"/>
              </w:rPr>
            </w:pPr>
          </w:p>
        </w:tc>
        <w:tc>
          <w:tcPr>
            <w:tcW w:w="17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180" w:type="dxa"/>
            <w:vAlign w:val="bottom"/>
          </w:tcPr>
          <w:p>
            <w:pPr>
              <w:spacing w:after="0"/>
              <w:rPr>
                <w:sz w:val="14"/>
                <w:szCs w:val="14"/>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r>
      <w:tr>
        <w:trPr>
          <w:trHeight w:val="385"/>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(6,914) $</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(4,411)</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120"/>
              <w:spacing w:after="0"/>
              <w:rPr>
                <w:sz w:val="20"/>
                <w:szCs w:val="20"/>
                <w:color w:val="auto"/>
              </w:rPr>
            </w:pPr>
            <w:r>
              <w:rPr>
                <w:rFonts w:ascii="Arial" w:cs="Arial" w:eastAsia="Arial" w:hAnsi="Arial"/>
                <w:sz w:val="18"/>
                <w:szCs w:val="18"/>
                <w:color w:val="auto"/>
                <w:w w:val="89"/>
              </w:rPr>
              <w:t>(29,473)</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  (12,486)</w:t>
            </w:r>
          </w:p>
        </w:tc>
      </w:tr>
      <w:tr>
        <w:trPr>
          <w:trHeight w:val="27"/>
        </w:trPr>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107" w:lineRule="exact"/>
        <w:rPr>
          <w:sz w:val="20"/>
          <w:szCs w:val="20"/>
          <w:color w:val="auto"/>
        </w:rPr>
      </w:pPr>
    </w:p>
    <w:p>
      <w:pPr>
        <w:ind w:left="180"/>
        <w:spacing w:after="0"/>
        <w:tabs>
          <w:tab w:leader="none" w:pos="1180" w:val="left"/>
          <w:tab w:leader="none" w:pos="2060" w:val="left"/>
          <w:tab w:leader="none" w:pos="3200" w:val="left"/>
        </w:tabs>
        <w:rPr>
          <w:sz w:val="20"/>
          <w:szCs w:val="20"/>
          <w:color w:val="auto"/>
        </w:rPr>
      </w:pPr>
      <w:r>
        <w:rPr>
          <w:rFonts w:ascii="Arial" w:cs="Arial" w:eastAsia="Arial" w:hAnsi="Arial"/>
          <w:sz w:val="18"/>
          <w:szCs w:val="18"/>
          <w:color w:val="auto"/>
        </w:rPr>
        <w:t>1,317,150</w:t>
      </w:r>
      <w:r>
        <w:rPr>
          <w:sz w:val="20"/>
          <w:szCs w:val="20"/>
          <w:color w:val="auto"/>
        </w:rPr>
        <w:tab/>
      </w:r>
      <w:r>
        <w:rPr>
          <w:rFonts w:ascii="Arial" w:cs="Arial" w:eastAsia="Arial" w:hAnsi="Arial"/>
          <w:sz w:val="18"/>
          <w:szCs w:val="18"/>
          <w:color w:val="auto"/>
        </w:rPr>
        <w:t>684,192</w:t>
      </w:r>
      <w:r>
        <w:rPr>
          <w:sz w:val="20"/>
          <w:szCs w:val="20"/>
          <w:color w:val="auto"/>
        </w:rPr>
        <w:tab/>
      </w:r>
      <w:r>
        <w:rPr>
          <w:rFonts w:ascii="Arial" w:cs="Arial" w:eastAsia="Arial" w:hAnsi="Arial"/>
          <w:sz w:val="18"/>
          <w:szCs w:val="18"/>
          <w:color w:val="auto"/>
        </w:rPr>
        <w:t>1,161,982</w:t>
      </w:r>
      <w:r>
        <w:rPr>
          <w:sz w:val="20"/>
          <w:szCs w:val="20"/>
          <w:color w:val="auto"/>
        </w:rPr>
        <w:tab/>
      </w:r>
      <w:r>
        <w:rPr>
          <w:rFonts w:ascii="Arial" w:cs="Arial" w:eastAsia="Arial" w:hAnsi="Arial"/>
          <w:sz w:val="16"/>
          <w:szCs w:val="16"/>
          <w:color w:val="auto"/>
        </w:rPr>
        <w:t>583,294</w:t>
      </w:r>
    </w:p>
    <w:p>
      <w:pPr>
        <w:spacing w:after="0" w:line="200" w:lineRule="exact"/>
        <w:rPr>
          <w:sz w:val="20"/>
          <w:szCs w:val="20"/>
          <w:color w:val="auto"/>
        </w:rPr>
      </w:pPr>
    </w:p>
    <w:p>
      <w:pPr>
        <w:spacing w:after="0" w:line="322" w:lineRule="exact"/>
        <w:rPr>
          <w:sz w:val="20"/>
          <w:szCs w:val="20"/>
          <w:color w:val="auto"/>
        </w:rPr>
      </w:pPr>
    </w:p>
    <w:p>
      <w:pPr>
        <w:ind w:left="720"/>
        <w:spacing w:after="0"/>
        <w:tabs>
          <w:tab w:leader="none" w:pos="1580" w:val="left"/>
          <w:tab w:leader="none" w:pos="2600" w:val="left"/>
          <w:tab w:leader="none" w:pos="3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2" w:lineRule="exact"/>
        <w:rPr>
          <w:sz w:val="20"/>
          <w:szCs w:val="20"/>
          <w:color w:val="auto"/>
        </w:rPr>
      </w:pPr>
    </w:p>
    <w:p>
      <w:pPr>
        <w:ind w:left="180"/>
        <w:spacing w:after="0"/>
        <w:tabs>
          <w:tab w:leader="none" w:pos="1180" w:val="left"/>
          <w:tab w:leader="none" w:pos="2060" w:val="left"/>
          <w:tab w:leader="none" w:pos="3200" w:val="left"/>
        </w:tabs>
        <w:rPr>
          <w:sz w:val="20"/>
          <w:szCs w:val="20"/>
          <w:color w:val="auto"/>
        </w:rPr>
      </w:pPr>
      <w:r>
        <w:rPr>
          <w:rFonts w:ascii="Arial" w:cs="Arial" w:eastAsia="Arial" w:hAnsi="Arial"/>
          <w:sz w:val="18"/>
          <w:szCs w:val="18"/>
          <w:color w:val="auto"/>
        </w:rPr>
        <w:t>1,317,150</w:t>
      </w:r>
      <w:r>
        <w:rPr>
          <w:sz w:val="20"/>
          <w:szCs w:val="20"/>
          <w:color w:val="auto"/>
        </w:rPr>
        <w:tab/>
      </w:r>
      <w:r>
        <w:rPr>
          <w:rFonts w:ascii="Arial" w:cs="Arial" w:eastAsia="Arial" w:hAnsi="Arial"/>
          <w:sz w:val="18"/>
          <w:szCs w:val="18"/>
          <w:color w:val="auto"/>
        </w:rPr>
        <w:t>684,192</w:t>
      </w:r>
      <w:r>
        <w:rPr>
          <w:sz w:val="20"/>
          <w:szCs w:val="20"/>
          <w:color w:val="auto"/>
        </w:rPr>
        <w:tab/>
      </w:r>
      <w:r>
        <w:rPr>
          <w:rFonts w:ascii="Arial" w:cs="Arial" w:eastAsia="Arial" w:hAnsi="Arial"/>
          <w:sz w:val="18"/>
          <w:szCs w:val="18"/>
          <w:color w:val="auto"/>
        </w:rPr>
        <w:t>1,161,982</w:t>
      </w:r>
      <w:r>
        <w:rPr>
          <w:sz w:val="20"/>
          <w:szCs w:val="20"/>
          <w:color w:val="auto"/>
        </w:rPr>
        <w:tab/>
      </w:r>
      <w:r>
        <w:rPr>
          <w:rFonts w:ascii="Arial" w:cs="Arial" w:eastAsia="Arial" w:hAnsi="Arial"/>
          <w:sz w:val="16"/>
          <w:szCs w:val="16"/>
          <w:color w:val="auto"/>
        </w:rPr>
        <w:t>583,294</w:t>
      </w:r>
    </w:p>
    <w:p>
      <w:pPr>
        <w:spacing w:after="0" w:line="128" w:lineRule="exact"/>
        <w:rPr>
          <w:sz w:val="20"/>
          <w:szCs w:val="20"/>
          <w:color w:val="auto"/>
        </w:rPr>
      </w:pPr>
    </w:p>
    <w:p>
      <w:pPr>
        <w:spacing w:after="0"/>
        <w:tabs>
          <w:tab w:leader="none" w:pos="520" w:val="left"/>
          <w:tab w:leader="none" w:pos="1400" w:val="left"/>
          <w:tab w:leader="none" w:pos="2320" w:val="left"/>
          <w:tab w:leader="none" w:pos="3020" w:val="left"/>
          <w:tab w:leader="none" w:pos="3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(5.25) </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 xml:space="preserve">(6.45)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(25.36)</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7"/>
          <w:szCs w:val="17"/>
          <w:u w:val="single" w:color="auto"/>
          <w:color w:val="auto"/>
        </w:rPr>
        <w:t>(21.41)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14605</wp:posOffset>
            </wp:positionV>
            <wp:extent cx="6089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9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089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965" cy="17145"/>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4900" w:space="240"/>
            <w:col w:w="3920"/>
          </w:cols>
          <w:pgMar w:left="1420" w:top="112" w:right="1419" w:bottom="1440" w:gutter="0" w:footer="0" w:header="0"/>
          <w:type w:val="continuous"/>
        </w:sectPr>
      </w:pPr>
    </w:p>
    <w:p>
      <w:pPr>
        <w:ind w:right="260" w:firstLine="648"/>
        <w:spacing w:after="0" w:line="203" w:lineRule="exact"/>
        <w:rPr>
          <w:sz w:val="20"/>
          <w:szCs w:val="20"/>
          <w:color w:val="auto"/>
        </w:rPr>
      </w:pPr>
      <w:r>
        <w:rPr>
          <w:rFonts w:ascii="Arial" w:cs="Arial" w:eastAsia="Arial" w:hAnsi="Arial"/>
          <w:sz w:val="16"/>
          <w:szCs w:val="16"/>
          <w:color w:val="auto"/>
        </w:rPr>
        <w:t>The Company has no financial instruments with off</w:t>
      </w:r>
      <w:r>
        <w:rPr>
          <w:rFonts w:ascii="MS PGothic" w:cs="MS PGothic" w:eastAsia="MS PGothic" w:hAnsi="MS PGothic"/>
          <w:sz w:val="16"/>
          <w:szCs w:val="16"/>
          <w:color w:val="auto"/>
        </w:rPr>
        <w:t>‑</w:t>
      </w:r>
      <w:r>
        <w:rPr>
          <w:rFonts w:ascii="Arial" w:cs="Arial" w:eastAsia="Arial" w:hAnsi="Arial"/>
          <w:sz w:val="16"/>
          <w:szCs w:val="16"/>
          <w:color w:val="auto"/>
        </w:rPr>
        <w:t>balance sheet risk such as foreign exchange contracts, option contracts or other foreign hedging arrangements. Financial instruments that potentially subject the Company to 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160"/>
        <w:spacing w:after="0" w:line="224" w:lineRule="auto"/>
        <w:rPr>
          <w:sz w:val="20"/>
          <w:szCs w:val="20"/>
          <w:color w:val="auto"/>
        </w:rPr>
      </w:pPr>
      <w:r>
        <w:rPr>
          <w:rFonts w:ascii="Arial" w:cs="Arial" w:eastAsia="Arial" w:hAnsi="Arial"/>
          <w:sz w:val="18"/>
          <w:szCs w:val="18"/>
          <w:color w:val="auto"/>
        </w:rPr>
        <w:t>concentration of credit risk are cash and cash equivalents. The Company’s cash is held in accounts at a financial institution that may exceed federally insured limits. The Company has not experienced any credit losses in such accounts and does not believe it is exposed to any significant credit risk on these funds.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Suppliers</w:t>
      </w:r>
    </w:p>
    <w:p>
      <w:pPr>
        <w:spacing w:after="0" w:line="185" w:lineRule="exact"/>
        <w:rPr>
          <w:sz w:val="20"/>
          <w:szCs w:val="20"/>
          <w:color w:val="auto"/>
        </w:rPr>
      </w:pPr>
    </w:p>
    <w:p>
      <w:pPr>
        <w:ind w:right="40" w:firstLine="648"/>
        <w:spacing w:after="0" w:line="194" w:lineRule="exact"/>
        <w:rPr>
          <w:sz w:val="20"/>
          <w:szCs w:val="20"/>
          <w:color w:val="auto"/>
        </w:rPr>
      </w:pPr>
      <w:r>
        <w:rPr>
          <w:rFonts w:ascii="Arial" w:cs="Arial" w:eastAsia="Arial" w:hAnsi="Arial"/>
          <w:sz w:val="18"/>
          <w:szCs w:val="18"/>
          <w:color w:val="auto"/>
        </w:rPr>
        <w:t>The Company is dependent on a third</w:t>
      </w:r>
      <w:r>
        <w:rPr>
          <w:rFonts w:ascii="MS PGothic" w:cs="MS PGothic" w:eastAsia="MS PGothic" w:hAnsi="MS PGothic"/>
          <w:sz w:val="18"/>
          <w:szCs w:val="18"/>
          <w:color w:val="auto"/>
        </w:rPr>
        <w:t>‑</w:t>
      </w:r>
      <w:r>
        <w:rPr>
          <w:rFonts w:ascii="Arial" w:cs="Arial" w:eastAsia="Arial" w:hAnsi="Arial"/>
          <w:sz w:val="18"/>
          <w:szCs w:val="18"/>
          <w:color w:val="auto"/>
        </w:rPr>
        <w:t>party manufacturer to supply certain products for research and development activities in its programs. In particular, the Company relies and expects to continue to rely on a sole manufacturer to supply it with specific vectors related to the Company’s research and development programs.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views the Company’s operations and manages its business as a single operating segment, which is the business of developing and commercializing gene therapies.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In May 2014, the FASB issued ASU No. 2014</w:t>
      </w:r>
      <w:r>
        <w:rPr>
          <w:rFonts w:ascii="MS PGothic" w:cs="MS PGothic" w:eastAsia="MS PGothic" w:hAnsi="MS PGothic"/>
          <w:sz w:val="18"/>
          <w:szCs w:val="18"/>
          <w:color w:val="auto"/>
        </w:rPr>
        <w:t>‑</w:t>
      </w:r>
      <w:r>
        <w:rPr>
          <w:rFonts w:ascii="Arial" w:cs="Arial" w:eastAsia="Arial" w:hAnsi="Arial"/>
          <w:sz w:val="18"/>
          <w:szCs w:val="18"/>
          <w:color w:val="auto"/>
        </w:rPr>
        <w:t xml:space="preserve">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ASU 2014</w:t>
      </w:r>
      <w:r>
        <w:rPr>
          <w:rFonts w:ascii="MS PGothic" w:cs="MS PGothic" w:eastAsia="MS PGothic" w:hAnsi="MS PGothic"/>
          <w:sz w:val="18"/>
          <w:szCs w:val="18"/>
          <w:color w:val="auto"/>
        </w:rPr>
        <w:t>‑</w:t>
      </w:r>
      <w:r>
        <w:rPr>
          <w:rFonts w:ascii="Arial" w:cs="Arial" w:eastAsia="Arial" w:hAnsi="Arial"/>
          <w:sz w:val="18"/>
          <w:szCs w:val="18"/>
          <w:color w:val="auto"/>
        </w:rPr>
        <w:t xml:space="preserve">09 amends Accounting Standards Codification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by outlining a single comprehensive model for entities to use in accounting for revenue arising from contracts with customers. ASU 2014</w:t>
      </w:r>
      <w:r>
        <w:rPr>
          <w:rFonts w:ascii="MS PGothic" w:cs="MS PGothic" w:eastAsia="MS PGothic" w:hAnsi="MS PGothic"/>
          <w:sz w:val="18"/>
          <w:szCs w:val="18"/>
          <w:color w:val="auto"/>
        </w:rPr>
        <w:t>‑</w:t>
      </w:r>
      <w:r>
        <w:rPr>
          <w:rFonts w:ascii="Arial" w:cs="Arial" w:eastAsia="Arial" w:hAnsi="Arial"/>
          <w:sz w:val="18"/>
          <w:szCs w:val="18"/>
          <w:color w:val="auto"/>
        </w:rPr>
        <w:t>09 will be effective for the Company for interim and annual periods beginning after December 15, 2017. The Company is evaluating the impact that this ASU may have on its financial statements, if any.</w:t>
      </w:r>
    </w:p>
    <w:p>
      <w:pPr>
        <w:spacing w:after="0" w:line="162"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In August 2014, the FASB issued ASU No. 2014</w:t>
      </w:r>
      <w:r>
        <w:rPr>
          <w:rFonts w:ascii="MS PGothic" w:cs="MS PGothic" w:eastAsia="MS PGothic" w:hAnsi="MS PGothic"/>
          <w:sz w:val="16"/>
          <w:szCs w:val="16"/>
          <w:color w:val="auto"/>
        </w:rPr>
        <w:t>‑</w:t>
      </w:r>
      <w:r>
        <w:rPr>
          <w:rFonts w:ascii="Arial" w:cs="Arial" w:eastAsia="Arial" w:hAnsi="Arial"/>
          <w:sz w:val="16"/>
          <w:szCs w:val="16"/>
          <w:color w:val="auto"/>
        </w:rPr>
        <w:t>15, which requires management to assess an entity’s ability to continue as a going concern every reporting period, and provide certain disclosures if management has substantial doubt about the entity’s ability to operate as a going concern, or an express statement if not, by incorporating and expanding upon certain principles that are currently in U.S. auditing standards. This guidance is effective for the annual period ending after December 15, 2016, and for annual periods and interim periods thereafter. Early application is permitted. The Company is in process of evaluating this guidance and determining the expected effect on its financial statements.</w:t>
      </w:r>
    </w:p>
    <w:p>
      <w:pPr>
        <w:spacing w:after="0" w:line="166"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April 2015, the FASB issued ASU No. 2015-03, which amends existing guidance to require the presentation of debt issuance costs in the balance sheet as a deduction from the carrying amount of the related debt liability instead of a deferred charge. ASU No. 2015-03 is effective for annual reporting periods beginning after December 15, 2015, and early adoption is permitted. The amendment must be applied retrospectively such that the balance sheet of each individual period presented is adjusted to reflect the period-specific impact of using the new guidance. Upon transition, a business must adhere to the appropriate disclosures for an adjustment in an accounting principle. Such disclosures include why the change in accounting principle is occurring, the transition method, an explanation of the prior period information that was retrospectively adjusted, and how the change impacts the financial statement line items (i.e., debt issuance cost asset and the debt liability). The Company is currently in the process of evaluating the timing and impact of adoption.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89" w:lineRule="exact"/>
        <w:rPr>
          <w:sz w:val="20"/>
          <w:szCs w:val="20"/>
          <w:color w:val="auto"/>
        </w:rPr>
      </w:pPr>
    </w:p>
    <w:p>
      <w:pPr>
        <w:ind w:right="680" w:firstLine="648"/>
        <w:spacing w:after="0" w:line="235" w:lineRule="auto"/>
        <w:rPr>
          <w:sz w:val="20"/>
          <w:szCs w:val="20"/>
          <w:color w:val="auto"/>
        </w:rPr>
      </w:pPr>
      <w:r>
        <w:rPr>
          <w:rFonts w:ascii="Arial" w:cs="Arial" w:eastAsia="Arial" w:hAnsi="Arial"/>
          <w:sz w:val="18"/>
          <w:szCs w:val="18"/>
          <w:color w:val="auto"/>
        </w:rPr>
        <w:t>Assets and liabilities measured at fair value on a recurring basis as of December 31, 2014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Quoted Prices</w:t>
            </w:r>
          </w:p>
        </w:tc>
        <w:tc>
          <w:tcPr>
            <w:tcW w:w="180" w:type="dxa"/>
            <w:vAlign w:val="bottom"/>
          </w:tcPr>
          <w:p>
            <w:pPr>
              <w:spacing w:after="0"/>
              <w:rPr>
                <w:sz w:val="15"/>
                <w:szCs w:val="15"/>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Significant</w:t>
            </w:r>
          </w:p>
        </w:tc>
      </w:tr>
      <w:tr>
        <w:trPr>
          <w:trHeight w:val="176"/>
        </w:trPr>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1"/>
              <w:spacing w:after="0"/>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5"/>
                <w:szCs w:val="15"/>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Unobservable</w:t>
            </w:r>
          </w:p>
        </w:tc>
      </w:tr>
      <w:tr>
        <w:trPr>
          <w:trHeight w:val="176"/>
        </w:trPr>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Borders>
              <w:bottom w:val="single" w:sz="8" w:color="CCEEFF"/>
            </w:tcBorders>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tranche liability</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40" w:type="dxa"/>
            <w:vAlign w:val="bottom"/>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780" w:type="dxa"/>
            <w:vAlign w:val="bottom"/>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6,305</w:t>
            </w:r>
          </w:p>
        </w:tc>
        <w:tc>
          <w:tcPr>
            <w:tcW w:w="40" w:type="dxa"/>
            <w:vAlign w:val="bottom"/>
          </w:tcPr>
          <w:p>
            <w:pPr>
              <w:spacing w:after="0"/>
              <w:rPr>
                <w:sz w:val="18"/>
                <w:szCs w:val="18"/>
                <w:color w:val="auto"/>
              </w:rPr>
            </w:pP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88"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The Company estimates the fair value of its Series A redeemable convertible preferred stock (“Series A Preferred Stock”) tranche liability at the time of issuance and subsequently remeasures it using a probability</w:t>
      </w:r>
      <w:r>
        <w:rPr>
          <w:rFonts w:ascii="MS PGothic" w:cs="MS PGothic" w:eastAsia="MS PGothic" w:hAnsi="MS PGothic"/>
          <w:sz w:val="17"/>
          <w:szCs w:val="17"/>
          <w:color w:val="auto"/>
        </w:rPr>
        <w:t>‑</w:t>
      </w:r>
      <w:r>
        <w:rPr>
          <w:rFonts w:ascii="Arial" w:cs="Arial" w:eastAsia="Arial" w:hAnsi="Arial"/>
          <w:sz w:val="17"/>
          <w:szCs w:val="17"/>
          <w:color w:val="auto"/>
        </w:rPr>
        <w:t>weighted present value model that considers the probability of closing a tranche (67%), the estimated future value of Series A Preferred Stock at closing ($1.51), and the investment required ($20.0 million) at closing. Future values are converted to present value using a discount rate (16.2%) appropriate for probability</w:t>
      </w:r>
      <w:r>
        <w:rPr>
          <w:rFonts w:ascii="MS PGothic" w:cs="MS PGothic" w:eastAsia="MS PGothic" w:hAnsi="MS PGothic"/>
          <w:sz w:val="17"/>
          <w:szCs w:val="17"/>
          <w:color w:val="auto"/>
        </w:rPr>
        <w:t>‑</w:t>
      </w:r>
      <w:r>
        <w:rPr>
          <w:rFonts w:ascii="Arial" w:cs="Arial" w:eastAsia="Arial" w:hAnsi="Arial"/>
          <w:sz w:val="17"/>
          <w:szCs w:val="17"/>
          <w:color w:val="auto"/>
        </w:rPr>
        <w:t>adjusted cash flows. These estimates are based, in part, on subjective assumptions. Changes to these assumptions as well as the Company’s stock value on the reporting date can have a significant impact on the fair value of the Series A Preferred Stock tranche liability.</w:t>
      </w:r>
    </w:p>
    <w:p>
      <w:pPr>
        <w:spacing w:after="0" w:line="162" w:lineRule="exact"/>
        <w:rPr>
          <w:sz w:val="20"/>
          <w:szCs w:val="20"/>
          <w:color w:val="auto"/>
        </w:rPr>
      </w:pPr>
    </w:p>
    <w:p>
      <w:pPr>
        <w:ind w:right="600" w:firstLine="648"/>
        <w:spacing w:after="0" w:line="235" w:lineRule="auto"/>
        <w:rPr>
          <w:sz w:val="20"/>
          <w:szCs w:val="20"/>
          <w:color w:val="auto"/>
        </w:rPr>
      </w:pPr>
      <w:r>
        <w:rPr>
          <w:rFonts w:ascii="Arial" w:cs="Arial" w:eastAsia="Arial" w:hAnsi="Arial"/>
          <w:sz w:val="18"/>
          <w:szCs w:val="18"/>
          <w:color w:val="auto"/>
        </w:rPr>
        <w:t>The following table provides a reconciliation of all assets and liabilities measured at fair value using Level 3 significant unobservable inputs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Preferred Stock</w:t>
            </w:r>
          </w:p>
        </w:tc>
      </w:tr>
      <w:tr>
        <w:trPr>
          <w:trHeight w:val="171"/>
        </w:trPr>
        <w:tc>
          <w:tcPr>
            <w:tcW w:w="7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5"/>
              </w:rPr>
              <w:t>Tranche Liability</w:t>
            </w:r>
          </w:p>
        </w:tc>
        <w:tc>
          <w:tcPr>
            <w:tcW w:w="40" w:type="dxa"/>
            <w:vAlign w:val="bottom"/>
            <w:tcBorders>
              <w:bottom w:val="single" w:sz="8" w:color="CCEEFF"/>
            </w:tcBorders>
          </w:tcPr>
          <w:p>
            <w:pPr>
              <w:spacing w:after="0"/>
              <w:rPr>
                <w:sz w:val="14"/>
                <w:szCs w:val="14"/>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40" w:type="dxa"/>
            <w:vAlign w:val="bottom"/>
            <w:shd w:val="clear" w:color="auto" w:fill="CCEEFF"/>
          </w:tcPr>
          <w:p>
            <w:pPr>
              <w:spacing w:after="0"/>
              <w:rPr>
                <w:sz w:val="18"/>
                <w:szCs w:val="18"/>
                <w:color w:val="auto"/>
              </w:rPr>
            </w:pP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Changes in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9,750</w:t>
            </w:r>
          </w:p>
        </w:tc>
        <w:tc>
          <w:tcPr>
            <w:tcW w:w="40" w:type="dxa"/>
            <w:vAlign w:val="bottom"/>
          </w:tcPr>
          <w:p>
            <w:pPr>
              <w:spacing w:after="0"/>
              <w:rPr>
                <w:sz w:val="18"/>
                <w:szCs w:val="18"/>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to Series A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(16,055)</w:t>
            </w:r>
          </w:p>
        </w:tc>
      </w:tr>
      <w:tr>
        <w:trPr>
          <w:trHeight w:val="176"/>
        </w:trPr>
        <w:tc>
          <w:tcPr>
            <w:tcW w:w="7740" w:type="dxa"/>
            <w:vAlign w:val="bottom"/>
          </w:tcPr>
          <w:p>
            <w:pPr>
              <w:spacing w:after="0" w:line="170" w:lineRule="exact"/>
              <w:rPr>
                <w:sz w:val="20"/>
                <w:szCs w:val="20"/>
                <w:color w:val="auto"/>
              </w:rPr>
            </w:pPr>
            <w:r>
              <w:rPr>
                <w:rFonts w:ascii="Arial" w:cs="Arial" w:eastAsia="Arial" w:hAnsi="Arial"/>
                <w:sz w:val="18"/>
                <w:szCs w:val="18"/>
                <w:color w:val="auto"/>
              </w:rPr>
              <w:t>Balance at September 30, 2015</w:t>
            </w: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r>
    </w:tbl>
    <w:p>
      <w:pPr>
        <w:spacing w:after="0" w:line="202"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Assets and liabilities measured at fair value on a recurring basis as of September 30, 2015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Quoted Prices</w:t>
            </w:r>
          </w:p>
        </w:tc>
        <w:tc>
          <w:tcPr>
            <w:tcW w:w="18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Significant</w:t>
            </w:r>
          </w:p>
        </w:tc>
      </w:tr>
      <w:tr>
        <w:trPr>
          <w:trHeight w:val="176"/>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8"/>
              <w:spacing w:after="0"/>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8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r>
      <w:tr>
        <w:trPr>
          <w:trHeight w:val="176"/>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(Level 3)</w:t>
            </w:r>
          </w:p>
        </w:tc>
      </w:tr>
      <w:tr>
        <w:trPr>
          <w:trHeight w:val="169"/>
        </w:trPr>
        <w:tc>
          <w:tcPr>
            <w:tcW w:w="4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9"/>
              </w:rPr>
              <w:t>Money market funds included in cash and cash equivalents</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176"/>
        </w:trPr>
        <w:tc>
          <w:tcPr>
            <w:tcW w:w="4700" w:type="dxa"/>
            <w:vAlign w:val="bottom"/>
          </w:tcPr>
          <w:p>
            <w:pPr>
              <w:spacing w:after="0" w:line="176" w:lineRule="exact"/>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notes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r>
    </w:tbl>
    <w:p>
      <w:pPr>
        <w:spacing w:after="0" w:line="188"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The Company measures the fair value of money market funds and U.S. Treasuries based on quoted prices in active markets for identical securities. The Level 2 marketable securities include U.S. government and agency securities that are valued either based on recent trades of securities in inactive markets or based on quoted market prices of similar instruments and other significant inputs derived from or corroborated by observable market data. The Company did not hold any marketable securities at December 31, 2014.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 and other current assets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left="288"/>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6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6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gridSpan w:val="2"/>
          </w:tcPr>
          <w:p>
            <w:pPr>
              <w:jc w:val="center"/>
              <w:ind w:left="474"/>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6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679</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c>
          <w:tcPr>
            <w:tcW w:w="40" w:type="dxa"/>
            <w:vAlign w:val="bottom"/>
            <w:shd w:val="clear" w:color="auto" w:fill="CCEEFF"/>
          </w:tcPr>
          <w:p>
            <w:pPr>
              <w:spacing w:after="0"/>
              <w:rPr>
                <w:sz w:val="18"/>
                <w:szCs w:val="18"/>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263</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423</w:t>
            </w:r>
          </w:p>
        </w:tc>
        <w:tc>
          <w:tcPr>
            <w:tcW w:w="40" w:type="dxa"/>
            <w:vAlign w:val="bottom"/>
            <w:tcBorders>
              <w:bottom w:val="single" w:sz="8" w:color="CCEEFF"/>
            </w:tcBorders>
          </w:tcPr>
          <w:p>
            <w:pPr>
              <w:spacing w:after="0"/>
              <w:rPr>
                <w:sz w:val="18"/>
                <w:szCs w:val="18"/>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942</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1,323</w:t>
            </w:r>
          </w:p>
        </w:tc>
        <w:tc>
          <w:tcPr>
            <w:tcW w:w="40" w:type="dxa"/>
            <w:vAlign w:val="bottom"/>
            <w:shd w:val="clear" w:color="auto" w:fill="CCEEFF"/>
          </w:tcPr>
          <w:p>
            <w:pPr>
              <w:spacing w:after="0"/>
              <w:rPr>
                <w:sz w:val="19"/>
                <w:szCs w:val="19"/>
                <w:color w:val="auto"/>
              </w:rPr>
            </w:pPr>
          </w:p>
        </w:tc>
      </w:tr>
      <w:tr>
        <w:trPr>
          <w:trHeight w:val="433"/>
        </w:trPr>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5. Property and Equipment, net</w:t>
            </w:r>
          </w:p>
        </w:tc>
        <w:tc>
          <w:tcPr>
            <w:tcW w:w="4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392"/>
        </w:trPr>
        <w:tc>
          <w:tcPr>
            <w:tcW w:w="6060" w:type="dxa"/>
            <w:vAlign w:val="bottom"/>
          </w:tcPr>
          <w:p>
            <w:pPr>
              <w:ind w:left="660"/>
              <w:spacing w:after="0"/>
              <w:rPr>
                <w:sz w:val="20"/>
                <w:szCs w:val="20"/>
                <w:color w:val="auto"/>
              </w:rPr>
            </w:pPr>
            <w:r>
              <w:rPr>
                <w:rFonts w:ascii="Arial" w:cs="Arial" w:eastAsia="Arial" w:hAnsi="Arial"/>
                <w:sz w:val="18"/>
                <w:szCs w:val="18"/>
                <w:color w:val="auto"/>
                <w:w w:val="98"/>
              </w:rPr>
              <w:t>Property and equipment, net consists of the following (in thousands):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5"/>
        </w:trPr>
        <w:tc>
          <w:tcPr>
            <w:tcW w:w="6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center"/>
              <w:ind w:right="228"/>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As of</w:t>
            </w:r>
          </w:p>
        </w:tc>
      </w:tr>
      <w:tr>
        <w:trPr>
          <w:trHeight w:val="171"/>
        </w:trPr>
        <w:tc>
          <w:tcPr>
            <w:tcW w:w="6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center"/>
              <w:ind w:right="48"/>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6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60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3,277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188"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 Company recorded $63,000 and $160,000 during the three months ended September 30, 2015 and September 30, 2014, respectively. The Company recorded $73,000 and $436,000 in depreciation expense during the nine months ended September 30, 2014 and September 30, 2015,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4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56"/>
        </w:trPr>
        <w:tc>
          <w:tcPr>
            <w:tcW w:w="44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ind w:right="134"/>
              <w:spacing w:after="0" w:line="155"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3"/>
                <w:szCs w:val="13"/>
                <w:color w:val="auto"/>
              </w:rPr>
            </w:pPr>
          </w:p>
        </w:tc>
      </w:tr>
      <w:tr>
        <w:trPr>
          <w:trHeight w:val="169"/>
        </w:trPr>
        <w:tc>
          <w:tcPr>
            <w:tcW w:w="4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Patent costs</w:t>
            </w:r>
          </w:p>
        </w:tc>
        <w:tc>
          <w:tcPr>
            <w:tcW w:w="2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Employee compensation costs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r>
      <w:tr>
        <w:trPr>
          <w:trHeight w:val="210"/>
        </w:trPr>
        <w:tc>
          <w:tcPr>
            <w:tcW w:w="4420" w:type="dxa"/>
            <w:vAlign w:val="bottom"/>
          </w:tcPr>
          <w:p>
            <w:pPr>
              <w:ind w:left="220"/>
              <w:spacing w:after="0"/>
              <w:rPr>
                <w:sz w:val="20"/>
                <w:szCs w:val="20"/>
                <w:color w:val="auto"/>
              </w:rPr>
            </w:pPr>
            <w:r>
              <w:rPr>
                <w:rFonts w:ascii="Arial" w:cs="Arial" w:eastAsia="Arial" w:hAnsi="Arial"/>
                <w:sz w:val="18"/>
                <w:szCs w:val="18"/>
                <w:color w:val="auto"/>
              </w:rPr>
              <w:t>Total</w:t>
            </w:r>
          </w:p>
        </w:tc>
        <w:tc>
          <w:tcPr>
            <w:tcW w:w="2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2,942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642</w:t>
            </w:r>
          </w:p>
        </w:tc>
        <w:tc>
          <w:tcPr>
            <w:tcW w:w="260" w:type="dxa"/>
            <w:vAlign w:val="bottom"/>
          </w:tcPr>
          <w:p>
            <w:pPr>
              <w:spacing w:after="0"/>
              <w:rPr>
                <w:sz w:val="18"/>
                <w:szCs w:val="18"/>
                <w:color w:val="auto"/>
              </w:rPr>
            </w:pPr>
          </w:p>
        </w:tc>
      </w:tr>
      <w:tr>
        <w:trPr>
          <w:trHeight w:val="27"/>
        </w:trPr>
        <w:tc>
          <w:tcPr>
            <w:tcW w:w="4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44" w:lineRule="exact"/>
        <w:rPr>
          <w:sz w:val="20"/>
          <w:szCs w:val="20"/>
          <w:color w:val="auto"/>
        </w:rPr>
      </w:pPr>
    </w:p>
    <w:p>
      <w:pPr>
        <w:ind w:right="220" w:firstLine="648"/>
        <w:spacing w:after="0" w:line="189" w:lineRule="exact"/>
        <w:rPr>
          <w:sz w:val="20"/>
          <w:szCs w:val="20"/>
          <w:color w:val="auto"/>
        </w:rPr>
      </w:pPr>
      <w:r>
        <w:rPr>
          <w:rFonts w:ascii="Arial" w:cs="Arial" w:eastAsia="Arial" w:hAnsi="Arial"/>
          <w:sz w:val="16"/>
          <w:szCs w:val="16"/>
          <w:color w:val="auto"/>
        </w:rPr>
        <w:t>During March 2014, the Company entered into an agreement to lease its facility under a non</w:t>
      </w:r>
      <w:r>
        <w:rPr>
          <w:rFonts w:ascii="MS PGothic" w:cs="MS PGothic" w:eastAsia="MS PGothic" w:hAnsi="MS PGothic"/>
          <w:sz w:val="16"/>
          <w:szCs w:val="16"/>
          <w:color w:val="auto"/>
        </w:rPr>
        <w:t>‑</w:t>
      </w:r>
      <w:r>
        <w:rPr>
          <w:rFonts w:ascii="Arial" w:cs="Arial" w:eastAsia="Arial" w:hAnsi="Arial"/>
          <w:sz w:val="16"/>
          <w:szCs w:val="16"/>
          <w:color w:val="auto"/>
        </w:rPr>
        <w:t>cancelable operating lease that expires December 15, 2019. The lease includes two renewal options, each for five year terms and at fair market value upon exercise. The lease contains escalating rent clauses which require higher rent payments in future years. The Company expenses rent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term of the lease, including any rent</w:t>
      </w:r>
      <w:r>
        <w:rPr>
          <w:rFonts w:ascii="MS PGothic" w:cs="MS PGothic" w:eastAsia="MS PGothic" w:hAnsi="MS PGothic"/>
          <w:sz w:val="16"/>
          <w:szCs w:val="16"/>
          <w:color w:val="auto"/>
        </w:rPr>
        <w:t>‑</w:t>
      </w:r>
      <w:r>
        <w:rPr>
          <w:rFonts w:ascii="Arial" w:cs="Arial" w:eastAsia="Arial" w:hAnsi="Arial"/>
          <w:sz w:val="16"/>
          <w:szCs w:val="16"/>
          <w:color w:val="auto"/>
        </w:rPr>
        <w:t>free periods.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6"/>
          <w:szCs w:val="16"/>
          <w:color w:val="auto"/>
        </w:rPr>
        <w:t>The Company received a leasehold improvement incentive from the landlord totaling $1,250,000. The Company recorded these incentives as a component of deferred rent and will amortize these incentives as a reduction of rent expense over the life of the lease. These leasehold improvements have been recorded as fixed assets.</w:t>
      </w:r>
    </w:p>
    <w:p>
      <w:pPr>
        <w:spacing w:after="0" w:line="107" w:lineRule="exact"/>
        <w:rPr>
          <w:sz w:val="20"/>
          <w:szCs w:val="20"/>
          <w:color w:val="auto"/>
        </w:rPr>
      </w:pPr>
    </w:p>
    <w:p>
      <w:pPr>
        <w:jc w:val="both"/>
        <w:ind w:right="200" w:firstLine="648"/>
        <w:spacing w:after="0" w:line="235" w:lineRule="auto"/>
        <w:rPr>
          <w:sz w:val="20"/>
          <w:szCs w:val="20"/>
          <w:color w:val="auto"/>
        </w:rPr>
      </w:pPr>
      <w:r>
        <w:rPr>
          <w:rFonts w:ascii="Arial" w:cs="Arial" w:eastAsia="Arial" w:hAnsi="Arial"/>
          <w:sz w:val="18"/>
          <w:szCs w:val="18"/>
          <w:color w:val="auto"/>
        </w:rPr>
        <w:t>Rent expense of approximately $168,000 and $140,000 and $403,000 and $590,000 was incurred during the three and nine months ended September 30, 2014 and September 30, 2015,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6820" w:type="dxa"/>
            <w:vAlign w:val="bottom"/>
            <w:gridSpan w:val="4"/>
          </w:tcPr>
          <w:p>
            <w:pPr>
              <w:ind w:left="160"/>
              <w:spacing w:after="0"/>
              <w:rPr>
                <w:sz w:val="20"/>
                <w:szCs w:val="20"/>
                <w:color w:val="auto"/>
              </w:rPr>
            </w:pPr>
            <w:r>
              <w:rPr>
                <w:rFonts w:ascii="Arial" w:cs="Arial" w:eastAsia="Arial" w:hAnsi="Arial"/>
                <w:sz w:val="18"/>
                <w:szCs w:val="18"/>
                <w:color w:val="auto"/>
                <w:w w:val="89"/>
              </w:rPr>
              <w:t>Future annual minimum lease payments at December 31, 2014 are as follows (in thousands):</w:t>
            </w:r>
          </w:p>
        </w:tc>
      </w:tr>
      <w:tr>
        <w:trPr>
          <w:trHeight w:val="342"/>
        </w:trPr>
        <w:tc>
          <w:tcPr>
            <w:tcW w:w="5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Total Minimum</w:t>
            </w:r>
          </w:p>
        </w:tc>
      </w:tr>
      <w:tr>
        <w:trPr>
          <w:trHeight w:val="171"/>
        </w:trPr>
        <w:tc>
          <w:tcPr>
            <w:tcW w:w="500" w:type="dxa"/>
            <w:vAlign w:val="bottom"/>
            <w:tcBorders>
              <w:bottom w:val="single" w:sz="8" w:color="CCEEFF"/>
            </w:tcBorders>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Lease Payments</w:t>
            </w:r>
          </w:p>
        </w:tc>
        <w:tc>
          <w:tcPr>
            <w:tcW w:w="140" w:type="dxa"/>
            <w:vAlign w:val="bottom"/>
          </w:tcPr>
          <w:p>
            <w:pPr>
              <w:spacing w:after="0"/>
              <w:rPr>
                <w:sz w:val="14"/>
                <w:szCs w:val="14"/>
                <w:color w:val="auto"/>
              </w:rPr>
            </w:pPr>
          </w:p>
        </w:tc>
      </w:tr>
      <w:tr>
        <w:trPr>
          <w:trHeight w:val="210"/>
        </w:trPr>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4"/>
              </w:rPr>
              <w:t>2015</w:t>
            </w:r>
          </w:p>
        </w:tc>
        <w:tc>
          <w:tcPr>
            <w:tcW w:w="6000" w:type="dxa"/>
            <w:vAlign w:val="bottom"/>
            <w:gridSpan w:val="2"/>
            <w:shd w:val="clear" w:color="auto" w:fill="CCEEFF"/>
          </w:tcPr>
          <w:p>
            <w:pPr>
              <w:ind w:left="5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40" w:type="dxa"/>
            <w:vAlign w:val="bottom"/>
            <w:tcBorders>
              <w:left w:val="single" w:sz="8" w:color="CCEEFF"/>
            </w:tcBorders>
          </w:tcPr>
          <w:p>
            <w:pPr>
              <w:spacing w:after="0"/>
              <w:rPr>
                <w:sz w:val="18"/>
                <w:szCs w:val="18"/>
                <w:color w:val="auto"/>
              </w:rPr>
            </w:pP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2016</w:t>
            </w: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1,170</w:t>
            </w:r>
          </w:p>
        </w:tc>
        <w:tc>
          <w:tcPr>
            <w:tcW w:w="140" w:type="dxa"/>
            <w:vAlign w:val="bottom"/>
          </w:tcPr>
          <w:p>
            <w:pPr>
              <w:spacing w:after="0"/>
              <w:rPr>
                <w:sz w:val="18"/>
                <w:szCs w:val="18"/>
                <w:color w:val="auto"/>
              </w:rPr>
            </w:pPr>
          </w:p>
        </w:tc>
      </w:tr>
      <w:tr>
        <w:trPr>
          <w:trHeight w:val="216"/>
        </w:trPr>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4"/>
              </w:rPr>
              <w:t>2017</w:t>
            </w:r>
          </w:p>
        </w:tc>
        <w:tc>
          <w:tcPr>
            <w:tcW w:w="57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Borders>
              <w:left w:val="single" w:sz="8" w:color="CCEEFF"/>
            </w:tcBorders>
          </w:tcPr>
          <w:p>
            <w:pPr>
              <w:spacing w:after="0"/>
              <w:rPr>
                <w:sz w:val="18"/>
                <w:szCs w:val="18"/>
                <w:color w:val="auto"/>
              </w:rPr>
            </w:pP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2018</w:t>
            </w: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18"/>
                <w:szCs w:val="18"/>
                <w:color w:val="auto"/>
              </w:rPr>
            </w:pPr>
          </w:p>
        </w:tc>
      </w:tr>
      <w:tr>
        <w:trPr>
          <w:trHeight w:val="216"/>
        </w:trPr>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4"/>
              </w:rPr>
              <w:t>2019</w:t>
            </w:r>
          </w:p>
        </w:tc>
        <w:tc>
          <w:tcPr>
            <w:tcW w:w="57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40" w:type="dxa"/>
            <w:vAlign w:val="bottom"/>
            <w:tcBorders>
              <w:left w:val="single" w:sz="8" w:color="CCEEFF"/>
            </w:tcBorders>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6000" w:type="dxa"/>
            <w:vAlign w:val="bottom"/>
            <w:gridSpan w:val="2"/>
          </w:tcPr>
          <w:p>
            <w:pPr>
              <w:ind w:left="5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5,877</w:t>
            </w:r>
          </w:p>
        </w:tc>
        <w:tc>
          <w:tcPr>
            <w:tcW w:w="140" w:type="dxa"/>
            <w:vAlign w:val="bottom"/>
          </w:tcPr>
          <w:p>
            <w:pPr>
              <w:spacing w:after="0"/>
              <w:rPr>
                <w:sz w:val="18"/>
                <w:szCs w:val="18"/>
                <w:color w:val="auto"/>
              </w:rPr>
            </w:pPr>
          </w:p>
        </w:tc>
      </w:tr>
      <w:tr>
        <w:trPr>
          <w:trHeight w:val="27"/>
        </w:trPr>
        <w:tc>
          <w:tcPr>
            <w:tcW w:w="500" w:type="dxa"/>
            <w:vAlign w:val="bottom"/>
          </w:tcPr>
          <w:p>
            <w:pPr>
              <w:spacing w:after="0"/>
              <w:rPr>
                <w:sz w:val="2"/>
                <w:szCs w:val="2"/>
                <w:color w:val="auto"/>
              </w:rPr>
            </w:pPr>
          </w:p>
        </w:tc>
        <w:tc>
          <w:tcPr>
            <w:tcW w:w="57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Genzyme Collaboration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44"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In February 2015, the Company entered into an agreement with Genzyme (“Collaboration Agreement”), which included a non</w:t>
      </w:r>
      <w:r>
        <w:rPr>
          <w:rFonts w:ascii="MS PGothic" w:cs="MS PGothic" w:eastAsia="MS PGothic" w:hAnsi="MS PGothic"/>
          <w:sz w:val="18"/>
          <w:szCs w:val="18"/>
          <w:color w:val="auto"/>
        </w:rPr>
        <w:t>‑</w:t>
      </w:r>
      <w:r>
        <w:rPr>
          <w:rFonts w:ascii="Arial" w:cs="Arial" w:eastAsia="Arial" w:hAnsi="Arial"/>
          <w:sz w:val="18"/>
          <w:szCs w:val="18"/>
          <w:color w:val="auto"/>
        </w:rPr>
        <w:t>refundable upfront payment of $65.0 million. In addition, contemporaneous with entering into the Collaboration Agreement, Genzyme entered into a Series B Stock Purchase Agreement, under which Genzyme purchased 10,000,000 shares of Series B Preferred Stock for $30.0 million. The fair value of the Series B Preferred Stock at the time of issuance was approximately $25.0 million. The $5.0 million premium over the fair value is accounted for as additional consideration under the Collaboration Agreement.</w:t>
      </w:r>
    </w:p>
    <w:p>
      <w:pPr>
        <w:spacing w:after="0" w:line="122"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6"/>
          <w:szCs w:val="16"/>
          <w:color w:val="auto"/>
        </w:rPr>
        <w:t>Under the Collaboration Agreement, the Company granted Genzyme an exclusive option to license, develop and commercialize (i) ex</w:t>
      </w:r>
      <w:r>
        <w:rPr>
          <w:rFonts w:ascii="MS PGothic" w:cs="MS PGothic" w:eastAsia="MS PGothic" w:hAnsi="MS PGothic"/>
          <w:sz w:val="16"/>
          <w:szCs w:val="16"/>
          <w:color w:val="auto"/>
        </w:rPr>
        <w:t>‑</w:t>
      </w:r>
      <w:r>
        <w:rPr>
          <w:rFonts w:ascii="Arial" w:cs="Arial" w:eastAsia="Arial" w:hAnsi="Arial"/>
          <w:sz w:val="16"/>
          <w:szCs w:val="16"/>
          <w:color w:val="auto"/>
        </w:rPr>
        <w:t>U.S. rights to the following programs, which are referred to as Split Territory Programs; VY</w:t>
      </w:r>
      <w:r>
        <w:rPr>
          <w:rFonts w:ascii="MS PGothic" w:cs="MS PGothic" w:eastAsia="MS PGothic" w:hAnsi="MS PGothic"/>
          <w:sz w:val="16"/>
          <w:szCs w:val="16"/>
          <w:color w:val="auto"/>
        </w:rPr>
        <w:t>‑</w:t>
      </w:r>
      <w:r>
        <w:rPr>
          <w:rFonts w:ascii="Arial" w:cs="Arial" w:eastAsia="Arial" w:hAnsi="Arial"/>
          <w:sz w:val="16"/>
          <w:szCs w:val="16"/>
          <w:color w:val="auto"/>
        </w:rPr>
        <w:t>AADC01 (“Parkinson’s Program”), VY</w:t>
      </w:r>
      <w:r>
        <w:rPr>
          <w:rFonts w:ascii="MS PGothic" w:cs="MS PGothic" w:eastAsia="MS PGothic" w:hAnsi="MS PGothic"/>
          <w:sz w:val="16"/>
          <w:szCs w:val="16"/>
          <w:color w:val="auto"/>
        </w:rPr>
        <w:t>‑</w:t>
      </w:r>
      <w:r>
        <w:rPr>
          <w:rFonts w:ascii="Arial" w:cs="Arial" w:eastAsia="Arial" w:hAnsi="Arial"/>
          <w:sz w:val="16"/>
          <w:szCs w:val="16"/>
          <w:color w:val="auto"/>
        </w:rPr>
        <w:t>FXN01 (“Friedreich’s Ataxia Program”), a future program to be designated by Genzyme (“Future Program”) and VY</w:t>
      </w:r>
      <w:r>
        <w:rPr>
          <w:rFonts w:ascii="MS PGothic" w:cs="MS PGothic" w:eastAsia="MS PGothic" w:hAnsi="MS PGothic"/>
          <w:sz w:val="16"/>
          <w:szCs w:val="16"/>
          <w:color w:val="auto"/>
        </w:rPr>
        <w:t>‑</w:t>
      </w:r>
      <w:r>
        <w:rPr>
          <w:rFonts w:ascii="Arial" w:cs="Arial" w:eastAsia="Arial" w:hAnsi="Arial"/>
          <w:sz w:val="16"/>
          <w:szCs w:val="16"/>
          <w:color w:val="auto"/>
        </w:rPr>
        <w:t>HTT01 (“Huntington’s Program”) with an incremental option to co</w:t>
      </w:r>
      <w:r>
        <w:rPr>
          <w:rFonts w:ascii="MS PGothic" w:cs="MS PGothic" w:eastAsia="MS PGothic" w:hAnsi="MS PGothic"/>
          <w:sz w:val="16"/>
          <w:szCs w:val="16"/>
          <w:color w:val="auto"/>
        </w:rPr>
        <w:t>‑</w:t>
      </w:r>
      <w:r>
        <w:rPr>
          <w:rFonts w:ascii="Arial" w:cs="Arial" w:eastAsia="Arial" w:hAnsi="Arial"/>
          <w:sz w:val="16"/>
          <w:szCs w:val="16"/>
          <w:color w:val="auto"/>
        </w:rPr>
        <w:t>commercialize VY</w:t>
      </w:r>
      <w:r>
        <w:rPr>
          <w:rFonts w:ascii="MS PGothic" w:cs="MS PGothic" w:eastAsia="MS PGothic" w:hAnsi="MS PGothic"/>
          <w:sz w:val="16"/>
          <w:szCs w:val="16"/>
          <w:color w:val="auto"/>
        </w:rPr>
        <w:t>‑</w:t>
      </w:r>
      <w:r>
        <w:rPr>
          <w:rFonts w:ascii="Arial" w:cs="Arial" w:eastAsia="Arial" w:hAnsi="Arial"/>
          <w:sz w:val="16"/>
          <w:szCs w:val="16"/>
          <w:color w:val="auto"/>
        </w:rPr>
        <w:t>HTT01 in the United States and (ii) worldwide rights to VY</w:t>
      </w:r>
      <w:r>
        <w:rPr>
          <w:rFonts w:ascii="MS PGothic" w:cs="MS PGothic" w:eastAsia="MS PGothic" w:hAnsi="MS PGothic"/>
          <w:sz w:val="16"/>
          <w:szCs w:val="16"/>
          <w:color w:val="auto"/>
        </w:rPr>
        <w:t>‑</w:t>
      </w:r>
      <w:r>
        <w:rPr>
          <w:rFonts w:ascii="Arial" w:cs="Arial" w:eastAsia="Arial" w:hAnsi="Arial"/>
          <w:sz w:val="16"/>
          <w:szCs w:val="16"/>
          <w:color w:val="auto"/>
        </w:rPr>
        <w:t>SMN101 (“Spinal Muscular Atrophy Program”). Genzyme’s option for the Split Territory Programs and the Spinal Muscular Atrophy Program is triggered following the completion of the first proof</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principle human clinical study (“POP Study”), on a program by program basis.</w:t>
      </w:r>
    </w:p>
    <w:p>
      <w:pPr>
        <w:spacing w:after="0" w:line="136"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Prior to any option exercise by Genzyme, the Company will collaborate with Genzyme in the development of products under each Split Territory Program and VY</w:t>
      </w:r>
      <w:r>
        <w:rPr>
          <w:rFonts w:ascii="MS PGothic" w:cs="MS PGothic" w:eastAsia="MS PGothic" w:hAnsi="MS PGothic"/>
          <w:sz w:val="18"/>
          <w:szCs w:val="18"/>
          <w:color w:val="auto"/>
        </w:rPr>
        <w:t>‑</w:t>
      </w:r>
      <w:r>
        <w:rPr>
          <w:rFonts w:ascii="Arial" w:cs="Arial" w:eastAsia="Arial" w:hAnsi="Arial"/>
          <w:sz w:val="18"/>
          <w:szCs w:val="18"/>
          <w:color w:val="auto"/>
        </w:rPr>
        <w:t>SMN101 pursuant to a written development plan and under the guidance of an Alliance Joint Steering Committee (“AJSC”), comprised of an equal number of employees from the Company and Genzyme.</w:t>
      </w:r>
    </w:p>
    <w:p>
      <w:pPr>
        <w:spacing w:after="0" w:line="122"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Company is required to use commercially reasonable efforts to develop products under each Split Territory Program and the Spinal Muscular Atrophy Program through the completion of the applicable POP Study. During the development of these joint programs, the activities are guided by a Development Advisory Committee (“DAC”). The DAC may elect to utilize certain Genzyme technology relating to the VY</w:t>
      </w:r>
      <w:r>
        <w:rPr>
          <w:rFonts w:ascii="MS PGothic" w:cs="MS PGothic" w:eastAsia="MS PGothic" w:hAnsi="MS PGothic"/>
          <w:sz w:val="18"/>
          <w:szCs w:val="18"/>
          <w:color w:val="auto"/>
        </w:rPr>
        <w:t>‑</w:t>
      </w:r>
      <w:r>
        <w:rPr>
          <w:rFonts w:ascii="Arial" w:cs="Arial" w:eastAsia="Arial" w:hAnsi="Arial"/>
          <w:sz w:val="18"/>
          <w:szCs w:val="18"/>
          <w:color w:val="auto"/>
        </w:rPr>
        <w:t>AADC01 Program, the VY</w:t>
      </w:r>
      <w:r>
        <w:rPr>
          <w:rFonts w:ascii="MS PGothic" w:cs="MS PGothic" w:eastAsia="MS PGothic" w:hAnsi="MS PGothic"/>
          <w:sz w:val="18"/>
          <w:szCs w:val="18"/>
          <w:color w:val="auto"/>
        </w:rPr>
        <w:t>‑</w:t>
      </w:r>
      <w:r>
        <w:rPr>
          <w:rFonts w:ascii="Arial" w:cs="Arial" w:eastAsia="Arial" w:hAnsi="Arial"/>
          <w:sz w:val="18"/>
          <w:szCs w:val="18"/>
          <w:color w:val="auto"/>
        </w:rPr>
        <w:t>HTT01 Program or generally with the manufacture of Split Territory Program products.</w:t>
      </w:r>
    </w:p>
    <w:p>
      <w:pPr>
        <w:spacing w:after="0" w:line="122" w:lineRule="exact"/>
        <w:rPr>
          <w:sz w:val="20"/>
          <w:szCs w:val="20"/>
          <w:color w:val="auto"/>
        </w:rPr>
      </w:pPr>
    </w:p>
    <w:p>
      <w:pPr>
        <w:ind w:right="180" w:firstLine="648"/>
        <w:spacing w:after="0" w:line="189" w:lineRule="exact"/>
        <w:rPr>
          <w:sz w:val="20"/>
          <w:szCs w:val="20"/>
          <w:color w:val="auto"/>
        </w:rPr>
      </w:pPr>
      <w:r>
        <w:rPr>
          <w:rFonts w:ascii="Arial" w:cs="Arial" w:eastAsia="Arial" w:hAnsi="Arial"/>
          <w:sz w:val="17"/>
          <w:szCs w:val="17"/>
          <w:color w:val="auto"/>
        </w:rPr>
        <w:t>The Company is solely responsible for all costs incurred in connection with the development of the Split Territory Programs and the Spinal Muscular Atrophy Program products prior to the exercise of an option by Genzyme with the exception of the following: (i) at the Company’s request and upon mutual agreement, Genzyme will provide “in</w:t>
      </w:r>
      <w:r>
        <w:rPr>
          <w:rFonts w:ascii="MS PGothic" w:cs="MS PGothic" w:eastAsia="MS PGothic" w:hAnsi="MS PGothic"/>
          <w:sz w:val="17"/>
          <w:szCs w:val="17"/>
          <w:color w:val="auto"/>
        </w:rPr>
        <w:t>‑</w:t>
      </w:r>
      <w:r>
        <w:rPr>
          <w:rFonts w:ascii="Arial" w:cs="Arial" w:eastAsia="Arial" w:hAnsi="Arial"/>
          <w:sz w:val="17"/>
          <w:szCs w:val="17"/>
          <w:color w:val="auto"/>
        </w:rPr>
        <w:t>kind” services valued at up to $5.0 million and (ii) Genzyme shall be responsible for the costs and expenses of</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40"/>
        <w:spacing w:after="0" w:line="203" w:lineRule="exact"/>
        <w:rPr>
          <w:sz w:val="20"/>
          <w:szCs w:val="20"/>
          <w:color w:val="auto"/>
        </w:rPr>
      </w:pPr>
      <w:r>
        <w:rPr>
          <w:rFonts w:ascii="Arial" w:cs="Arial" w:eastAsia="Arial" w:hAnsi="Arial"/>
          <w:sz w:val="16"/>
          <w:szCs w:val="16"/>
          <w:color w:val="auto"/>
        </w:rPr>
        <w:t>activities under the Huntington’s Program development plan to the extent such activities are covered by financial support Genzyme is entitled to receive from a patient advocacy group, collectively Genzyme “in</w:t>
      </w:r>
      <w:r>
        <w:rPr>
          <w:rFonts w:ascii="MS PGothic" w:cs="MS PGothic" w:eastAsia="MS PGothic" w:hAnsi="MS PGothic"/>
          <w:sz w:val="16"/>
          <w:szCs w:val="16"/>
          <w:color w:val="auto"/>
        </w:rPr>
        <w:t>‑</w:t>
      </w:r>
      <w:r>
        <w:rPr>
          <w:rFonts w:ascii="Arial" w:cs="Arial" w:eastAsia="Arial" w:hAnsi="Arial"/>
          <w:sz w:val="16"/>
          <w:szCs w:val="16"/>
          <w:color w:val="auto"/>
        </w:rPr>
        <w:t>kind” and other funding.</w:t>
      </w:r>
    </w:p>
    <w:p>
      <w:pPr>
        <w:spacing w:after="0" w:line="12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Other than the Parkinson’s Program (for which a POP Study has already been commenced), if the Company does not initiate a POP Study for a given Split Territory Program by December 31, 2026 (or for the Future Program by the tenth anniversary of the date the Future Program is nominated by Genzyme), and Genzyme has not terminated the Collaboration Agreement with respect to the collaboration program, then Genzyme shall be entitled, as its sole and exclusive remedy, to a credit of $10.0 million for each such program against other milestone or royalty payments payable by Genzyme under the Collaboration Agreement. However, if the POP Study is not initiated due to a regulatory delay or a force majeure event, such time period shall be extended for so long as such delay continues.</w:t>
      </w:r>
    </w:p>
    <w:p>
      <w:pPr>
        <w:spacing w:after="0" w:line="135" w:lineRule="exact"/>
        <w:rPr>
          <w:sz w:val="20"/>
          <w:szCs w:val="20"/>
          <w:color w:val="auto"/>
        </w:rPr>
      </w:pPr>
    </w:p>
    <w:p>
      <w:pPr>
        <w:ind w:right="740" w:firstLine="648"/>
        <w:spacing w:after="0" w:line="289" w:lineRule="auto"/>
        <w:rPr>
          <w:sz w:val="20"/>
          <w:szCs w:val="20"/>
          <w:color w:val="auto"/>
        </w:rPr>
      </w:pPr>
      <w:r>
        <w:rPr>
          <w:rFonts w:ascii="Arial" w:cs="Arial" w:eastAsia="Arial" w:hAnsi="Arial"/>
          <w:sz w:val="16"/>
          <w:szCs w:val="16"/>
          <w:color w:val="auto"/>
        </w:rPr>
        <w:t>With the exception of the Parkinson’s Program, Genzyme is required to pay an option exercise payment of $20.0 million or $30.0 million for each Split Territory Program, as well as the Spinal Muscular Atrophy Program.</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Upon Genzyme’s exercise of its option to license a given product in a Split Territory Program (“Split Territory</w:t>
      </w:r>
    </w:p>
    <w:p>
      <w:pPr>
        <w:spacing w:after="0" w:line="229" w:lineRule="auto"/>
        <w:rPr>
          <w:sz w:val="20"/>
          <w:szCs w:val="20"/>
          <w:color w:val="auto"/>
        </w:rPr>
      </w:pPr>
      <w:r>
        <w:rPr>
          <w:rFonts w:ascii="Arial" w:cs="Arial" w:eastAsia="Arial" w:hAnsi="Arial"/>
          <w:sz w:val="16"/>
          <w:szCs w:val="16"/>
          <w:color w:val="auto"/>
        </w:rPr>
        <w:t>Licensed Product”), the Company will have sole responsibility for the development of such Split Territory Licensed Product</w:t>
      </w:r>
    </w:p>
    <w:p>
      <w:pPr>
        <w:spacing w:after="0" w:line="229" w:lineRule="auto"/>
        <w:rPr>
          <w:sz w:val="20"/>
          <w:szCs w:val="20"/>
          <w:color w:val="auto"/>
        </w:rPr>
      </w:pPr>
      <w:r>
        <w:rPr>
          <w:rFonts w:ascii="Arial" w:cs="Arial" w:eastAsia="Arial" w:hAnsi="Arial"/>
          <w:sz w:val="16"/>
          <w:szCs w:val="16"/>
          <w:color w:val="auto"/>
        </w:rPr>
        <w:t>in the United States and Genzyme shall have sole responsibility for development of such Split Territory Licensed Product in</w:t>
      </w:r>
    </w:p>
    <w:p>
      <w:pPr>
        <w:spacing w:after="0" w:line="229" w:lineRule="auto"/>
        <w:rPr>
          <w:sz w:val="20"/>
          <w:szCs w:val="20"/>
          <w:color w:val="auto"/>
        </w:rPr>
      </w:pPr>
      <w:r>
        <w:rPr>
          <w:rFonts w:ascii="Arial" w:cs="Arial" w:eastAsia="Arial" w:hAnsi="Arial"/>
          <w:sz w:val="16"/>
          <w:szCs w:val="16"/>
          <w:color w:val="auto"/>
        </w:rPr>
        <w:t>the rest of the world. The Company and Genzyme will have shared responsibility for execution of ongoing development of</w:t>
      </w:r>
    </w:p>
    <w:p>
      <w:pPr>
        <w:spacing w:after="0" w:line="215" w:lineRule="auto"/>
        <w:rPr>
          <w:sz w:val="20"/>
          <w:szCs w:val="20"/>
          <w:color w:val="auto"/>
        </w:rPr>
      </w:pPr>
      <w:r>
        <w:rPr>
          <w:rFonts w:ascii="Arial" w:cs="Arial" w:eastAsia="Arial" w:hAnsi="Arial"/>
          <w:sz w:val="17"/>
          <w:szCs w:val="17"/>
          <w:color w:val="auto"/>
        </w:rPr>
        <w:t>such Split Territory Licensed Product that is not specific to either territory, including costs associated therewith. The</w:t>
      </w:r>
    </w:p>
    <w:p>
      <w:pPr>
        <w:spacing w:after="0" w:line="229" w:lineRule="auto"/>
        <w:rPr>
          <w:sz w:val="20"/>
          <w:szCs w:val="20"/>
          <w:color w:val="auto"/>
        </w:rPr>
      </w:pPr>
      <w:r>
        <w:rPr>
          <w:rFonts w:ascii="Arial" w:cs="Arial" w:eastAsia="Arial" w:hAnsi="Arial"/>
          <w:sz w:val="16"/>
          <w:szCs w:val="16"/>
          <w:color w:val="auto"/>
        </w:rPr>
        <w:t>Company is responsible for all commercialization activities relating to Split Territory Licensed Products in the United States,</w:t>
      </w:r>
    </w:p>
    <w:p>
      <w:pPr>
        <w:spacing w:after="0" w:line="229" w:lineRule="auto"/>
        <w:rPr>
          <w:sz w:val="20"/>
          <w:szCs w:val="20"/>
          <w:color w:val="auto"/>
        </w:rPr>
      </w:pPr>
      <w:r>
        <w:rPr>
          <w:rFonts w:ascii="Arial" w:cs="Arial" w:eastAsia="Arial" w:hAnsi="Arial"/>
          <w:sz w:val="16"/>
          <w:szCs w:val="16"/>
          <w:color w:val="auto"/>
        </w:rPr>
        <w:t>including all of the associated costs. Genzyme is responsible for all commercialization activities relating to the Split Territory</w:t>
      </w:r>
    </w:p>
    <w:p>
      <w:pPr>
        <w:spacing w:after="0" w:line="204" w:lineRule="auto"/>
        <w:rPr>
          <w:sz w:val="20"/>
          <w:szCs w:val="20"/>
          <w:color w:val="auto"/>
        </w:rPr>
      </w:pPr>
      <w:r>
        <w:rPr>
          <w:rFonts w:ascii="Arial" w:cs="Arial" w:eastAsia="Arial" w:hAnsi="Arial"/>
          <w:sz w:val="18"/>
          <w:szCs w:val="18"/>
          <w:color w:val="auto"/>
        </w:rPr>
        <w:t>Licensed Products in the rest of the world, including all of the associated costs. If Genzyme exercised its</w:t>
      </w:r>
    </w:p>
    <w:p>
      <w:pPr>
        <w:spacing w:after="0" w:line="176" w:lineRule="exact"/>
        <w:rPr>
          <w:sz w:val="20"/>
          <w:szCs w:val="20"/>
          <w:color w:val="auto"/>
        </w:rPr>
      </w:pPr>
      <w:r>
        <w:rPr>
          <w:rFonts w:ascii="Arial" w:cs="Arial" w:eastAsia="Arial" w:hAnsi="Arial"/>
          <w:sz w:val="17"/>
          <w:szCs w:val="17"/>
          <w:color w:val="auto"/>
        </w:rPr>
        <w:t>co</w:t>
      </w:r>
      <w:r>
        <w:rPr>
          <w:rFonts w:ascii="MS PGothic" w:cs="MS PGothic" w:eastAsia="MS PGothic" w:hAnsi="MS PGothic"/>
          <w:sz w:val="17"/>
          <w:szCs w:val="17"/>
          <w:color w:val="auto"/>
        </w:rPr>
        <w:t>‑</w:t>
      </w:r>
      <w:r>
        <w:rPr>
          <w:rFonts w:ascii="Arial" w:cs="Arial" w:eastAsia="Arial" w:hAnsi="Arial"/>
          <w:sz w:val="17"/>
          <w:szCs w:val="17"/>
          <w:color w:val="auto"/>
        </w:rPr>
        <w:t>commercialization rights, Genzyme will be the lead party responsible for all commercialization activities related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Huntington’s Licensed Product in the United States.</w:t>
      </w:r>
    </w:p>
    <w:p>
      <w:pPr>
        <w:spacing w:after="0" w:line="128" w:lineRule="exact"/>
        <w:rPr>
          <w:sz w:val="20"/>
          <w:szCs w:val="20"/>
          <w:color w:val="auto"/>
        </w:rPr>
      </w:pPr>
    </w:p>
    <w:p>
      <w:pPr>
        <w:ind w:right="320" w:firstLine="648"/>
        <w:spacing w:after="0" w:line="219" w:lineRule="auto"/>
        <w:rPr>
          <w:sz w:val="20"/>
          <w:szCs w:val="20"/>
          <w:color w:val="auto"/>
        </w:rPr>
      </w:pPr>
      <w:r>
        <w:rPr>
          <w:rFonts w:ascii="Arial" w:cs="Arial" w:eastAsia="Arial" w:hAnsi="Arial"/>
          <w:sz w:val="18"/>
          <w:szCs w:val="18"/>
          <w:color w:val="auto"/>
        </w:rPr>
        <w:t>Upon exercise of the option, Genzyme shall have the sole right to develop the Spinal Muscular Atrophy Product worldwide. Genzyme shall be responsible for all of the development costs that occur after the option exercise date for the Spinal Muscular Atrophy Program. Genzyme is also responsible for commercialization activities relating to the Spinal Muscular Atrophy Product worldwide.</w:t>
      </w:r>
    </w:p>
    <w:p>
      <w:pPr>
        <w:spacing w:after="0" w:line="163" w:lineRule="exact"/>
        <w:rPr>
          <w:sz w:val="20"/>
          <w:szCs w:val="20"/>
          <w:color w:val="auto"/>
        </w:rPr>
      </w:pPr>
    </w:p>
    <w:p>
      <w:pPr>
        <w:jc w:val="both"/>
        <w:ind w:right="320" w:firstLine="648"/>
        <w:spacing w:after="0" w:line="235" w:lineRule="auto"/>
        <w:rPr>
          <w:sz w:val="20"/>
          <w:szCs w:val="20"/>
          <w:color w:val="auto"/>
        </w:rPr>
      </w:pPr>
      <w:r>
        <w:rPr>
          <w:rFonts w:ascii="Arial" w:cs="Arial" w:eastAsia="Arial" w:hAnsi="Arial"/>
          <w:sz w:val="16"/>
          <w:szCs w:val="16"/>
          <w:color w:val="auto"/>
        </w:rPr>
        <w:t>Genzyme is required to pay the Company for specified regulatory and commercial milestones, if achieved, up to $645 million across all programs. The regulatory approval milestones are payable upon either regulatory approval in the United States or regulatory and reimbursement approval in the European Union and range from $40.0 million to</w:t>
      </w:r>
    </w:p>
    <w:p>
      <w:pPr>
        <w:spacing w:after="0" w:line="2"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color w:val="auto"/>
        </w:rPr>
        <w:t>$50.0 million per milestone, with an aggregate total of $265 million. The commercial milestones are payable upon achievement of specified annual net sales in each program and range from $50.0 million to $100 million per milestone, with an aggregate total of $380 million.</w:t>
      </w:r>
    </w:p>
    <w:p>
      <w:pPr>
        <w:spacing w:after="0" w:line="163"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In addition, to the extent any Split Territory Licensed Products or the Spinal Muscular Atrophy Licensed Product are commercialized, the Company is entitled to tiered royalty payments ranging from the mid</w:t>
      </w:r>
      <w:r>
        <w:rPr>
          <w:rFonts w:ascii="MS PGothic" w:cs="MS PGothic" w:eastAsia="MS PGothic" w:hAnsi="MS PGothic"/>
          <w:sz w:val="18"/>
          <w:szCs w:val="18"/>
          <w:color w:val="auto"/>
        </w:rPr>
        <w:t>‑</w:t>
      </w:r>
      <w:r>
        <w:rPr>
          <w:rFonts w:ascii="Arial" w:cs="Arial" w:eastAsia="Arial" w:hAnsi="Arial"/>
          <w:sz w:val="18"/>
          <w:szCs w:val="18"/>
          <w:color w:val="auto"/>
        </w:rPr>
        <w:t>single digits to mid</w:t>
      </w:r>
      <w:r>
        <w:rPr>
          <w:rFonts w:ascii="MS PGothic" w:cs="MS PGothic" w:eastAsia="MS PGothic" w:hAnsi="MS PGothic"/>
          <w:sz w:val="18"/>
          <w:szCs w:val="18"/>
          <w:color w:val="auto"/>
        </w:rPr>
        <w:t>‑</w:t>
      </w:r>
      <w:r>
        <w:rPr>
          <w:rFonts w:ascii="Arial" w:cs="Arial" w:eastAsia="Arial" w:hAnsi="Arial"/>
          <w:sz w:val="18"/>
          <w:szCs w:val="18"/>
          <w:color w:val="auto"/>
        </w:rPr>
        <w:t>teens based on a percentage of net sales by Genzyme. Genzyme is entitled to receive tiered royalty payments related to sales of Split Territory Licensed Product ranging from the low</w:t>
      </w:r>
      <w:r>
        <w:rPr>
          <w:rFonts w:ascii="MS PGothic" w:cs="MS PGothic" w:eastAsia="MS PGothic" w:hAnsi="MS PGothic"/>
          <w:sz w:val="18"/>
          <w:szCs w:val="18"/>
          <w:color w:val="auto"/>
        </w:rPr>
        <w:t>‑</w:t>
      </w:r>
      <w:r>
        <w:rPr>
          <w:rFonts w:ascii="Arial" w:cs="Arial" w:eastAsia="Arial" w:hAnsi="Arial"/>
          <w:sz w:val="18"/>
          <w:szCs w:val="18"/>
          <w:color w:val="auto"/>
        </w:rPr>
        <w:t>single digits to mid</w:t>
      </w:r>
      <w:r>
        <w:rPr>
          <w:rFonts w:ascii="MS PGothic" w:cs="MS PGothic" w:eastAsia="MS PGothic" w:hAnsi="MS PGothic"/>
          <w:sz w:val="18"/>
          <w:szCs w:val="18"/>
          <w:color w:val="auto"/>
        </w:rPr>
        <w:t>‑</w:t>
      </w:r>
      <w:r>
        <w:rPr>
          <w:rFonts w:ascii="Arial" w:cs="Arial" w:eastAsia="Arial" w:hAnsi="Arial"/>
          <w:sz w:val="18"/>
          <w:szCs w:val="18"/>
          <w:color w:val="auto"/>
        </w:rPr>
        <w:t>single digits based on a percentage of net sales by the Company depending on whether the Company uses Genzyme technology in the Split Territory Licensed Product. If Genzyme elects to co</w:t>
      </w:r>
      <w:r>
        <w:rPr>
          <w:rFonts w:ascii="MS PGothic" w:cs="MS PGothic" w:eastAsia="MS PGothic" w:hAnsi="MS PGothic"/>
          <w:sz w:val="18"/>
          <w:szCs w:val="18"/>
          <w:color w:val="auto"/>
        </w:rPr>
        <w:t>‑</w:t>
      </w:r>
      <w:r>
        <w:rPr>
          <w:rFonts w:ascii="Arial" w:cs="Arial" w:eastAsia="Arial" w:hAnsi="Arial"/>
          <w:sz w:val="18"/>
          <w:szCs w:val="18"/>
          <w:color w:val="auto"/>
        </w:rPr>
        <w:t>commercialize VY</w:t>
      </w:r>
      <w:r>
        <w:rPr>
          <w:rFonts w:ascii="MS PGothic" w:cs="MS PGothic" w:eastAsia="MS PGothic" w:hAnsi="MS PGothic"/>
          <w:sz w:val="18"/>
          <w:szCs w:val="18"/>
          <w:color w:val="auto"/>
        </w:rPr>
        <w:t>‑</w:t>
      </w:r>
      <w:r>
        <w:rPr>
          <w:rFonts w:ascii="Arial" w:cs="Arial" w:eastAsia="Arial" w:hAnsi="Arial"/>
          <w:sz w:val="18"/>
          <w:szCs w:val="18"/>
          <w:color w:val="auto"/>
        </w:rPr>
        <w:t>HTT01 in the United States, the Company and Genzyme will share in any profits or losses from VY</w:t>
      </w:r>
      <w:r>
        <w:rPr>
          <w:rFonts w:ascii="MS PGothic" w:cs="MS PGothic" w:eastAsia="MS PGothic" w:hAnsi="MS PGothic"/>
          <w:sz w:val="18"/>
          <w:szCs w:val="18"/>
          <w:color w:val="auto"/>
        </w:rPr>
        <w:t>‑</w:t>
      </w:r>
      <w:r>
        <w:rPr>
          <w:rFonts w:ascii="Arial" w:cs="Arial" w:eastAsia="Arial" w:hAnsi="Arial"/>
          <w:sz w:val="18"/>
          <w:szCs w:val="18"/>
          <w:color w:val="auto"/>
        </w:rPr>
        <w:t>HTT01 product sales.</w:t>
      </w:r>
    </w:p>
    <w:p>
      <w:pPr>
        <w:spacing w:after="0" w:line="165"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The Collaboration Agreement will continue in effect until the later of (i) the expiration of the last to expire of the option rights and (ii) the expiration of all payment obligations unless sooner terminated by the Company or Genzyme. The Company and Genzyme have customary termination rights including the right to terminate for an uncured material breach of the agreement committed by the other party and Genzyme has the right to terminate for convenience.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85"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Collaboration Agreement includes the following deliverables: (i) research and development services for each of the Split Territory License Programs and the Spinal Muscular Atrophy Program, (ii) participation in the AJSC,</w:t>
      </w:r>
    </w:p>
    <w:p>
      <w:pPr>
        <w:spacing w:after="0" w:line="1" w:lineRule="exact"/>
        <w:rPr>
          <w:sz w:val="20"/>
          <w:szCs w:val="20"/>
          <w:color w:val="auto"/>
        </w:rPr>
      </w:pPr>
    </w:p>
    <w:p>
      <w:pPr>
        <w:jc w:val="center"/>
        <w:ind w:left="4440" w:right="720" w:hanging="4437"/>
        <w:spacing w:after="0" w:line="713" w:lineRule="auto"/>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participation in the DAC and (iv) the option to obtain a development and commercial license in the Parkinson’s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-207010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Program and related deliverables. The Company has determined that the option to obtain a development and commercial license in the Parkinson’s program is not a substantive option for accounting purposes, primarily because there is no additional option exercise payment payable by Genzyme at the time the option is exercised. Therefore, the option to obtain a license and other obligations of the Company that are contingent upon exercise of the option are considered deliverables at the inception of the arrangement. The options in the other Split Territory Programs and the Spinal Muscular Atrophy Program are considered substantive as there is substantial option exercise payments payable by Genzyme upon exercise. In addition, as a result of the uncertainties related to the discovery, research, development and commercialization activities, the Company is at risk with regard to whether Genzyme will exercise the options. Moreover, the substantive options are not priced at a significant incremental discount. Accordingly, the substantive options are not considered deliverables at the inception of the arrangement and the associated option exercise payments are not included in allocable arrangement consideration. The Company has also determined that any obligations which are contingent upon the exercise of a substantive option are not considered deliverables at the outset of the arrangement, as these deliverables are contingent upon the exercise of the options. In addition, any option exercise payments associated with the substantive options are not included in the allocable arrangement consideration.</w:t>
      </w:r>
    </w:p>
    <w:p>
      <w:pPr>
        <w:spacing w:after="0" w:line="16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6"/>
          <w:szCs w:val="16"/>
          <w:color w:val="auto"/>
        </w:rPr>
        <w:t>The Company has concluded that each of the deliverables identified at the inception of the arrangement has standalone value from the other undelivered elements. Additionally, the Collaboration Agreement does not include return rights related to the initial collaboration term. Accordingly, each deliverable qualifies as a separate unit of accounting.</w:t>
      </w:r>
    </w:p>
    <w:p>
      <w:pPr>
        <w:spacing w:after="0" w:line="147" w:lineRule="exact"/>
        <w:rPr>
          <w:sz w:val="20"/>
          <w:szCs w:val="20"/>
          <w:color w:val="auto"/>
        </w:rPr>
      </w:pPr>
    </w:p>
    <w:p>
      <w:pPr>
        <w:ind w:right="380" w:firstLine="648"/>
        <w:spacing w:after="0" w:line="194" w:lineRule="exact"/>
        <w:rPr>
          <w:sz w:val="20"/>
          <w:szCs w:val="20"/>
          <w:color w:val="auto"/>
        </w:rPr>
      </w:pPr>
      <w:r>
        <w:rPr>
          <w:rFonts w:ascii="Arial" w:cs="Arial" w:eastAsia="Arial" w:hAnsi="Arial"/>
          <w:sz w:val="18"/>
          <w:szCs w:val="18"/>
          <w:color w:val="auto"/>
        </w:rPr>
        <w:t>The Company has identified $79.3 million of allocable arrangement consideration consisting of the $65 million upfront fee, the $5.0 million premium paid in excess of fair value of the Series B Preferred Stock and $9.3 million of Genzyme “in</w:t>
      </w:r>
      <w:r>
        <w:rPr>
          <w:rFonts w:ascii="MS PGothic" w:cs="MS PGothic" w:eastAsia="MS PGothic" w:hAnsi="MS PGothic"/>
          <w:sz w:val="18"/>
          <w:szCs w:val="18"/>
          <w:color w:val="auto"/>
        </w:rPr>
        <w:t>‑</w:t>
      </w:r>
      <w:r>
        <w:rPr>
          <w:rFonts w:ascii="Arial" w:cs="Arial" w:eastAsia="Arial" w:hAnsi="Arial"/>
          <w:sz w:val="18"/>
          <w:szCs w:val="18"/>
          <w:color w:val="auto"/>
        </w:rPr>
        <w:t>kind” and other funding.</w:t>
      </w:r>
    </w:p>
    <w:p>
      <w:pPr>
        <w:spacing w:after="0" w:line="163"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Company has allocated the allocable arrangement consideration based on the relative selling price of each unit of accounting. For all units of accounting, the Company determined the selling price using the best estimate of selling price (“BESP”). The Company determined the BESP for the service related deliverable for the research and development activities based on internal estimates of the costs to perform the services, including expected internal expenses and expenses with third parties for services and supplies, marked up to include a reasonable profit margin and adjusted for the scope of the potential license. Significant inputs used to determine the total expense of the research and development activities include, the length of time required and the number and costs of various studies that will be performed to complete the POP Study. The BESP for the AJSC and DAC have been estimated based on the costs incurred to participate in the committees, marked up to include a reasonable profit margin. The BESP for the license option was determined based on the estimated value of the license and related deliverables adjusted for the estimated probability that the option would be exercised by Genzyme.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Based on the relative selling price allocation, the allocable arrangement consideration was allocated as follows:</w:t>
      </w:r>
    </w:p>
    <w:p>
      <w:pPr>
        <w:sectPr>
          <w:pgSz w:w="11900" w:h="16838" w:orient="portrait"/>
          <w:cols w:equalWidth="0" w:num="1">
            <w:col w:w="9060"/>
          </w:cols>
          <w:pgMar w:left="1420" w:top="112" w:right="141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Unit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7992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Services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4596765" cy="111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Huntington’s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Parkinson’s Program</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Friedreich’s Ataxia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Spinal Muscular Atrophy Program</w:t>
      </w:r>
    </w:p>
    <w:p>
      <w:pPr>
        <w:ind w:left="220"/>
        <w:spacing w:after="0" w:line="216" w:lineRule="auto"/>
        <w:rPr>
          <w:sz w:val="20"/>
          <w:szCs w:val="20"/>
          <w:color w:val="auto"/>
        </w:rPr>
      </w:pPr>
      <w:r>
        <w:rPr>
          <w:rFonts w:ascii="Arial" w:cs="Arial" w:eastAsia="Arial" w:hAnsi="Arial"/>
          <w:sz w:val="18"/>
          <w:szCs w:val="18"/>
          <w:color w:val="auto"/>
        </w:rPr>
        <w:t>Future Program</w:t>
      </w:r>
    </w:p>
    <w:p>
      <w:pPr>
        <w:spacing w:after="0"/>
        <w:rPr>
          <w:sz w:val="20"/>
          <w:szCs w:val="20"/>
          <w:color w:val="auto"/>
        </w:rPr>
      </w:pPr>
      <w:r>
        <w:rPr>
          <w:rFonts w:ascii="Arial" w:cs="Arial" w:eastAsia="Arial" w:hAnsi="Arial"/>
          <w:sz w:val="18"/>
          <w:szCs w:val="18"/>
          <w:color w:val="auto"/>
        </w:rPr>
        <w:t>Committee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4596765" cy="11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AJSC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DAC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License Option and related deliverables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59676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96765" cy="163195"/>
                    </a:xfrm>
                    <a:prstGeom prst="rect">
                      <a:avLst/>
                    </a:prstGeom>
                    <a:noFill/>
                  </pic:spPr>
                </pic:pic>
              </a:graphicData>
            </a:graphic>
          </wp:anchor>
        </w:drawing>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875"/>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43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5" w:lineRule="exact"/>
        <w:rPr>
          <w:sz w:val="20"/>
          <w:szCs w:val="20"/>
          <w:color w:val="auto"/>
        </w:rPr>
      </w:pPr>
    </w:p>
    <w:p>
      <w:pPr>
        <w:jc w:val="center"/>
        <w:ind w:right="1875"/>
        <w:spacing w:after="0"/>
        <w:rPr>
          <w:sz w:val="20"/>
          <w:szCs w:val="20"/>
          <w:color w:val="auto"/>
        </w:rPr>
      </w:pPr>
      <w:r>
        <w:rPr>
          <w:rFonts w:ascii="Arial" w:cs="Arial" w:eastAsia="Arial" w:hAnsi="Arial"/>
          <w:sz w:val="12"/>
          <w:szCs w:val="12"/>
          <w:b w:val="1"/>
          <w:bCs w:val="1"/>
          <w:color w:val="auto"/>
        </w:rPr>
        <w:t>(in thousands)</w:t>
      </w:r>
    </w:p>
    <w:p>
      <w:pPr>
        <w:spacing w:after="0" w:line="184" w:lineRule="exact"/>
        <w:rPr>
          <w:sz w:val="20"/>
          <w:szCs w:val="20"/>
          <w:color w:val="auto"/>
        </w:rPr>
      </w:pPr>
    </w:p>
    <w:p>
      <w:pPr>
        <w:ind w:left="465" w:hanging="465"/>
        <w:spacing w:after="0"/>
        <w:tabs>
          <w:tab w:leader="none" w:pos="465" w:val="left"/>
        </w:tabs>
        <w:numPr>
          <w:ilvl w:val="0"/>
          <w:numId w:val="7"/>
        </w:numPr>
        <w:rPr>
          <w:rFonts w:ascii="Arial" w:cs="Arial" w:eastAsia="Arial" w:hAnsi="Arial"/>
          <w:sz w:val="15"/>
          <w:szCs w:val="15"/>
          <w:color w:val="auto"/>
        </w:rPr>
      </w:pPr>
      <w:r>
        <w:rPr>
          <w:rFonts w:ascii="Arial" w:cs="Arial" w:eastAsia="Arial" w:hAnsi="Arial"/>
          <w:sz w:val="15"/>
          <w:szCs w:val="15"/>
          <w:color w:val="auto"/>
        </w:rPr>
        <w:t>15,662</w:t>
      </w:r>
    </w:p>
    <w:p>
      <w:pPr>
        <w:spacing w:after="0" w:line="59" w:lineRule="exact"/>
        <w:rPr>
          <w:rFonts w:ascii="Arial" w:cs="Arial" w:eastAsia="Arial" w:hAnsi="Arial"/>
          <w:sz w:val="15"/>
          <w:szCs w:val="15"/>
          <w:color w:val="auto"/>
        </w:rPr>
      </w:pPr>
    </w:p>
    <w:p>
      <w:pPr>
        <w:ind w:left="545"/>
        <w:spacing w:after="0"/>
        <w:rPr>
          <w:rFonts w:ascii="Arial" w:cs="Arial" w:eastAsia="Arial" w:hAnsi="Arial"/>
          <w:sz w:val="15"/>
          <w:szCs w:val="15"/>
          <w:color w:val="auto"/>
        </w:rPr>
      </w:pPr>
      <w:r>
        <w:rPr>
          <w:rFonts w:ascii="Arial" w:cs="Arial" w:eastAsia="Arial" w:hAnsi="Arial"/>
          <w:sz w:val="15"/>
          <w:szCs w:val="15"/>
          <w:color w:val="auto"/>
        </w:rPr>
        <w:t>6,648</w:t>
      </w:r>
    </w:p>
    <w:p>
      <w:pPr>
        <w:spacing w:after="0" w:line="42"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16,315</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32,050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2,464</w:t>
      </w:r>
    </w:p>
    <w:p>
      <w:pPr>
        <w:spacing w:after="0" w:line="170"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147</w:t>
      </w:r>
    </w:p>
    <w:p>
      <w:pPr>
        <w:spacing w:after="0" w:line="23"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227</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5,743</w:t>
      </w:r>
    </w:p>
    <w:p>
      <w:pPr>
        <w:spacing w:after="0" w:line="9" w:lineRule="exact"/>
        <w:rPr>
          <w:sz w:val="20"/>
          <w:szCs w:val="20"/>
          <w:color w:val="auto"/>
        </w:rPr>
      </w:pPr>
    </w:p>
    <w:p>
      <w:pPr>
        <w:ind w:left="465" w:hanging="465"/>
        <w:spacing w:after="0"/>
        <w:tabs>
          <w:tab w:leader="none" w:pos="465" w:val="left"/>
        </w:tabs>
        <w:numPr>
          <w:ilvl w:val="0"/>
          <w:numId w:val="8"/>
        </w:numPr>
        <w:rPr>
          <w:rFonts w:ascii="Arial" w:cs="Arial" w:eastAsia="Arial" w:hAnsi="Arial"/>
          <w:sz w:val="15"/>
          <w:szCs w:val="15"/>
          <w:color w:val="auto"/>
        </w:rPr>
      </w:pPr>
      <w:r>
        <w:rPr>
          <w:rFonts w:ascii="Arial" w:cs="Arial" w:eastAsia="Arial" w:hAnsi="Arial"/>
          <w:sz w:val="15"/>
          <w:szCs w:val="15"/>
          <w:color w:val="auto"/>
        </w:rPr>
        <w:t>79,256</w:t>
      </w:r>
    </w:p>
    <w:p>
      <w:pPr>
        <w:spacing w:after="0" w:line="272" w:lineRule="exact"/>
        <w:rPr>
          <w:sz w:val="20"/>
          <w:szCs w:val="20"/>
          <w:color w:val="auto"/>
        </w:rPr>
      </w:pPr>
    </w:p>
    <w:p>
      <w:pPr>
        <w:sectPr>
          <w:pgSz w:w="11900" w:h="16838" w:orient="portrait"/>
          <w:cols w:equalWidth="0" w:num="2">
            <w:col w:w="5455" w:space="720"/>
            <w:col w:w="2885"/>
          </w:cols>
          <w:pgMar w:left="1420" w:top="112" w:right="1419" w:bottom="1440" w:gutter="0" w:footer="0" w:header="0"/>
          <w:type w:val="continuous"/>
        </w:sectPr>
      </w:pPr>
    </w:p>
    <w:p>
      <w:pPr>
        <w:ind w:right="180" w:firstLine="648"/>
        <w:spacing w:after="0" w:line="259" w:lineRule="auto"/>
        <w:rPr>
          <w:sz w:val="20"/>
          <w:szCs w:val="20"/>
          <w:color w:val="auto"/>
        </w:rPr>
      </w:pPr>
      <w:r>
        <w:rPr>
          <w:rFonts w:ascii="Arial" w:cs="Arial" w:eastAsia="Arial" w:hAnsi="Arial"/>
          <w:sz w:val="16"/>
          <w:szCs w:val="16"/>
          <w:color w:val="auto"/>
        </w:rPr>
        <w:t>The Company recognizes the amounts associated with research and development services on a straight line basis over the period of service as there is no discernable pattern or objective measure of performance for the services. Similarly, the Company recognizes the amount associated with the committee obligations on a straight line basis over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period of service consistent with the expected pattern of performance. The amounts allocated to the license option will be deferred until the option is exercised. The revenue recognition upon option exercise will be determined based on whether the license has standalone value from the remaining deliverables at the time of exercise.</w:t>
      </w:r>
    </w:p>
    <w:p>
      <w:pPr>
        <w:spacing w:after="0" w:line="161"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Company has evaluated all of the milestones that may be received in connection with the Split Territory Licensed Product and the Spinal Muscular Atrophy Program Licensed Product.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 performance to achieve the milestone, (ii) the consideration relates solely to past performance and (iii) the consideration is reasonable relative to all of the deliverables and payment terms within the arrangement. All regulatory milestones are considered substantive on the basis of the contingent nature of the milestone, specifically reviewing factors such as the scientific, clinical, regulatory, and other risks that must be overcome to achieve the milestone as well as the level of effort and investment required. Accordingly, such amounts will be recognized as revenue in full in the period in which the associated milestone is achieved, assuming all other revenue recognition criteria are met. All commercial milestones will be accounted for in the same manner as royalties and recorded as revenue upon achievement of the milestone, assuming all other revenue recognition criteria are met.</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During the nine month period ended September 30, 2015, the Company recognized $12,397,000 of revenue associated with its collaboration with Genzyme related to research and development services performed during the period. As of September 30, 2015, there is $59,794,000 of deferred revenue related to the Collaboration Agreement, which is classified as either current or noncurrent in the accompanying balance sheet based on the period the services are expected to be delivered.</w:t>
      </w:r>
    </w:p>
    <w:p>
      <w:pPr>
        <w:spacing w:after="0" w:line="162"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Costs incurred relating to the programs that Genzyme has the option to license under the Collaboration Agreement consist of internal and external research and development costs, which primarily include: salaries and benefits, lab supplies and preclinical research studies. The Company does not separately track or segregate the amount of costs incurred under the Collaboration Agreement. All of these costs are included in research and development expenses in the Company’s statement of operations during the nine months ended September 30, 2015. The Company estimates that the majority of research and development expense during the period relate to programs for which Genzyme has an option right.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Massachusetts (“UMass”) and MassBiologics Collaboration</w:t>
      </w:r>
    </w:p>
    <w:p>
      <w:pPr>
        <w:spacing w:after="0" w:line="189"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In January 2014, UMass and the Company entered into a Collaboration Agreement wherein the Company granted UMass 23,529 shares of common stock, valued at $12,000, which was recorded as research and development expense. This was the only payment made under the Collaboration Agreement until it was amended by the Collaboration Agreement entered into with UMass and MassBiologics in October 2014.</w:t>
      </w:r>
    </w:p>
    <w:p>
      <w:pPr>
        <w:spacing w:after="0" w:line="163"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On October 20, 2014, the Company entered into a Collaboration Agreement with UMass and MassBiologics (of the UMass Medical School).</w:t>
      </w:r>
    </w:p>
    <w:p>
      <w:pPr>
        <w:spacing w:after="0" w:line="162" w:lineRule="exact"/>
        <w:rPr>
          <w:sz w:val="20"/>
          <w:szCs w:val="20"/>
          <w:color w:val="auto"/>
        </w:rPr>
      </w:pPr>
    </w:p>
    <w:p>
      <w:pPr>
        <w:ind w:right="300" w:firstLine="648"/>
        <w:spacing w:after="0" w:line="189" w:lineRule="exact"/>
        <w:rPr>
          <w:sz w:val="20"/>
          <w:szCs w:val="20"/>
          <w:color w:val="auto"/>
        </w:rPr>
      </w:pPr>
      <w:r>
        <w:rPr>
          <w:rFonts w:ascii="Arial" w:cs="Arial" w:eastAsia="Arial" w:hAnsi="Arial"/>
          <w:sz w:val="16"/>
          <w:szCs w:val="16"/>
          <w:color w:val="auto"/>
        </w:rPr>
        <w:t>Under the agreement, the Company shall (i) fund certain projects that will be conducted by UMass or MassBiologics, (ii) fund certain educational programs of UMass, including post</w:t>
      </w:r>
      <w:r>
        <w:rPr>
          <w:rFonts w:ascii="MS PGothic" w:cs="MS PGothic" w:eastAsia="MS PGothic" w:hAnsi="MS PGothic"/>
          <w:sz w:val="16"/>
          <w:szCs w:val="16"/>
          <w:color w:val="auto"/>
        </w:rPr>
        <w:t>‑</w:t>
      </w:r>
      <w:r>
        <w:rPr>
          <w:rFonts w:ascii="Arial" w:cs="Arial" w:eastAsia="Arial" w:hAnsi="Arial"/>
          <w:sz w:val="16"/>
          <w:szCs w:val="16"/>
          <w:color w:val="auto"/>
        </w:rPr>
        <w:t>doctoral research at the Company’s laboratories beginning in 2015, and (iii) collaborate with MassBiologics to establish scalable processes for manufacturing recombinant adeno</w:t>
      </w:r>
      <w:r>
        <w:rPr>
          <w:rFonts w:ascii="MS PGothic" w:cs="MS PGothic" w:eastAsia="MS PGothic" w:hAnsi="MS PGothic"/>
          <w:sz w:val="16"/>
          <w:szCs w:val="16"/>
          <w:color w:val="auto"/>
        </w:rPr>
        <w:t>‑</w:t>
      </w:r>
      <w:r>
        <w:rPr>
          <w:rFonts w:ascii="Arial" w:cs="Arial" w:eastAsia="Arial" w:hAnsi="Arial"/>
          <w:sz w:val="16"/>
          <w:szCs w:val="16"/>
          <w:color w:val="auto"/>
        </w:rPr>
        <w:t>associated viral (“rAAV”) vector products using current good manufacturing practices.</w:t>
      </w:r>
    </w:p>
    <w:p>
      <w:pPr>
        <w:spacing w:after="0" w:line="164"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In November 2014, the parties agreed to the first project under this agreement whereby the Company will fund approximately $2,861,000 over a sixteen month period for certain research and development services performed by MassBiologics. The project commenced in January 2015. If the agreement is terminated for any reason, the Company is obligated to fund the remaining balance of the total price of all work completed and any other out of pocket costs incurred by MassBiologics on behalf of the Company. As of December 31, 2014 and September 30, 2015, the Company had provided cumulative funding of approximately $376,000 and $1,058,000, respectively, which exceeded costs incurred by $376,000 at December 31, 2014 and approximately $701,000 funding was due at September 30, 2015. The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99"/>
        <w:spacing w:after="0" w:line="238" w:lineRule="auto"/>
        <w:rPr>
          <w:sz w:val="20"/>
          <w:szCs w:val="20"/>
          <w:color w:val="auto"/>
        </w:rPr>
      </w:pPr>
      <w:r>
        <w:rPr>
          <w:rFonts w:ascii="Arial" w:cs="Arial" w:eastAsia="Arial" w:hAnsi="Arial"/>
          <w:sz w:val="17"/>
          <w:szCs w:val="17"/>
          <w:color w:val="auto"/>
        </w:rPr>
        <w:t>amount funded in excess of costs incurred is recorded in prepaid expenses as of the balance sheet at December 31, 2014 and recorded in accrued expenses for the amounts due at September 30, 2015. Research and development costs incurred by MassBiologics under the project agreement will be expensed by the Company as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2014 and 2015, the Company entered into various agreements with contract research organizations and</w:t>
      </w:r>
    </w:p>
    <w:p>
      <w:pPr>
        <w:spacing w:after="0" w:line="224" w:lineRule="auto"/>
        <w:rPr>
          <w:sz w:val="20"/>
          <w:szCs w:val="20"/>
          <w:color w:val="auto"/>
        </w:rPr>
      </w:pPr>
      <w:r>
        <w:rPr>
          <w:rFonts w:ascii="Arial" w:cs="Arial" w:eastAsia="Arial" w:hAnsi="Arial"/>
          <w:sz w:val="17"/>
          <w:szCs w:val="17"/>
          <w:color w:val="auto"/>
        </w:rPr>
        <w:t>institutions to license intellectual property. In consideration for the licensed rights the Company generally made upfront</w:t>
      </w:r>
    </w:p>
    <w:p>
      <w:pPr>
        <w:spacing w:after="0" w:line="216" w:lineRule="auto"/>
        <w:rPr>
          <w:sz w:val="20"/>
          <w:szCs w:val="20"/>
          <w:color w:val="auto"/>
        </w:rPr>
      </w:pPr>
      <w:r>
        <w:rPr>
          <w:rFonts w:ascii="Arial" w:cs="Arial" w:eastAsia="Arial" w:hAnsi="Arial"/>
          <w:sz w:val="17"/>
          <w:szCs w:val="17"/>
          <w:color w:val="auto"/>
        </w:rPr>
        <w:t>payments, which were recorded as research and development expense as the acquired technologies were considered</w:t>
      </w:r>
    </w:p>
    <w:p>
      <w:pPr>
        <w:spacing w:after="0" w:line="176" w:lineRule="exact"/>
        <w:rPr>
          <w:sz w:val="20"/>
          <w:szCs w:val="20"/>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process research and development. During the year ended December 31, 2014 and nine months ended September 30, 2014</w:t>
      </w:r>
    </w:p>
    <w:p>
      <w:pPr>
        <w:spacing w:after="0" w:line="176" w:lineRule="exact"/>
        <w:rPr>
          <w:sz w:val="20"/>
          <w:szCs w:val="20"/>
          <w:color w:val="auto"/>
        </w:rPr>
      </w:pPr>
      <w:r>
        <w:rPr>
          <w:rFonts w:ascii="Arial" w:cs="Arial" w:eastAsia="Arial" w:hAnsi="Arial"/>
          <w:sz w:val="16"/>
          <w:szCs w:val="16"/>
          <w:color w:val="auto"/>
        </w:rPr>
        <w:t>and 2015, the Company paid $830,000, $800,000 and $75,000, respectively, in up</w:t>
      </w:r>
      <w:r>
        <w:rPr>
          <w:rFonts w:ascii="MS PGothic" w:cs="MS PGothic" w:eastAsia="MS PGothic" w:hAnsi="MS PGothic"/>
          <w:sz w:val="16"/>
          <w:szCs w:val="16"/>
          <w:color w:val="auto"/>
        </w:rPr>
        <w:t>‑</w:t>
      </w:r>
      <w:r>
        <w:rPr>
          <w:rFonts w:ascii="Arial" w:cs="Arial" w:eastAsia="Arial" w:hAnsi="Arial"/>
          <w:sz w:val="16"/>
          <w:szCs w:val="16"/>
          <w:color w:val="auto"/>
        </w:rPr>
        <w:t>front license fees. The license agreements</w:t>
      </w:r>
    </w:p>
    <w:p>
      <w:pPr>
        <w:spacing w:after="0" w:line="216" w:lineRule="auto"/>
        <w:rPr>
          <w:sz w:val="20"/>
          <w:szCs w:val="20"/>
          <w:color w:val="auto"/>
        </w:rPr>
      </w:pPr>
      <w:r>
        <w:rPr>
          <w:rFonts w:ascii="Arial" w:cs="Arial" w:eastAsia="Arial" w:hAnsi="Arial"/>
          <w:sz w:val="17"/>
          <w:szCs w:val="17"/>
          <w:color w:val="auto"/>
        </w:rPr>
        <w:t>also obligate the Company to make additional payments that are contingent upon specific clinical trial and regulatory</w:t>
      </w:r>
    </w:p>
    <w:p>
      <w:pPr>
        <w:spacing w:after="0" w:line="215" w:lineRule="auto"/>
        <w:rPr>
          <w:sz w:val="20"/>
          <w:szCs w:val="20"/>
          <w:color w:val="auto"/>
        </w:rPr>
      </w:pPr>
      <w:r>
        <w:rPr>
          <w:rFonts w:ascii="Arial" w:cs="Arial" w:eastAsia="Arial" w:hAnsi="Arial"/>
          <w:sz w:val="17"/>
          <w:szCs w:val="17"/>
          <w:color w:val="auto"/>
        </w:rPr>
        <w:t>approval milestones being achieved as well as royalties on future product sales. The agreements to license intellectual</w:t>
      </w:r>
    </w:p>
    <w:p>
      <w:pPr>
        <w:spacing w:after="0" w:line="216" w:lineRule="auto"/>
        <w:rPr>
          <w:sz w:val="20"/>
          <w:szCs w:val="20"/>
          <w:color w:val="auto"/>
        </w:rPr>
      </w:pPr>
      <w:r>
        <w:rPr>
          <w:rFonts w:ascii="Arial" w:cs="Arial" w:eastAsia="Arial" w:hAnsi="Arial"/>
          <w:sz w:val="17"/>
          <w:szCs w:val="17"/>
          <w:color w:val="auto"/>
        </w:rPr>
        <w:t>property include potential milestone payments that are dependent upon the development of products licensed under the</w:t>
      </w:r>
    </w:p>
    <w:p>
      <w:pPr>
        <w:spacing w:after="0" w:line="229" w:lineRule="auto"/>
        <w:rPr>
          <w:sz w:val="20"/>
          <w:szCs w:val="20"/>
          <w:color w:val="auto"/>
        </w:rPr>
      </w:pPr>
      <w:r>
        <w:rPr>
          <w:rFonts w:ascii="Arial" w:cs="Arial" w:eastAsia="Arial" w:hAnsi="Arial"/>
          <w:sz w:val="16"/>
          <w:szCs w:val="16"/>
          <w:color w:val="auto"/>
        </w:rPr>
        <w:t>agreements and contingent upon the achievement of clinical trial or regulatory approval milestones. The maximum aggregate</w:t>
      </w:r>
    </w:p>
    <w:p>
      <w:pPr>
        <w:spacing w:after="0" w:line="229" w:lineRule="auto"/>
        <w:rPr>
          <w:sz w:val="20"/>
          <w:szCs w:val="20"/>
          <w:color w:val="auto"/>
        </w:rPr>
      </w:pPr>
      <w:r>
        <w:rPr>
          <w:rFonts w:ascii="Arial" w:cs="Arial" w:eastAsia="Arial" w:hAnsi="Arial"/>
          <w:sz w:val="16"/>
          <w:szCs w:val="16"/>
          <w:color w:val="auto"/>
        </w:rPr>
        <w:t>potential milestone payments payable by the Company total approximately $12.0 million. Additionally, under the terms of</w:t>
      </w:r>
    </w:p>
    <w:p>
      <w:pPr>
        <w:spacing w:after="0" w:line="229" w:lineRule="auto"/>
        <w:rPr>
          <w:sz w:val="20"/>
          <w:szCs w:val="20"/>
          <w:color w:val="auto"/>
        </w:rPr>
      </w:pPr>
      <w:r>
        <w:rPr>
          <w:rFonts w:ascii="Arial" w:cs="Arial" w:eastAsia="Arial" w:hAnsi="Arial"/>
          <w:sz w:val="16"/>
          <w:szCs w:val="16"/>
          <w:color w:val="auto"/>
        </w:rPr>
        <w:t>one agreement, the Company has options to license intellectual property to be used in the development of therapies for four</w:t>
      </w:r>
    </w:p>
    <w:p>
      <w:pPr>
        <w:spacing w:after="0" w:line="229" w:lineRule="auto"/>
        <w:rPr>
          <w:sz w:val="20"/>
          <w:szCs w:val="20"/>
          <w:color w:val="auto"/>
        </w:rPr>
      </w:pPr>
      <w:r>
        <w:rPr>
          <w:rFonts w:ascii="Arial" w:cs="Arial" w:eastAsia="Arial" w:hAnsi="Arial"/>
          <w:sz w:val="16"/>
          <w:szCs w:val="16"/>
          <w:color w:val="auto"/>
        </w:rPr>
        <w:t>additional disease indications. If the Company exercises all of the options under the agreement, it would be obligated to pay</w:t>
      </w:r>
    </w:p>
    <w:p>
      <w:pPr>
        <w:spacing w:after="0" w:line="176" w:lineRule="exact"/>
        <w:rPr>
          <w:sz w:val="20"/>
          <w:szCs w:val="20"/>
          <w:color w:val="auto"/>
        </w:rPr>
      </w:pPr>
      <w:r>
        <w:rPr>
          <w:rFonts w:ascii="Arial" w:cs="Arial" w:eastAsia="Arial" w:hAnsi="Arial"/>
          <w:sz w:val="16"/>
          <w:szCs w:val="16"/>
          <w:color w:val="auto"/>
        </w:rPr>
        <w:t>aggregate up</w:t>
      </w:r>
      <w:r>
        <w:rPr>
          <w:rFonts w:ascii="MS PGothic" w:cs="MS PGothic" w:eastAsia="MS PGothic" w:hAnsi="MS PGothic"/>
          <w:sz w:val="16"/>
          <w:szCs w:val="16"/>
          <w:color w:val="auto"/>
        </w:rPr>
        <w:t>‑</w:t>
      </w:r>
      <w:r>
        <w:rPr>
          <w:rFonts w:ascii="Arial" w:cs="Arial" w:eastAsia="Arial" w:hAnsi="Arial"/>
          <w:sz w:val="16"/>
          <w:szCs w:val="16"/>
          <w:color w:val="auto"/>
        </w:rPr>
        <w:t>front fees of up to approximately $1.5 million and milestone payments that are contingent upon clinical trial</w:t>
      </w:r>
    </w:p>
    <w:p>
      <w:pPr>
        <w:spacing w:after="0" w:line="215" w:lineRule="auto"/>
        <w:rPr>
          <w:sz w:val="20"/>
          <w:szCs w:val="20"/>
          <w:color w:val="auto"/>
        </w:rPr>
      </w:pPr>
      <w:r>
        <w:rPr>
          <w:rFonts w:ascii="Arial" w:cs="Arial" w:eastAsia="Arial" w:hAnsi="Arial"/>
          <w:sz w:val="17"/>
          <w:szCs w:val="17"/>
          <w:color w:val="auto"/>
        </w:rPr>
        <w:t>results and regulatory approval of $5.0 million per disease indication, or up to $20.0 million in total. As of December 31,</w:t>
      </w:r>
    </w:p>
    <w:p>
      <w:pPr>
        <w:spacing w:after="0" w:line="229" w:lineRule="auto"/>
        <w:rPr>
          <w:sz w:val="20"/>
          <w:szCs w:val="20"/>
          <w:color w:val="auto"/>
        </w:rPr>
      </w:pPr>
      <w:r>
        <w:rPr>
          <w:rFonts w:ascii="Arial" w:cs="Arial" w:eastAsia="Arial" w:hAnsi="Arial"/>
          <w:sz w:val="16"/>
          <w:szCs w:val="16"/>
          <w:color w:val="auto"/>
        </w:rPr>
        <w:t>2014 and September 30, 2015, there have been no milestones achieved. The Company can generally terminate the license</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agreements upon 30</w:t>
      </w:r>
      <w:r>
        <w:rPr>
          <w:rFonts w:ascii="MS PGothic" w:cs="MS PGothic" w:eastAsia="MS PGothic" w:hAnsi="MS PGothic"/>
          <w:sz w:val="18"/>
          <w:szCs w:val="18"/>
          <w:color w:val="auto"/>
        </w:rPr>
        <w:t>‑</w:t>
      </w:r>
      <w:r>
        <w:rPr>
          <w:rFonts w:ascii="Arial" w:cs="Arial" w:eastAsia="Arial" w:hAnsi="Arial"/>
          <w:sz w:val="18"/>
          <w:szCs w:val="18"/>
          <w:color w:val="auto"/>
        </w:rPr>
        <w:t>90 days prior written notice.</w:t>
      </w:r>
    </w:p>
    <w:p>
      <w:pPr>
        <w:spacing w:after="0" w:line="169" w:lineRule="exact"/>
        <w:rPr>
          <w:sz w:val="20"/>
          <w:szCs w:val="20"/>
          <w:color w:val="auto"/>
        </w:rPr>
      </w:pPr>
    </w:p>
    <w:p>
      <w:pPr>
        <w:ind w:right="39" w:firstLine="648"/>
        <w:spacing w:after="0" w:line="232" w:lineRule="auto"/>
        <w:rPr>
          <w:sz w:val="20"/>
          <w:szCs w:val="20"/>
          <w:color w:val="auto"/>
        </w:rPr>
      </w:pPr>
      <w:r>
        <w:rPr>
          <w:rFonts w:ascii="Arial" w:cs="Arial" w:eastAsia="Arial" w:hAnsi="Arial"/>
          <w:sz w:val="17"/>
          <w:szCs w:val="17"/>
          <w:color w:val="auto"/>
        </w:rPr>
        <w:t>Additionally, certain license agreements require the Company to reimburse the licensor for certain past and ongoing patent related expenses. During the year ended December 31, 2014 and the nine months ended September 30, 2014 and September 30, 2015, the Company incurred $839,000, $740,000 and $131,000 of expense, respectively, related to these reimbursable patent costs which are recorded as general and administrative expense.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ind w:right="199" w:firstLine="648"/>
        <w:spacing w:after="0" w:line="235"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as of December 31, 2014 or September 30,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89" w:lineRule="exact"/>
        <w:rPr>
          <w:sz w:val="20"/>
          <w:szCs w:val="20"/>
          <w:color w:val="auto"/>
        </w:rPr>
      </w:pPr>
    </w:p>
    <w:p>
      <w:pPr>
        <w:ind w:right="59" w:firstLine="648"/>
        <w:spacing w:after="0" w:line="219" w:lineRule="auto"/>
        <w:rPr>
          <w:sz w:val="20"/>
          <w:szCs w:val="20"/>
          <w:color w:val="auto"/>
        </w:rPr>
      </w:pPr>
      <w:r>
        <w:rPr>
          <w:rFonts w:ascii="Arial" w:cs="Arial" w:eastAsia="Arial" w:hAnsi="Arial"/>
          <w:sz w:val="18"/>
          <w:szCs w:val="18"/>
          <w:color w:val="auto"/>
        </w:rPr>
        <w:t>The Company’s redeemable convertible preferred stock (“Preferred Stock”) has been classified as temporary equity on the accompanying balance sheets instead of in stockholders’ deficit in accordance with authoritative guidance for the classification and measurement of redeemable securities as the redeemable convertible preferred stock is redeemable at the option of the holder after the redemption date, February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Stock</w:t>
      </w:r>
    </w:p>
    <w:p>
      <w:pPr>
        <w:spacing w:after="0" w:line="185" w:lineRule="exact"/>
        <w:rPr>
          <w:sz w:val="20"/>
          <w:szCs w:val="20"/>
          <w:color w:val="auto"/>
        </w:rPr>
      </w:pPr>
    </w:p>
    <w:p>
      <w:pPr>
        <w:ind w:right="159" w:firstLine="648"/>
        <w:spacing w:after="0" w:line="229" w:lineRule="auto"/>
        <w:rPr>
          <w:sz w:val="20"/>
          <w:szCs w:val="20"/>
          <w:color w:val="auto"/>
        </w:rPr>
      </w:pPr>
      <w:r>
        <w:rPr>
          <w:rFonts w:ascii="Arial" w:cs="Arial" w:eastAsia="Arial" w:hAnsi="Arial"/>
          <w:sz w:val="17"/>
          <w:szCs w:val="17"/>
          <w:color w:val="auto"/>
        </w:rPr>
        <w:t>At September 30, 2015, 45,000,000 shares of Series A Preferred Stock were authorized, issued and outstanding. These shares were issued at various closings in 2014 and 2015 for $1.00 per share. The shares were issued in exchange for cash proceeds of $42,039,000, net of issuance costs of $32,000, and the exchange of outstanding redeemable Convertible Notes, including accrued interest, of approximately $2,929,000. The Series A Preferred Stock have a liquidation preference amount of $48,621,000 at September 30,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Tranche Rights Issued with Series A Preferred Stock</w:t>
      </w:r>
    </w:p>
    <w:p>
      <w:pPr>
        <w:spacing w:after="0" w:line="185" w:lineRule="exact"/>
        <w:rPr>
          <w:sz w:val="20"/>
          <w:szCs w:val="20"/>
          <w:color w:val="auto"/>
        </w:rPr>
      </w:pPr>
    </w:p>
    <w:p>
      <w:pPr>
        <w:ind w:right="139" w:firstLine="648"/>
        <w:spacing w:after="0" w:line="249" w:lineRule="auto"/>
        <w:rPr>
          <w:sz w:val="20"/>
          <w:szCs w:val="20"/>
          <w:color w:val="auto"/>
        </w:rPr>
      </w:pPr>
      <w:r>
        <w:rPr>
          <w:rFonts w:ascii="Arial" w:cs="Arial" w:eastAsia="Arial" w:hAnsi="Arial"/>
          <w:sz w:val="16"/>
          <w:szCs w:val="16"/>
          <w:color w:val="auto"/>
        </w:rPr>
        <w:t>Included in the terms of the January 2014 Series A Preferred Stock Purchase Agreement were certain rights (“Tranche Rights”) granted to the investors of Series A Preferred Stock purchased in January 2014, including the holders of the redeemable Convertible Notes who exchanged the redeemable Convertible Notes. The Tranche Rights obligated the investors in Series A Preferred Stock to purchase and the Company to sell an additional 18,500,000 shares of</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185" w:lineRule="exact"/>
        <w:rPr>
          <w:sz w:val="20"/>
          <w:szCs w:val="20"/>
          <w:color w:val="auto"/>
        </w:rPr>
      </w:pPr>
      <w:r>
        <w:rPr>
          <w:rFonts w:ascii="Arial" w:cs="Arial" w:eastAsia="Arial" w:hAnsi="Arial"/>
          <w:sz w:val="17"/>
          <w:szCs w:val="17"/>
          <w:color w:val="auto"/>
        </w:rPr>
        <w:t>Series A Preferred Stock at $1.00 per share contingent upon successful near term in</w:t>
      </w:r>
      <w:r>
        <w:rPr>
          <w:rFonts w:ascii="MS PGothic" w:cs="MS PGothic" w:eastAsia="MS PGothic" w:hAnsi="MS PGothic"/>
          <w:sz w:val="17"/>
          <w:szCs w:val="17"/>
          <w:color w:val="auto"/>
        </w:rPr>
        <w:t>‑</w:t>
      </w:r>
      <w:r>
        <w:rPr>
          <w:rFonts w:ascii="Arial" w:cs="Arial" w:eastAsia="Arial" w:hAnsi="Arial"/>
          <w:sz w:val="17"/>
          <w:szCs w:val="17"/>
          <w:color w:val="auto"/>
        </w:rPr>
        <w:t>licensing and progress on initial experiments and research and development planning (“Tranche Right I”). In addition, the investors are obligated to purchase and the Company is obligated to sell an additional 20,000,000 shares of Series A Preferred Stock upon the development of project engine and achievement of certain clinical milestones (“Tranche Right II”). In addition, the Tranche Rights allowed the investors the ability to purchase the additional shares at their option at any time. The Tranche Rights were transferrable by the investors, subject to approval by the Board.</w:t>
      </w:r>
    </w:p>
    <w:p>
      <w:pPr>
        <w:spacing w:after="0" w:line="165"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The Company has concluded the Tranche Rights meet the definition of a freestanding financial instrument, as the Tranche Rights are legally detachable and separately exercisable from the Series A Preferred Stock. Therefore, the Company has allocated the proceeds between the Tranche Rights and the Series A Preferred Stock. As the Series A Preferred Stock is redeemable at the holder’s option, the Tranche Rights are classified as an asset or liability and are initially recorded at fair value. The Tranche Rights are measured at fair value at each reporting period. Since the Tranche Rights are subject to fair value accounting, the Company allocated the proceeds to the Tranche Rights based on the fair value at the date of issuance with the remaining proceeds being allocated to the Series A Preferred Stock. The estimated fair value of the Tranche Rights was determined using a probability</w:t>
      </w:r>
      <w:r>
        <w:rPr>
          <w:rFonts w:ascii="MS PGothic" w:cs="MS PGothic" w:eastAsia="MS PGothic" w:hAnsi="MS PGothic"/>
          <w:sz w:val="16"/>
          <w:szCs w:val="16"/>
          <w:color w:val="auto"/>
        </w:rPr>
        <w:t>‑</w:t>
      </w:r>
      <w:r>
        <w:rPr>
          <w:rFonts w:ascii="Arial" w:cs="Arial" w:eastAsia="Arial" w:hAnsi="Arial"/>
          <w:sz w:val="16"/>
          <w:szCs w:val="16"/>
          <w:color w:val="auto"/>
        </w:rPr>
        <w:t>weighted present value model that considers the probability of closing a tranche, the estimated future value of Series A Preferred Stock each closing, and the investment required at each closing. Future values are converted to present value using a discount rate appropriate for probability</w:t>
      </w:r>
      <w:r>
        <w:rPr>
          <w:rFonts w:ascii="MS PGothic" w:cs="MS PGothic" w:eastAsia="MS PGothic" w:hAnsi="MS PGothic"/>
          <w:sz w:val="16"/>
          <w:szCs w:val="16"/>
          <w:color w:val="auto"/>
        </w:rPr>
        <w:t>‑</w:t>
      </w:r>
      <w:r>
        <w:rPr>
          <w:rFonts w:ascii="Arial" w:cs="Arial" w:eastAsia="Arial" w:hAnsi="Arial"/>
          <w:sz w:val="16"/>
          <w:szCs w:val="16"/>
          <w:color w:val="auto"/>
        </w:rPr>
        <w:t>adjusted cash flows.</w:t>
      </w:r>
    </w:p>
    <w:p>
      <w:pPr>
        <w:spacing w:after="0" w:line="163"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The following table summarizes the initial value of the Tranche Rights included in the Series A Preferred Stock Purchase Agreement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Fair Value of</w:t>
            </w:r>
          </w:p>
        </w:tc>
      </w:tr>
      <w:tr>
        <w:trPr>
          <w:trHeight w:val="176"/>
        </w:trPr>
        <w:tc>
          <w:tcPr>
            <w:tcW w:w="4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6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7"/>
              </w:rPr>
              <w:t>Tranche Right</w:t>
            </w:r>
          </w:p>
        </w:tc>
      </w:tr>
      <w:tr>
        <w:trPr>
          <w:trHeight w:val="171"/>
        </w:trPr>
        <w:tc>
          <w:tcPr>
            <w:tcW w:w="426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Asset (Liability)</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Tranche Right I</w:t>
            </w:r>
          </w:p>
        </w:tc>
        <w:tc>
          <w:tcPr>
            <w:tcW w:w="20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1,495</w:t>
            </w:r>
          </w:p>
        </w:tc>
      </w:tr>
      <w:tr>
        <w:trPr>
          <w:trHeight w:val="216"/>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Tranche Right II</w:t>
            </w: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w:t>
            </w:r>
          </w:p>
        </w:tc>
      </w:tr>
      <w:tr>
        <w:trPr>
          <w:trHeight w:val="21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value of Tranche Rights</w:t>
            </w:r>
          </w:p>
        </w:tc>
        <w:tc>
          <w:tcPr>
            <w:tcW w:w="20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7"/>
        </w:trPr>
        <w:tc>
          <w:tcPr>
            <w:tcW w:w="42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r>
    </w:tbl>
    <w:p>
      <w:pPr>
        <w:spacing w:after="0" w:line="188"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Tranche Right I was initially recorded as an asset of $1,495,000 as the purchase price of the additional shares was greater than the estimated value of the Series A Preferred Stock at the expected settlement date. The Company issued 18,500,000 additional shares under Tranche Right I, in three separate closings during the year ended December 31, 2014 with total proceeds of $18,491,000, net of issuance costs. Prior to each closing, any change in the value of Tranche Right I was recorded as other financing expense. The fair value of the portion of the Tranche Right I settled at each closing was reclassified to Series A Preferred Stock. The Company recognized income of $261,000 related to the mark to market of Tranche Right I during the year ended December 31, 2014, which is included in other financing expense.</w:t>
      </w:r>
    </w:p>
    <w:p>
      <w:pPr>
        <w:spacing w:after="0" w:line="163"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Tranche Right II was initially recorded as a liability of $4,095,000 as the purchase price of the additional shares was less than the estimated price of the Series A Preferred Stock at the expected settlement date. The Company recognized expense of $2,210,000 related to the mark to market of Tranche Right II during the year ended December 31, 2014, which is included in other financing expense.</w:t>
      </w:r>
    </w:p>
    <w:p>
      <w:pPr>
        <w:spacing w:after="0" w:line="163" w:lineRule="exact"/>
        <w:rPr>
          <w:sz w:val="20"/>
          <w:szCs w:val="20"/>
          <w:color w:val="auto"/>
        </w:rPr>
      </w:pPr>
    </w:p>
    <w:p>
      <w:pPr>
        <w:ind w:right="80" w:firstLine="648"/>
        <w:spacing w:after="0" w:line="211" w:lineRule="auto"/>
        <w:rPr>
          <w:sz w:val="20"/>
          <w:szCs w:val="20"/>
          <w:color w:val="auto"/>
        </w:rPr>
      </w:pPr>
      <w:r>
        <w:rPr>
          <w:rFonts w:ascii="Arial" w:cs="Arial" w:eastAsia="Arial" w:hAnsi="Arial"/>
          <w:sz w:val="18"/>
          <w:szCs w:val="18"/>
          <w:color w:val="auto"/>
        </w:rPr>
        <w:t>In February 2015, Tranche Right II was settled when the Company closed the final issuance of Series A Preferred Stock. The Company recognized expense of $9,750,000 related to the mark to market of Tranche Right II during the period ended September 30, 2015, which is included in other financing expense. The fair value of the Tranche Right II settled at closing was reclassified to Series A Preferred Stock. The initial carrying amount of the Series A Preferred Stock issued upon the closing of Tranche Right II amounted to approximately $36,054,000 which exceeds the redemption value, therefore the carrying value is not being subsequently adjusted. However, the Company has reflected accrued dividends of approximately $1,039,000 related to this issuance in the net loss attributable to common shareholders for the nine months ended September 30, 2015.</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Stock</w:t>
      </w:r>
    </w:p>
    <w:p>
      <w:pPr>
        <w:spacing w:after="0" w:line="185"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At September 30, 2015, 30,000,001 shares of Series B Preferred Stock were authorized, issued and outstanding. These shares were issued for $3.00 per share. This issuance resulted in cash proceeds of $89,780,000, net of issuance costs of $220,000. Additionally, a discount of $5,000,000 was recorded against the proceeds as the amount paid by Genzyme was in excess of fair value of the Series B Preferred Stock at issuance. The Series B Preferred Stock has a liquidation preference amount of $93,827,000.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preferences, and privileges of the Preferred Stock are listed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85"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Shares of Preferred Stock are convertible at any time at the option of the holder into such number of shares as is determined by dividing the original issuance price by the conversion price in effect at the time. As of September 30, 2015, the conversion price was $4.25 for Series A Preferred Stock and $12.75 for Series B Preferred Stock, subject to adjustments to reflect the issuance of Common Stock, options, warrants, or other rights to subscribe for or to purchase Common Stock for a consideration per share, less than the conversion price then in effect and subsequent stock dividends and stock splits. In addition any reorganization, recapitalization, reclassification, consolidation or merger in which common stock is exchanged for securities, cash or other property.</w:t>
      </w:r>
    </w:p>
    <w:p>
      <w:pPr>
        <w:spacing w:after="0" w:line="162" w:lineRule="exact"/>
        <w:rPr>
          <w:sz w:val="20"/>
          <w:szCs w:val="20"/>
          <w:color w:val="auto"/>
        </w:rPr>
      </w:pPr>
    </w:p>
    <w:p>
      <w:pPr>
        <w:jc w:val="both"/>
        <w:ind w:right="620" w:firstLine="648"/>
        <w:spacing w:after="0" w:line="224" w:lineRule="auto"/>
        <w:rPr>
          <w:sz w:val="20"/>
          <w:szCs w:val="20"/>
          <w:color w:val="auto"/>
        </w:rPr>
      </w:pPr>
      <w:r>
        <w:rPr>
          <w:rFonts w:ascii="Arial" w:cs="Arial" w:eastAsia="Arial" w:hAnsi="Arial"/>
          <w:sz w:val="18"/>
          <w:szCs w:val="18"/>
          <w:color w:val="auto"/>
        </w:rPr>
        <w:t>All outstanding shares of Preferred Stock are automatically converted upon the completion of either an IPO resulting in gross proceeds to the Company of at least $50.0 million or the vote or written consent of 67% of the then outstanding shares of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Holders of Preferred Stock are entitled to receive, before any cash is paid out or set aside for any Common Stock, cash dividends at a rate of 8% of the original purchase price per share annually (the “Accruing Dividends”). The dividends accrue cumulatively on a daily basis and are payable only when, and if, declared by the Board of Directors or upon liquidation or redemption.</w:t>
      </w:r>
    </w:p>
    <w:p>
      <w:pPr>
        <w:spacing w:after="0" w:line="163"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addition, the holders of Preferred Stock are entitled to additional dividends based on dividends declared to common stockholders, thereby giving the preferred stockholders the right to participate in undistributed earnings of the Company above the stated per share dividend rate. The preferred stockholders do not have a contractual obligation to share in the losses of the Company</w:t>
      </w:r>
    </w:p>
    <w:p>
      <w:pPr>
        <w:spacing w:after="0" w:line="163"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No dividends have been declared since the Company’s inception. Aggregate cumulative preferred dividends on Preferred Stock at September 30, 2015 were $7,448,000.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85"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The Preferred Stock is redeemable at the option of the holder after the redemption date of February 2021. The redemption value of the Preferred Stock is equal to $3.00 per share for Series B Preferred Stock and $1.00 per share for Series A Preferred Stock plus any accrued but unpaid dividends. Accordingly, the Preferred Stock is being accreted to redemption value through its redemption date, including accruals for cumulative dividend rights. If the initial carrying value exceeds the redemption value the carrying value is not adjusted.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85" w:lineRule="exact"/>
        <w:rPr>
          <w:sz w:val="20"/>
          <w:szCs w:val="20"/>
          <w:color w:val="auto"/>
        </w:rPr>
      </w:pPr>
    </w:p>
    <w:p>
      <w:pPr>
        <w:ind w:right="40" w:firstLine="648"/>
        <w:spacing w:after="0" w:line="194" w:lineRule="exact"/>
        <w:rPr>
          <w:sz w:val="20"/>
          <w:szCs w:val="20"/>
          <w:color w:val="auto"/>
        </w:rPr>
      </w:pPr>
      <w:r>
        <w:rPr>
          <w:rFonts w:ascii="Arial" w:cs="Arial" w:eastAsia="Arial" w:hAnsi="Arial"/>
          <w:sz w:val="16"/>
          <w:szCs w:val="16"/>
          <w:color w:val="auto"/>
        </w:rPr>
        <w:t>Holders of Series B Preferred Stock and Series A Preferred Stock have preference to the assets of the Company in the event of any voluntary or involuntary liquidation, dissolution or winding</w:t>
      </w:r>
      <w:r>
        <w:rPr>
          <w:rFonts w:ascii="MS PGothic" w:cs="MS PGothic" w:eastAsia="MS PGothic" w:hAnsi="MS PGothic"/>
          <w:sz w:val="16"/>
          <w:szCs w:val="16"/>
          <w:color w:val="auto"/>
        </w:rPr>
        <w:t>‑</w:t>
      </w:r>
      <w:r>
        <w:rPr>
          <w:rFonts w:ascii="Arial" w:cs="Arial" w:eastAsia="Arial" w:hAnsi="Arial"/>
          <w:sz w:val="16"/>
          <w:szCs w:val="16"/>
          <w:color w:val="auto"/>
        </w:rPr>
        <w:t>up of the Company, equal to $3.00 per share for Series B Preferred Stock and $1.00 per share for Series A Preferred Stock, plus any accrued but unpaid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dividends, whether or not declared, plus any dividends declared but unpaid thereon, on a pari passu basis. After the payment of the preference amounts to the holders of Series B Preferred Stock and Series A Preferred Stock, the remaining assets of the Company are to be distributed among the holders of Series A Preferred Stock and holders of Common Stock on a pro rata basis. However, if the aggregate amount which the holders of Series A Preferred Stock would be entitled to receive exceeds $2.50 per share (subject to appropriate adjustment in the event of any stock dividend, stock split, combination, reclassification or other similar event) (the “Maximum Participant Amount”), each holder of Series A Preferred Stock will receive the greater of the Maximum Participant Amount or the amount such holder would have received if all shares of Series A Preferred Stock had been converted into Common Stock immediately prior to such liquidation.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85" w:lineRule="exact"/>
        <w:rPr>
          <w:sz w:val="20"/>
          <w:szCs w:val="20"/>
          <w:color w:val="auto"/>
        </w:rPr>
      </w:pPr>
    </w:p>
    <w:p>
      <w:pPr>
        <w:ind w:right="20" w:firstLine="648"/>
        <w:spacing w:after="0" w:line="187" w:lineRule="exact"/>
        <w:rPr>
          <w:sz w:val="20"/>
          <w:szCs w:val="20"/>
          <w:color w:val="auto"/>
        </w:rPr>
      </w:pPr>
      <w:r>
        <w:rPr>
          <w:rFonts w:ascii="Arial" w:cs="Arial" w:eastAsia="Arial" w:hAnsi="Arial"/>
          <w:sz w:val="16"/>
          <w:szCs w:val="16"/>
          <w:color w:val="auto"/>
        </w:rPr>
        <w:t>Holders of Series A Preferred Stock and Series B Preferred Stock are entitled to vote as a single class with the holders of Common Stock on all matters submitted for vote to the Stockholders of the Company. The holders of Preferred Stock are entitled to one vote for each equivalent common share on an as</w:t>
      </w:r>
      <w:r>
        <w:rPr>
          <w:rFonts w:ascii="MS PGothic" w:cs="MS PGothic" w:eastAsia="MS PGothic" w:hAnsi="MS PGothic"/>
          <w:sz w:val="16"/>
          <w:szCs w:val="16"/>
          <w:color w:val="auto"/>
        </w:rPr>
        <w:t>‑</w:t>
      </w:r>
      <w:r>
        <w:rPr>
          <w:rFonts w:ascii="Arial" w:cs="Arial" w:eastAsia="Arial" w:hAnsi="Arial"/>
          <w:sz w:val="16"/>
          <w:szCs w:val="16"/>
          <w:color w:val="auto"/>
        </w:rPr>
        <w:t>converted basis. In addition, the holders of Series A Preferred Stock are entitled to elect two (2) directors. The remaining directors shall be elected by the holders of Common Stock voting together with the holders of the Series B Preferred Stock as one class on an as</w:t>
      </w:r>
      <w:r>
        <w:rPr>
          <w:rFonts w:ascii="MS PGothic" w:cs="MS PGothic" w:eastAsia="MS PGothic" w:hAnsi="MS PGothic"/>
          <w:sz w:val="16"/>
          <w:szCs w:val="16"/>
          <w:color w:val="auto"/>
        </w:rPr>
        <w:t>‑</w:t>
      </w:r>
      <w:r>
        <w:rPr>
          <w:rFonts w:ascii="Arial" w:cs="Arial" w:eastAsia="Arial" w:hAnsi="Arial"/>
          <w:sz w:val="16"/>
          <w:szCs w:val="16"/>
          <w:color w:val="auto"/>
        </w:rPr>
        <w:t>converted basis.</w:t>
      </w:r>
    </w:p>
    <w:p>
      <w:pPr>
        <w:spacing w:after="0" w:line="162"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The holders of Series A Preferred Stock and Series B Preferred Stock have certain protective rights as defined. These protective rights require the Required Vote before action can be taken to (i) increase or decrease the number of shares of Series A Preferred Stock or Series B Preferred Stock that the Company has authority to issue, (ii) change the par value of the Series A Preferred Stock or Series B Preferred Stock, (iii) amend the Certificate of Incorporation in any way that adversely affects the holders of the Series A Preferred Stock or Series B Preferred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89"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As of December 31, 2014, and September 30, 2015, the Company had authorized 65,000,000 and 95,000,000 shares of Common Stock, respectively at $0.001 par value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The voting, dividend and liquidation rights of the holders of the Common Stock are subject to and qualified by the rights, powers and preferences of the holders of Preferred Stock. The Common Stock has the following characteristics: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85" w:lineRule="exact"/>
        <w:rPr>
          <w:sz w:val="20"/>
          <w:szCs w:val="20"/>
          <w:color w:val="auto"/>
        </w:rPr>
      </w:pPr>
    </w:p>
    <w:p>
      <w:pPr>
        <w:ind w:right="640" w:firstLine="648"/>
        <w:spacing w:after="0" w:line="235"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ind w:right="400" w:firstLine="648"/>
        <w:spacing w:after="0" w:line="219" w:lineRule="auto"/>
        <w:rPr>
          <w:sz w:val="20"/>
          <w:szCs w:val="20"/>
          <w:color w:val="auto"/>
        </w:rPr>
      </w:pPr>
      <w:r>
        <w:rPr>
          <w:rFonts w:ascii="Arial" w:cs="Arial" w:eastAsia="Arial" w:hAnsi="Arial"/>
          <w:sz w:val="18"/>
          <w:szCs w:val="18"/>
          <w:color w:val="auto"/>
        </w:rPr>
        <w:t>The holders of shares of Common Stock are entitled to receive dividends, if and when declared by the Board of Directors. Cash dividends may not be declared or paid to holders of shares of Common Stock until all accrued unpaid dividends on Series A Preferred Stock and Series B Preferred Stock have been paid in accordance with their terms. No dividends have been declared or paid by the Company since its inception.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85"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After payment to of their respective liquidation preferences to the holders of shares of Series A Preferred Stock and Series B Preferred Stock, 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394"/>
              <w:spacing w:after="0"/>
              <w:rPr>
                <w:sz w:val="20"/>
                <w:szCs w:val="20"/>
                <w:color w:val="auto"/>
              </w:rPr>
            </w:pPr>
            <w:r>
              <w:rPr>
                <w:rFonts w:ascii="Arial" w:cs="Arial" w:eastAsia="Arial" w:hAnsi="Arial"/>
                <w:sz w:val="14"/>
                <w:szCs w:val="14"/>
                <w:b w:val="1"/>
                <w:bCs w:val="1"/>
                <w:color w:val="auto"/>
              </w:rPr>
              <w:t>As of</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September 30, 2015</w:t>
            </w:r>
          </w:p>
        </w:tc>
        <w:tc>
          <w:tcPr>
            <w:tcW w:w="138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10,588,235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5,882,352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Shares reserved for future issuances of Series A Preferred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4,705,883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reserved for Series B Preferred Stock outstanding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7,058,819</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6200" w:type="dxa"/>
            <w:vAlign w:val="bottom"/>
            <w:gridSpan w:val="2"/>
          </w:tcPr>
          <w:p>
            <w:pPr>
              <w:spacing w:after="0" w:line="149" w:lineRule="exact"/>
              <w:rPr>
                <w:sz w:val="20"/>
                <w:szCs w:val="20"/>
                <w:color w:val="auto"/>
              </w:rPr>
            </w:pPr>
            <w:r>
              <w:rPr>
                <w:rFonts w:ascii="Arial" w:cs="Arial" w:eastAsia="Arial" w:hAnsi="Arial"/>
                <w:sz w:val="17"/>
                <w:szCs w:val="17"/>
                <w:color w:val="auto"/>
              </w:rPr>
              <w:t>Shares reserved for vesting of restricted stock awards under the Founder</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889,715</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1,068,383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Agreements</w:t>
            </w:r>
          </w:p>
        </w:tc>
        <w:tc>
          <w:tcPr>
            <w:tcW w:w="128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20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Shares reserved for vesting of restricted stock awards under the 2014 Option and</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1,123,425</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1,510,434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Plan</w:t>
            </w:r>
          </w:p>
        </w:tc>
        <w:tc>
          <w:tcPr>
            <w:tcW w:w="1280" w:type="dxa"/>
            <w:vAlign w:val="bottom"/>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Shares reserved for exercise of stock options</w:t>
            </w:r>
          </w:p>
        </w:tc>
        <w:tc>
          <w:tcPr>
            <w:tcW w:w="1280" w:type="dxa"/>
            <w:vAlign w:val="bottom"/>
          </w:tcPr>
          <w:p>
            <w:pPr>
              <w:jc w:val="right"/>
              <w:spacing w:after="0"/>
              <w:rPr>
                <w:sz w:val="20"/>
                <w:szCs w:val="20"/>
                <w:color w:val="auto"/>
              </w:rPr>
            </w:pPr>
            <w:r>
              <w:rPr>
                <w:rFonts w:ascii="Arial" w:cs="Arial" w:eastAsia="Arial" w:hAnsi="Arial"/>
                <w:sz w:val="18"/>
                <w:szCs w:val="18"/>
                <w:color w:val="auto"/>
              </w:rPr>
              <w:t>852,249</w:t>
            </w: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reserved for issuances under the 2014 Stock Option and Grant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291,052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20,604,977</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13,458,104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10.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Option and Grant Plan</w:t>
      </w:r>
    </w:p>
    <w:p>
      <w:pPr>
        <w:spacing w:after="0" w:line="104"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In January 2014 the Company adopted the Voyager Therapeutics, Inc. 2014 Stock Option and Grant Plan (the “2014 Plan”), under which it may grant incentive stock options,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options, restricted stock awards, unrestricted stock awards, or restricted stock units to purchase up to 823,529 shares of Common Stock to employees, officers, directors and consultants of the Company.</w:t>
      </w:r>
    </w:p>
    <w:p>
      <w:pPr>
        <w:spacing w:after="0" w:line="9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In April 2014 the Company amended the Plan to allow for the issuance of up to 1,411,764 shares of Common Stock. In August 2014, April 2015 and August 2015 the Company further amended the Plan to allow for the issuance of up to 2,000,000, 2,047,058 and 2,669,411 shares of Common Stock, respectively. During the year ended December 31, 2014, the Company issued only restricted stock awards under the Plan and during the nine months ended September 30, 2015 the Company only granted stock options.</w:t>
      </w:r>
    </w:p>
    <w:p>
      <w:pPr>
        <w:spacing w:after="0" w:line="95"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8"/>
          <w:szCs w:val="18"/>
          <w:color w:val="auto"/>
        </w:rPr>
        <w:t>The terms of stock awards agreements, including vesting requirements, are determined by the Board of Directors and are subject to the provisions of the 2014 Plan. Restricted Stock awards granted by the Company generally vest based on each grantee’s continued service with the Company during a specified period following grant. Awards granted to employees generally vest over four years, with 25% vesting on the one year anniversary and 75% vesting ratably, on a monthly basis, over the remaining three years. Awards granted to non</w:t>
      </w:r>
      <w:r>
        <w:rPr>
          <w:rFonts w:ascii="MS PGothic" w:cs="MS PGothic" w:eastAsia="MS PGothic" w:hAnsi="MS PGothic"/>
          <w:sz w:val="18"/>
          <w:szCs w:val="18"/>
          <w:color w:val="auto"/>
        </w:rPr>
        <w:t>‑</w:t>
      </w:r>
      <w:r>
        <w:rPr>
          <w:rFonts w:ascii="Arial" w:cs="Arial" w:eastAsia="Arial" w:hAnsi="Arial"/>
          <w:sz w:val="18"/>
          <w:szCs w:val="18"/>
          <w:color w:val="auto"/>
        </w:rPr>
        <w:t>employee consultants generally vest monthly over a period of one to four years.</w:t>
      </w:r>
    </w:p>
    <w:p>
      <w:pPr>
        <w:spacing w:after="0" w:line="81" w:lineRule="exact"/>
        <w:rPr>
          <w:sz w:val="20"/>
          <w:szCs w:val="20"/>
          <w:color w:val="auto"/>
        </w:rPr>
      </w:pPr>
    </w:p>
    <w:p>
      <w:pPr>
        <w:ind w:right="240" w:firstLine="648"/>
        <w:spacing w:after="0" w:line="187" w:lineRule="exact"/>
        <w:rPr>
          <w:sz w:val="20"/>
          <w:szCs w:val="20"/>
          <w:color w:val="auto"/>
        </w:rPr>
      </w:pPr>
      <w:r>
        <w:rPr>
          <w:rFonts w:ascii="Arial" w:cs="Arial" w:eastAsia="Arial" w:hAnsi="Arial"/>
          <w:sz w:val="18"/>
          <w:szCs w:val="18"/>
          <w:color w:val="auto"/>
        </w:rPr>
        <w:t>During the year ended December 31, 2014, the Company granted a total of 1,597,988 shares of restricted stock to employees and 110,960 shares of restricted stock to non</w:t>
      </w:r>
      <w:r>
        <w:rPr>
          <w:rFonts w:ascii="MS PGothic" w:cs="MS PGothic" w:eastAsia="MS PGothic" w:hAnsi="MS PGothic"/>
          <w:sz w:val="18"/>
          <w:szCs w:val="18"/>
          <w:color w:val="auto"/>
        </w:rPr>
        <w:t>‑</w:t>
      </w:r>
      <w:r>
        <w:rPr>
          <w:rFonts w:ascii="Arial" w:cs="Arial" w:eastAsia="Arial" w:hAnsi="Arial"/>
          <w:sz w:val="18"/>
          <w:szCs w:val="18"/>
          <w:color w:val="auto"/>
        </w:rPr>
        <w:t>employee consultants at an original issuance price of $0.04 per share. During the nine months ended September 30, 2015 the Company issued 794,309 stock options to employees and directors and 60,382 stock options to non</w:t>
      </w:r>
      <w:r>
        <w:rPr>
          <w:rFonts w:ascii="MS PGothic" w:cs="MS PGothic" w:eastAsia="MS PGothic" w:hAnsi="MS PGothic"/>
          <w:sz w:val="18"/>
          <w:szCs w:val="18"/>
          <w:color w:val="auto"/>
        </w:rPr>
        <w:t>‑</w:t>
      </w:r>
      <w:r>
        <w:rPr>
          <w:rFonts w:ascii="Arial" w:cs="Arial" w:eastAsia="Arial" w:hAnsi="Arial"/>
          <w:sz w:val="18"/>
          <w:szCs w:val="18"/>
          <w:color w:val="auto"/>
        </w:rPr>
        <w:t>employees. As of September 30, 2015, there were 92,534 shares available for future issuance under the 2014 Plan.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Awards</w:t>
      </w:r>
    </w:p>
    <w:p>
      <w:pPr>
        <w:spacing w:after="0" w:line="117" w:lineRule="exact"/>
        <w:rPr>
          <w:sz w:val="20"/>
          <w:szCs w:val="20"/>
          <w:color w:val="auto"/>
        </w:rPr>
      </w:pPr>
    </w:p>
    <w:p>
      <w:pPr>
        <w:ind w:right="160" w:firstLine="648"/>
        <w:spacing w:after="0" w:line="241" w:lineRule="auto"/>
        <w:rPr>
          <w:sz w:val="20"/>
          <w:szCs w:val="20"/>
          <w:color w:val="auto"/>
        </w:rPr>
      </w:pPr>
      <w:r>
        <w:rPr>
          <w:rFonts w:ascii="Arial" w:cs="Arial" w:eastAsia="Arial" w:hAnsi="Arial"/>
          <w:sz w:val="16"/>
          <w:szCs w:val="16"/>
          <w:color w:val="auto"/>
        </w:rPr>
        <w:t>In January 2014 the Company issued 1,188,233 shares of restricted stock to its Founders at an original issuance price of $0.0425 per share. Of the total restricted shares awarded to the Founders, 835,292 shares generally vest over one to four years, based on each Founder’s continued service to the Company in varying capacity as a Scientific Advisory Board member, consultant, director, officer or employee, as set forth in each grantee’s individual restricted stock purchase agreement. The remaining 352,941 of the shares issued will begin vesting upon the achievement of certain performance objectives as well as continued service to the Company, as set forth in the agreements.</w:t>
      </w:r>
    </w:p>
    <w:p>
      <w:pPr>
        <w:spacing w:after="0" w:line="80" w:lineRule="exact"/>
        <w:rPr>
          <w:sz w:val="20"/>
          <w:szCs w:val="20"/>
          <w:color w:val="auto"/>
        </w:rPr>
      </w:pPr>
    </w:p>
    <w:p>
      <w:pPr>
        <w:ind w:right="320" w:firstLine="648"/>
        <w:spacing w:after="0" w:line="194" w:lineRule="exact"/>
        <w:rPr>
          <w:sz w:val="20"/>
          <w:szCs w:val="20"/>
          <w:color w:val="auto"/>
        </w:rPr>
      </w:pPr>
      <w:r>
        <w:rPr>
          <w:rFonts w:ascii="Arial" w:cs="Arial" w:eastAsia="Arial" w:hAnsi="Arial"/>
          <w:sz w:val="16"/>
          <w:szCs w:val="16"/>
          <w:color w:val="auto"/>
        </w:rPr>
        <w:t>These performance conditions are tied to certain milestone events specific to the Company’s corporate goals, including but not limited to preclinical and clinical development milestones related to the Company’s product candidates.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associated with these performance</w:t>
      </w:r>
      <w:r>
        <w:rPr>
          <w:rFonts w:ascii="MS PGothic" w:cs="MS PGothic" w:eastAsia="MS PGothic" w:hAnsi="MS PGothic"/>
          <w:sz w:val="16"/>
          <w:szCs w:val="16"/>
          <w:color w:val="auto"/>
        </w:rPr>
        <w:t>‑</w:t>
      </w:r>
      <w:r>
        <w:rPr>
          <w:rFonts w:ascii="Arial" w:cs="Arial" w:eastAsia="Arial" w:hAnsi="Arial"/>
          <w:sz w:val="16"/>
          <w:szCs w:val="16"/>
          <w:color w:val="auto"/>
        </w:rPr>
        <w:t>based awards will be recognized when the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189" w:lineRule="exact"/>
        <w:rPr>
          <w:sz w:val="20"/>
          <w:szCs w:val="20"/>
          <w:color w:val="auto"/>
        </w:rPr>
      </w:pPr>
      <w:r>
        <w:rPr>
          <w:rFonts w:ascii="Arial" w:cs="Arial" w:eastAsia="Arial" w:hAnsi="Arial"/>
          <w:sz w:val="18"/>
          <w:szCs w:val="18"/>
          <w:color w:val="auto"/>
        </w:rPr>
        <w:t>achievement of the performance condition is considered probable, using management’s best estimates. As of December 31, 2014 and September 30, 2015, management has concluded that achievement of such performance</w:t>
      </w:r>
      <w:r>
        <w:rPr>
          <w:rFonts w:ascii="MS PGothic" w:cs="MS PGothic" w:eastAsia="MS PGothic" w:hAnsi="MS PGothic"/>
          <w:sz w:val="18"/>
          <w:szCs w:val="18"/>
          <w:color w:val="auto"/>
        </w:rPr>
        <w:t>‑</w:t>
      </w:r>
      <w:r>
        <w:rPr>
          <w:rFonts w:ascii="Arial" w:cs="Arial" w:eastAsia="Arial" w:hAnsi="Arial"/>
          <w:sz w:val="18"/>
          <w:szCs w:val="18"/>
          <w:color w:val="auto"/>
        </w:rPr>
        <w:t>based milestones was not probable. Accordingly, no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was recorded as of December 31, 2014 and September 30, 2015 related to these awards.</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85" w:lineRule="exact"/>
        <w:rPr>
          <w:sz w:val="20"/>
          <w:szCs w:val="20"/>
          <w:color w:val="auto"/>
        </w:rPr>
      </w:pPr>
    </w:p>
    <w:p>
      <w:pPr>
        <w:ind w:right="300" w:firstLine="648"/>
        <w:spacing w:after="0" w:line="203" w:lineRule="exact"/>
        <w:rPr>
          <w:sz w:val="20"/>
          <w:szCs w:val="20"/>
          <w:color w:val="auto"/>
        </w:rPr>
      </w:pPr>
      <w:r>
        <w:rPr>
          <w:rFonts w:ascii="Arial" w:cs="Arial" w:eastAsia="Arial" w:hAnsi="Arial"/>
          <w:sz w:val="18"/>
          <w:szCs w:val="18"/>
          <w:color w:val="auto"/>
        </w:rPr>
        <w:t>Total compensation cost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statements of operations and comprehensive loss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96"/>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08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69"/>
        </w:trPr>
        <w:tc>
          <w:tcPr>
            <w:tcW w:w="3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w:t>
            </w:r>
          </w:p>
        </w:tc>
        <w:tc>
          <w:tcPr>
            <w:tcW w:w="1000" w:type="dxa"/>
            <w:vAlign w:val="bottom"/>
            <w:shd w:val="clear" w:color="auto" w:fill="CCEEFF"/>
          </w:tcPr>
          <w:p>
            <w:pPr>
              <w:jc w:val="center"/>
              <w:ind w:right="6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tcPr>
          <w:p>
            <w:pPr>
              <w:spacing w:after="0"/>
              <w:rPr>
                <w:sz w:val="18"/>
                <w:szCs w:val="18"/>
                <w:color w:val="auto"/>
              </w:rPr>
            </w:pPr>
          </w:p>
        </w:tc>
      </w:tr>
      <w:tr>
        <w:trPr>
          <w:trHeight w:val="210"/>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stock-compensation expense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w:t>
            </w:r>
          </w:p>
        </w:tc>
        <w:tc>
          <w:tcPr>
            <w:tcW w:w="1000" w:type="dxa"/>
            <w:vAlign w:val="bottom"/>
            <w:shd w:val="clear" w:color="auto" w:fill="CCEEFF"/>
          </w:tcPr>
          <w:p>
            <w:pPr>
              <w:jc w:val="center"/>
              <w:ind w:right="6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r>
      <w:tr>
        <w:trPr>
          <w:trHeight w:val="27"/>
        </w:trPr>
        <w:tc>
          <w:tcPr>
            <w:tcW w:w="3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status of and changes in unvested restricted stock as of December 31, 2014 and September 30,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2015 was as follows:</w:t>
      </w:r>
    </w:p>
    <w:p>
      <w:pPr>
        <w:sectPr>
          <w:pgSz w:w="11900" w:h="16838" w:orient="portrait"/>
          <w:cols w:equalWidth="0" w:num="1">
            <w:col w:w="9060"/>
          </w:cols>
          <w:pgMar w:left="1420" w:top="1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500"/>
        <w:spacing w:after="0" w:line="237" w:lineRule="auto"/>
        <w:rPr>
          <w:sz w:val="20"/>
          <w:szCs w:val="20"/>
          <w:color w:val="auto"/>
        </w:rPr>
      </w:pPr>
      <w:r>
        <w:rPr>
          <w:rFonts w:ascii="Arial" w:cs="Arial" w:eastAsia="Arial" w:hAnsi="Arial"/>
          <w:sz w:val="18"/>
          <w:szCs w:val="18"/>
          <w:b w:val="1"/>
          <w:bCs w:val="1"/>
          <w:color w:val="auto"/>
        </w:rPr>
        <w:t xml:space="preserve">Unvested restricted common stock as of December 31, 2014 </w:t>
      </w:r>
      <w:r>
        <w:rPr>
          <w:rFonts w:ascii="Arial" w:cs="Arial" w:eastAsia="Arial" w:hAnsi="Arial"/>
          <w:sz w:val="18"/>
          <w:szCs w:val="18"/>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575437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575437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Unvested restricted common stock as of September 30, 2015</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r>
      <w:tr>
        <w:trPr>
          <w:trHeight w:val="176"/>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Average</w:t>
            </w:r>
          </w:p>
        </w:tc>
      </w:tr>
      <w:tr>
        <w:trPr>
          <w:trHeight w:val="176"/>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97"/>
              </w:rPr>
              <w:t>Grant Date</w:t>
            </w:r>
          </w:p>
        </w:tc>
      </w:tr>
      <w:tr>
        <w:trPr>
          <w:trHeight w:val="176"/>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r>
      <w:tr>
        <w:trPr>
          <w:trHeight w:val="171"/>
        </w:trPr>
        <w:tc>
          <w:tcPr>
            <w:tcW w:w="9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Per Share</w:t>
            </w:r>
          </w:p>
        </w:tc>
      </w:tr>
      <w:tr>
        <w:trPr>
          <w:trHeight w:val="183"/>
        </w:trPr>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2,578,817</w:t>
            </w:r>
          </w:p>
        </w:tc>
        <w:tc>
          <w:tcPr>
            <w:tcW w:w="3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0.77</w:t>
            </w:r>
          </w:p>
        </w:tc>
      </w:tr>
      <w:tr>
        <w:trPr>
          <w:trHeight w:val="188"/>
        </w:trPr>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(553,605)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30"/>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17"/>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2,013,140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0.77</w:t>
            </w:r>
          </w:p>
        </w:tc>
      </w:tr>
    </w:tbl>
    <w:p>
      <w:pPr>
        <w:spacing w:after="0" w:line="188" w:lineRule="exact"/>
        <w:rPr>
          <w:sz w:val="20"/>
          <w:szCs w:val="20"/>
          <w:color w:val="auto"/>
        </w:rPr>
      </w:pPr>
    </w:p>
    <w:p>
      <w:pPr>
        <w:sectPr>
          <w:pgSz w:w="11900" w:h="16838" w:orient="portrait"/>
          <w:cols w:equalWidth="0" w:num="2">
            <w:col w:w="6040" w:space="720"/>
            <w:col w:w="2300"/>
          </w:cols>
          <w:pgMar w:left="1420" w:top="111" w:right="1419" w:bottom="1440" w:gutter="0" w:footer="0" w:header="0"/>
          <w:type w:val="continuous"/>
        </w:sectPr>
      </w:pPr>
    </w:p>
    <w:p>
      <w:pPr>
        <w:ind w:right="20" w:firstLine="648"/>
        <w:spacing w:after="0" w:line="194" w:lineRule="exact"/>
        <w:rPr>
          <w:sz w:val="20"/>
          <w:szCs w:val="20"/>
          <w:color w:val="auto"/>
        </w:rPr>
      </w:pPr>
      <w:r>
        <w:rPr>
          <w:rFonts w:ascii="Arial" w:cs="Arial" w:eastAsia="Arial" w:hAnsi="Arial"/>
          <w:sz w:val="17"/>
          <w:szCs w:val="17"/>
          <w:color w:val="auto"/>
        </w:rPr>
        <w:t>The expense related to awards granted to employees and non</w:t>
      </w:r>
      <w:r>
        <w:rPr>
          <w:rFonts w:ascii="MS PGothic" w:cs="MS PGothic" w:eastAsia="MS PGothic" w:hAnsi="MS PGothic"/>
          <w:sz w:val="17"/>
          <w:szCs w:val="17"/>
          <w:color w:val="auto"/>
        </w:rPr>
        <w:t>‑</w:t>
      </w:r>
      <w:r>
        <w:rPr>
          <w:rFonts w:ascii="Arial" w:cs="Arial" w:eastAsia="Arial" w:hAnsi="Arial"/>
          <w:sz w:val="17"/>
          <w:szCs w:val="17"/>
          <w:color w:val="auto"/>
        </w:rPr>
        <w:t>employees was $134,000 and $457,000, respectively, for the three months ended September 30, 2015. The expense related to awards granted to employees and non</w:t>
      </w:r>
      <w:r>
        <w:rPr>
          <w:rFonts w:ascii="MS PGothic" w:cs="MS PGothic" w:eastAsia="MS PGothic" w:hAnsi="MS PGothic"/>
          <w:sz w:val="17"/>
          <w:szCs w:val="17"/>
          <w:color w:val="auto"/>
        </w:rPr>
        <w:t>‑</w:t>
      </w:r>
      <w:r>
        <w:rPr>
          <w:rFonts w:ascii="Arial" w:cs="Arial" w:eastAsia="Arial" w:hAnsi="Arial"/>
          <w:sz w:val="17"/>
          <w:szCs w:val="17"/>
          <w:color w:val="auto"/>
        </w:rPr>
        <w:t>employees was $325,000 and $1,119,000, respectively, for the nine months ended September 30, 2015.</w:t>
      </w:r>
    </w:p>
    <w:p>
      <w:pPr>
        <w:spacing w:after="0" w:line="161" w:lineRule="exact"/>
        <w:rPr>
          <w:sz w:val="20"/>
          <w:szCs w:val="20"/>
          <w:color w:val="auto"/>
        </w:rPr>
      </w:pPr>
    </w:p>
    <w:p>
      <w:pPr>
        <w:ind w:right="340" w:firstLine="648"/>
        <w:spacing w:after="0" w:line="194" w:lineRule="exact"/>
        <w:rPr>
          <w:sz w:val="20"/>
          <w:szCs w:val="20"/>
          <w:color w:val="auto"/>
        </w:rPr>
      </w:pPr>
      <w:r>
        <w:rPr>
          <w:rFonts w:ascii="Arial" w:cs="Arial" w:eastAsia="Arial" w:hAnsi="Arial"/>
          <w:sz w:val="18"/>
          <w:szCs w:val="18"/>
          <w:color w:val="auto"/>
        </w:rPr>
        <w:t>As of September 30, 2015, the Company had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its unvested restricted stock awards of $5,064,000, which is expected to be recognized over the remaining weighted average vesting period of 2.39 years.</w:t>
      </w:r>
    </w:p>
    <w:p>
      <w:pPr>
        <w:spacing w:after="0" w:line="163"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The aggregate fair value of restricted stock awards vested during the year ended December 31, 2014 and the nine months ended September 30, 2015, based on estimated fair values of the stock underlying the restricted stock awards on the day of vesting, was $253,000 and $2,658,000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status of, and changes in, stock options as of December 31, 2014 and September 30, 2015 was 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r>
      <w:tr>
        <w:trPr>
          <w:trHeight w:val="176"/>
        </w:trPr>
        <w:tc>
          <w:tcPr>
            <w:tcW w:w="5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Intrinsic</w:t>
            </w:r>
          </w:p>
        </w:tc>
      </w:tr>
      <w:tr>
        <w:trPr>
          <w:trHeight w:val="176"/>
        </w:trPr>
        <w:tc>
          <w:tcPr>
            <w:tcW w:w="5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r>
      <w:tr>
        <w:trPr>
          <w:trHeight w:val="171"/>
        </w:trPr>
        <w:tc>
          <w:tcPr>
            <w:tcW w:w="5360" w:type="dxa"/>
            <w:vAlign w:val="bottom"/>
          </w:tcPr>
          <w:p>
            <w:pPr>
              <w:spacing w:after="0"/>
              <w:rPr>
                <w:sz w:val="14"/>
                <w:szCs w:val="14"/>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169"/>
        </w:trPr>
        <w:tc>
          <w:tcPr>
            <w:tcW w:w="53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2014</w:t>
            </w: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854,691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Cancelled or forfeited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7.27</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30"/>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852,249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10"/>
        </w:trPr>
        <w:tc>
          <w:tcPr>
            <w:tcW w:w="53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at September 30, 2015</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71,238</w:t>
            </w:r>
          </w:p>
        </w:tc>
        <w:tc>
          <w:tcPr>
            <w:tcW w:w="240" w:type="dxa"/>
            <w:vAlign w:val="bottom"/>
            <w:tcBorders>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7.35</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9.6</w:t>
            </w:r>
          </w:p>
        </w:tc>
        <w:tc>
          <w:tcPr>
            <w:tcW w:w="260" w:type="dxa"/>
            <w:vAlign w:val="bottom"/>
            <w:tcBorders>
              <w:bottom w:val="single" w:sz="8" w:color="CCEEFF"/>
            </w:tcBorders>
            <w:gridSpan w:val="2"/>
          </w:tcPr>
          <w:p>
            <w:pPr>
              <w:ind w:left="14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151</w:t>
            </w:r>
          </w:p>
        </w:tc>
        <w:tc>
          <w:tcPr>
            <w:tcW w:w="40" w:type="dxa"/>
            <w:vAlign w:val="bottom"/>
            <w:tcBorders>
              <w:bottom w:val="single" w:sz="8" w:color="CCEEFF"/>
            </w:tcBorders>
          </w:tcPr>
          <w:p>
            <w:pPr>
              <w:spacing w:after="0"/>
              <w:rPr>
                <w:sz w:val="18"/>
                <w:szCs w:val="18"/>
                <w:color w:val="auto"/>
              </w:rPr>
            </w:pPr>
          </w:p>
        </w:tc>
      </w:tr>
      <w:tr>
        <w:trPr>
          <w:trHeight w:val="22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2015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852,249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188"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weighted average fair value of options granted to employees and directors during the three and nine months ended September 30, 2015 was $5.66 and $5.39, respectively, and the weighted average fair value to non-employees was $6.90 and $6.23, respectively. The expense related to awards granted to employees and directors was $215,000 and $352,000, for the three and nine months ended September 30, 2015, respectively. There were no stock options granted during the period and year ended December 31, 2014.</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of each option issued to employees and directors was estimated at the date of grant using the</w:t>
      </w:r>
    </w:p>
    <w:p>
      <w:pPr>
        <w:spacing w:after="0" w:line="207" w:lineRule="exact"/>
        <w:rPr>
          <w:sz w:val="20"/>
          <w:szCs w:val="20"/>
          <w:color w:val="auto"/>
        </w:rPr>
      </w:pPr>
      <w:r>
        <w:rPr>
          <w:rFonts w:ascii="Arial" w:cs="Arial" w:eastAsia="Arial" w:hAnsi="Arial"/>
          <w:sz w:val="18"/>
          <w:szCs w:val="18"/>
          <w:color w:val="auto"/>
        </w:rPr>
        <w:t>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5"/>
                <w:szCs w:val="15"/>
                <w:color w:val="auto"/>
              </w:rPr>
            </w:pPr>
          </w:p>
        </w:tc>
      </w:tr>
      <w:tr>
        <w:trPr>
          <w:trHeight w:val="171"/>
        </w:trPr>
        <w:tc>
          <w:tcPr>
            <w:tcW w:w="61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September 30, 2015</w:t>
            </w:r>
          </w:p>
        </w:tc>
        <w:tc>
          <w:tcPr>
            <w:tcW w:w="1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 2015</w:t>
            </w:r>
          </w:p>
        </w:tc>
        <w:tc>
          <w:tcPr>
            <w:tcW w:w="160" w:type="dxa"/>
            <w:vAlign w:val="bottom"/>
            <w:tcBorders>
              <w:bottom w:val="single" w:sz="8" w:color="CCEEFF"/>
            </w:tcBorders>
          </w:tcPr>
          <w:p>
            <w:pPr>
              <w:spacing w:after="0"/>
              <w:rPr>
                <w:sz w:val="14"/>
                <w:szCs w:val="14"/>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176"/>
        </w:trPr>
        <w:tc>
          <w:tcPr>
            <w:tcW w:w="616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3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Expected volatility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78.4 %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78.6 %</w:t>
            </w:r>
          </w:p>
        </w:tc>
      </w:tr>
    </w:tbl>
    <w:p>
      <w:pPr>
        <w:spacing w:after="0" w:line="161"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weighted average fair value of options granted to non</w:t>
      </w:r>
      <w:r>
        <w:rPr>
          <w:rFonts w:ascii="MS PGothic" w:cs="MS PGothic" w:eastAsia="MS PGothic" w:hAnsi="MS PGothic"/>
          <w:sz w:val="16"/>
          <w:szCs w:val="16"/>
          <w:color w:val="auto"/>
        </w:rPr>
        <w:t>‑</w:t>
      </w:r>
      <w:r>
        <w:rPr>
          <w:rFonts w:ascii="Arial" w:cs="Arial" w:eastAsia="Arial" w:hAnsi="Arial"/>
          <w:sz w:val="16"/>
          <w:szCs w:val="16"/>
          <w:color w:val="auto"/>
        </w:rPr>
        <w:t>employees</w:t>
      </w:r>
    </w:p>
    <w:p>
      <w:pPr>
        <w:spacing w:after="0" w:line="184" w:lineRule="exact"/>
        <w:rPr>
          <w:sz w:val="20"/>
          <w:szCs w:val="20"/>
          <w:color w:val="auto"/>
        </w:rPr>
      </w:pPr>
      <w:r>
        <w:rPr>
          <w:rFonts w:ascii="Arial" w:cs="Arial" w:eastAsia="Arial" w:hAnsi="Arial"/>
          <w:sz w:val="16"/>
          <w:szCs w:val="16"/>
          <w:color w:val="auto"/>
        </w:rPr>
        <w:t>during the nine months ended September 30, 2015 was $6.23. Unvested options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are revalued at</w:t>
      </w:r>
    </w:p>
    <w:p>
      <w:pPr>
        <w:spacing w:after="0" w:line="176" w:lineRule="exact"/>
        <w:rPr>
          <w:sz w:val="20"/>
          <w:szCs w:val="20"/>
          <w:color w:val="auto"/>
        </w:rPr>
      </w:pPr>
      <w:r>
        <w:rPr>
          <w:rFonts w:ascii="Arial" w:cs="Arial" w:eastAsia="Arial" w:hAnsi="Arial"/>
          <w:sz w:val="17"/>
          <w:szCs w:val="17"/>
          <w:color w:val="auto"/>
        </w:rPr>
        <w:t>each measurement period until they vest. The expense related to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was $49,000 and</w:t>
      </w:r>
    </w:p>
    <w:p>
      <w:pPr>
        <w:spacing w:after="0" w:line="229" w:lineRule="auto"/>
        <w:rPr>
          <w:sz w:val="20"/>
          <w:szCs w:val="20"/>
          <w:color w:val="auto"/>
        </w:rPr>
      </w:pPr>
      <w:r>
        <w:rPr>
          <w:rFonts w:ascii="Arial" w:cs="Arial" w:eastAsia="Arial" w:hAnsi="Arial"/>
          <w:sz w:val="16"/>
          <w:szCs w:val="16"/>
          <w:color w:val="auto"/>
        </w:rPr>
        <w:t>$263,000 for the three and nine months ended September 30, 2015, respectively. There were no stock options granted during</w:t>
      </w:r>
    </w:p>
    <w:p>
      <w:pPr>
        <w:spacing w:after="0"/>
        <w:rPr>
          <w:sz w:val="20"/>
          <w:szCs w:val="20"/>
          <w:color w:val="auto"/>
        </w:rPr>
      </w:pPr>
      <w:r>
        <w:rPr>
          <w:rFonts w:ascii="Arial" w:cs="Arial" w:eastAsia="Arial" w:hAnsi="Arial"/>
          <w:sz w:val="18"/>
          <w:szCs w:val="18"/>
          <w:color w:val="auto"/>
        </w:rPr>
        <w:t>the period and year ended December 31, 2014.</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80" w:firstLine="648"/>
        <w:spacing w:after="0" w:line="194" w:lineRule="exact"/>
        <w:rPr>
          <w:sz w:val="20"/>
          <w:szCs w:val="20"/>
          <w:color w:val="auto"/>
        </w:rPr>
      </w:pPr>
      <w:r>
        <w:rPr>
          <w:rFonts w:ascii="Arial" w:cs="Arial" w:eastAsia="Arial" w:hAnsi="Arial"/>
          <w:sz w:val="18"/>
          <w:szCs w:val="18"/>
          <w:color w:val="auto"/>
        </w:rPr>
        <w:t>The fair value of each option issued to non</w:t>
      </w:r>
      <w:r>
        <w:rPr>
          <w:rFonts w:ascii="MS PGothic" w:cs="MS PGothic" w:eastAsia="MS PGothic" w:hAnsi="MS PGothic"/>
          <w:sz w:val="18"/>
          <w:szCs w:val="18"/>
          <w:color w:val="auto"/>
        </w:rPr>
        <w:t>‑</w:t>
      </w:r>
      <w:r>
        <w:rPr>
          <w:rFonts w:ascii="Arial" w:cs="Arial" w:eastAsia="Arial" w:hAnsi="Arial"/>
          <w:sz w:val="18"/>
          <w:szCs w:val="18"/>
          <w:color w:val="auto"/>
        </w:rPr>
        <w:t>employees was estimated at each vesting and reporting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reporting date fair value was determined using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00" w:type="dxa"/>
            <w:vAlign w:val="bottom"/>
          </w:tcPr>
          <w:p>
            <w:pPr>
              <w:spacing w:after="0"/>
              <w:rPr>
                <w:sz w:val="15"/>
                <w:szCs w:val="15"/>
                <w:color w:val="auto"/>
              </w:rPr>
            </w:pPr>
          </w:p>
        </w:tc>
        <w:tc>
          <w:tcPr>
            <w:tcW w:w="1680" w:type="dxa"/>
            <w:vAlign w:val="bottom"/>
          </w:tcPr>
          <w:p>
            <w:pPr>
              <w:jc w:val="right"/>
              <w:ind w:right="596"/>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1"/>
        </w:trPr>
        <w:tc>
          <w:tcPr>
            <w:tcW w:w="720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September 30, 2015</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176"/>
        </w:trPr>
        <w:tc>
          <w:tcPr>
            <w:tcW w:w="720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82.6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bl>
    <w:p>
      <w:pPr>
        <w:spacing w:after="0" w:line="161"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color w:val="auto"/>
        </w:rPr>
        <w:t>As of September 30, 2015, the Company had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its unvested stock options of $4,084,000 which is expected to be recognized over the remaining weighted average vesting period of 3.55 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401(k) Savings Plan</w:t>
      </w:r>
    </w:p>
    <w:p>
      <w:pPr>
        <w:spacing w:after="0" w:line="189"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7"/>
          <w:szCs w:val="17"/>
          <w:color w:val="auto"/>
        </w:rPr>
        <w:t>The Company has a defined</w:t>
      </w:r>
      <w:r>
        <w:rPr>
          <w:rFonts w:ascii="MS PGothic" w:cs="MS PGothic" w:eastAsia="MS PGothic" w:hAnsi="MS PGothic"/>
          <w:sz w:val="17"/>
          <w:szCs w:val="17"/>
          <w:color w:val="auto"/>
        </w:rPr>
        <w:t>‑</w:t>
      </w:r>
      <w:r>
        <w:rPr>
          <w:rFonts w:ascii="Arial" w:cs="Arial" w:eastAsia="Arial" w:hAnsi="Arial"/>
          <w:sz w:val="17"/>
          <w:szCs w:val="17"/>
          <w:color w:val="auto"/>
        </w:rPr>
        <w:t>contribution savings plan under Section 401(k) of the Internal Revenue Code (the “401(k) Plan”). The 401(k) Plan covers all employees who meet defined minimum age and service requirements, and allows participants to defer a portion of their annual compensation on a pretax basis. As currently established, the Company is not required to make and has not made any contributions to the 401(k) Plan to date.</w:t>
      </w:r>
    </w:p>
    <w:p>
      <w:pPr>
        <w:spacing w:after="0" w:line="15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12.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148"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Since inception, the Company received consulting and management services from one of its investors. In January 2014, the Company issued 470,589 shares of common stock as partial compensation for these services. The fair value of the shares was approximately $238,000.</w:t>
      </w:r>
    </w:p>
    <w:p>
      <w:pPr>
        <w:spacing w:after="0" w:line="136"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total amount of consulting and management services provided by this investor was approximately $117,000 and $6,000, $1,063,000 and $115,000 during the three and nine months ended September 30, 2014 and 2015, respectively. As of September 30, 2015, the Company included approximately $6,000, in accounts payable related to service fees charged by this investor.</w:t>
      </w:r>
    </w:p>
    <w:p>
      <w:pPr>
        <w:spacing w:after="0" w:line="122" w:lineRule="exact"/>
        <w:rPr>
          <w:sz w:val="20"/>
          <w:szCs w:val="20"/>
          <w:color w:val="auto"/>
        </w:rPr>
      </w:pPr>
    </w:p>
    <w:p>
      <w:pPr>
        <w:ind w:firstLine="648"/>
        <w:spacing w:after="0" w:line="189" w:lineRule="exact"/>
        <w:rPr>
          <w:sz w:val="20"/>
          <w:szCs w:val="20"/>
          <w:color w:val="auto"/>
        </w:rPr>
      </w:pPr>
      <w:r>
        <w:rPr>
          <w:rFonts w:ascii="Arial" w:cs="Arial" w:eastAsia="Arial" w:hAnsi="Arial"/>
          <w:sz w:val="17"/>
          <w:szCs w:val="17"/>
          <w:color w:val="auto"/>
        </w:rPr>
        <w:t>During the nine month period ended September 30, 2015 the Company recognized $12,397,000 of revenue associated with its collaboration with Genzyme related to research and development services provided during this period. The company also recognized $2.2 million of expense during the nine months ended September 30, 2015 related to in</w:t>
      </w:r>
      <w:r>
        <w:rPr>
          <w:rFonts w:ascii="MS PGothic" w:cs="MS PGothic" w:eastAsia="MS PGothic" w:hAnsi="MS PGothic"/>
          <w:sz w:val="17"/>
          <w:szCs w:val="17"/>
          <w:color w:val="auto"/>
        </w:rPr>
        <w:t>‑</w:t>
      </w:r>
      <w:r>
        <w:rPr>
          <w:rFonts w:ascii="Arial" w:cs="Arial" w:eastAsia="Arial" w:hAnsi="Arial"/>
          <w:sz w:val="17"/>
          <w:szCs w:val="17"/>
          <w:color w:val="auto"/>
        </w:rPr>
        <w:t>kind services provided by Genzyme associated with the collaboration arrangement.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Option and Grant Plan</w:t>
      </w:r>
    </w:p>
    <w:p>
      <w:pPr>
        <w:spacing w:after="0" w:line="14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October 2015, the Company amended the 2014 Plan to increase the number of shares reserved for issuance to 2,998,823 shares.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Plan</w:t>
      </w:r>
    </w:p>
    <w:p>
      <w:pPr>
        <w:spacing w:after="0" w:line="77" w:lineRule="exact"/>
        <w:rPr>
          <w:sz w:val="20"/>
          <w:szCs w:val="20"/>
          <w:color w:val="auto"/>
        </w:rPr>
      </w:pPr>
    </w:p>
    <w:p>
      <w:pPr>
        <w:ind w:right="200" w:firstLine="441"/>
        <w:spacing w:after="0" w:line="237" w:lineRule="auto"/>
        <w:rPr>
          <w:sz w:val="20"/>
          <w:szCs w:val="20"/>
          <w:color w:val="auto"/>
        </w:rPr>
      </w:pPr>
      <w:r>
        <w:rPr>
          <w:rFonts w:ascii="Arial" w:cs="Arial" w:eastAsia="Arial" w:hAnsi="Arial"/>
          <w:sz w:val="16"/>
          <w:szCs w:val="16"/>
          <w:color w:val="auto"/>
        </w:rPr>
        <w:t>In October 2015, the Company’s board of directors and stockholders approved the 2015 Stock Option and Incentive Plan, or 2015 Stock Option Plan, which became effective upon the completion of the IPO. The 2015 Stock Option Plan provides the Company with the flexibility to use various equity-based incentive and other awards as compensation tools to motivate our workforce. These tools include stock options, stock appreciation rights, restricted stock, restricted stock units, unrestricted stock, performance share awards and cash-based awards. The 2015 Stock Option Plan replaced the 2014 Plan. Any options or awards outstanding under the 2014 Stock Option Plan remained outstanding and effective. The number of shares initially reserved for issuance under the 2015 Stock Option Plan is the sum of (i) 1,311,812 shares of common stock and (ii) the number of shares under the 2014 Plan that are not needed to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fulfill the Company’s obligations for awards issued under the 2014 Plan as a result of forfeiture, expiration, cancellation, termination or net issuances of awards thereunder. The number of shares of common stock that may be issued under the 2015 Stock Option Plan is also subject to increase on the first day of each fiscal year by up to 4% of the Company’s issued and outstanding shares of common stock on the immediately preceding December 31.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77" w:lineRule="exact"/>
        <w:rPr>
          <w:sz w:val="20"/>
          <w:szCs w:val="20"/>
          <w:color w:val="auto"/>
        </w:rPr>
      </w:pPr>
    </w:p>
    <w:p>
      <w:pPr>
        <w:ind w:right="140" w:firstLine="441"/>
        <w:spacing w:after="0" w:line="224" w:lineRule="auto"/>
        <w:rPr>
          <w:sz w:val="20"/>
          <w:szCs w:val="20"/>
          <w:color w:val="auto"/>
        </w:rPr>
      </w:pPr>
      <w:r>
        <w:rPr>
          <w:rFonts w:ascii="Arial" w:cs="Arial" w:eastAsia="Arial" w:hAnsi="Arial"/>
          <w:sz w:val="18"/>
          <w:szCs w:val="18"/>
          <w:color w:val="auto"/>
        </w:rPr>
        <w:t>In October 2015 the Company’s board of directors and stockholders approved the 2015 Employee Stock Purchase Plan. A total of 262,362 shares of common stock were initially authorized for issuance under this plan. The 2015 Employee Stock Purchase Plan became effective upon the completion of the IPO.</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5" w:lineRule="exact"/>
        <w:rPr>
          <w:sz w:val="20"/>
          <w:szCs w:val="20"/>
          <w:color w:val="auto"/>
        </w:rPr>
      </w:pPr>
    </w:p>
    <w:p>
      <w:pPr>
        <w:ind w:firstLine="486"/>
        <w:spacing w:after="0" w:line="224" w:lineRule="auto"/>
        <w:rPr>
          <w:sz w:val="20"/>
          <w:szCs w:val="20"/>
          <w:color w:val="auto"/>
        </w:rPr>
      </w:pPr>
      <w:r>
        <w:rPr>
          <w:rFonts w:ascii="Arial" w:cs="Arial" w:eastAsia="Arial" w:hAnsi="Arial"/>
          <w:sz w:val="18"/>
          <w:szCs w:val="18"/>
          <w:color w:val="auto"/>
        </w:rPr>
        <w:t>On November 16, 2015 the Company completed the sale of 5,750,000 shares of its common stock in its IPO, at a price to the public of $14.00 per share, resulting in net proceeds to the Company of $72.7 million after deducting underwriting discounts and commissions and estimated offering expenses payable by the Company.</w:t>
      </w:r>
    </w:p>
    <w:p>
      <w:pPr>
        <w:spacing w:after="0" w:line="123" w:lineRule="exact"/>
        <w:rPr>
          <w:sz w:val="20"/>
          <w:szCs w:val="20"/>
          <w:color w:val="auto"/>
        </w:rPr>
      </w:pPr>
    </w:p>
    <w:p>
      <w:pPr>
        <w:ind w:right="60" w:firstLine="486"/>
        <w:spacing w:after="0" w:line="216" w:lineRule="auto"/>
        <w:rPr>
          <w:sz w:val="20"/>
          <w:szCs w:val="20"/>
          <w:color w:val="auto"/>
        </w:rPr>
      </w:pPr>
      <w:r>
        <w:rPr>
          <w:rFonts w:ascii="Arial" w:cs="Arial" w:eastAsia="Arial" w:hAnsi="Arial"/>
          <w:sz w:val="18"/>
          <w:szCs w:val="18"/>
          <w:color w:val="auto"/>
        </w:rPr>
        <w:t>On October 29, 2015, in preparation for the Company's IPO, the Company's board of directors and stockholders approved a 1-for-4.25 reverse split of the Company's common stock, which became effective on October 29, 2015. All share and per share amounts in the financial statements and notes thereto have been retroactively adjusted for all periods presented to give effect to this reverse split, including reclassifying an amount equal to the reduction in par value of common stock to additional paid-in capital.</w:t>
      </w:r>
    </w:p>
    <w:p>
      <w:pPr>
        <w:spacing w:after="0" w:line="135" w:lineRule="exact"/>
        <w:rPr>
          <w:sz w:val="20"/>
          <w:szCs w:val="20"/>
          <w:color w:val="auto"/>
        </w:rPr>
      </w:pPr>
    </w:p>
    <w:p>
      <w:pPr>
        <w:ind w:right="60" w:firstLine="486"/>
        <w:spacing w:after="0" w:line="224" w:lineRule="auto"/>
        <w:rPr>
          <w:sz w:val="20"/>
          <w:szCs w:val="20"/>
          <w:color w:val="auto"/>
        </w:rPr>
      </w:pPr>
      <w:r>
        <w:rPr>
          <w:rFonts w:ascii="Arial" w:cs="Arial" w:eastAsia="Arial" w:hAnsi="Arial"/>
          <w:sz w:val="18"/>
          <w:szCs w:val="18"/>
          <w:color w:val="auto"/>
        </w:rPr>
        <w:t>In connection with the closing of the IPO, all of the Company’s outstanding redeemable convertible preferred stock automatically converted into shares of common stock as of November 16, 2015, resulting in the issuance by the Company of an additional 17,647,054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right="20" w:hanging="971"/>
        <w:spacing w:after="0" w:line="23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ind w:right="60" w:firstLine="441"/>
        <w:spacing w:after="0" w:line="22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financial statements and related notes appearing elsewhere in this Quarterly Report on Form 10-Q and the audited financial information and the notes thereto included in our final prospectus for our initial public offering filed pursuant to Rule 424(b) under the Securities Act of 1933, as amended (the “Securities Act”), with the Securities and Exchange Commission (the “SEC”) on November 12, 2015 (the “Prospectus”).</w:t>
      </w:r>
    </w:p>
    <w:p>
      <w:pPr>
        <w:spacing w:after="0" w:line="161" w:lineRule="exact"/>
        <w:rPr>
          <w:sz w:val="20"/>
          <w:szCs w:val="20"/>
          <w:color w:val="auto"/>
        </w:rPr>
      </w:pPr>
    </w:p>
    <w:p>
      <w:pPr>
        <w:ind w:right="80" w:firstLine="441"/>
        <w:spacing w:after="0" w:line="225" w:lineRule="auto"/>
        <w:rPr>
          <w:sz w:val="20"/>
          <w:szCs w:val="20"/>
          <w:color w:val="auto"/>
        </w:rPr>
      </w:pPr>
      <w:r>
        <w:rPr>
          <w:rFonts w:ascii="Arial" w:cs="Arial" w:eastAsia="Arial" w:hAnsi="Arial"/>
          <w:sz w:val="17"/>
          <w:szCs w:val="17"/>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62" w:lineRule="exact"/>
        <w:rPr>
          <w:sz w:val="20"/>
          <w:szCs w:val="20"/>
          <w:color w:val="auto"/>
        </w:rPr>
      </w:pPr>
    </w:p>
    <w:p>
      <w:pPr>
        <w:jc w:val="both"/>
        <w:ind w:right="480" w:firstLine="441"/>
        <w:spacing w:after="0" w:line="289" w:lineRule="auto"/>
        <w:rPr>
          <w:sz w:val="20"/>
          <w:szCs w:val="20"/>
          <w:color w:val="auto"/>
        </w:rPr>
      </w:pPr>
      <w:r>
        <w:rPr>
          <w:rFonts w:ascii="Arial" w:cs="Arial" w:eastAsia="Arial" w:hAnsi="Arial"/>
          <w:sz w:val="16"/>
          <w:szCs w:val="16"/>
          <w:i w:val="1"/>
          <w:iCs w:val="1"/>
          <w:color w:val="auto"/>
        </w:rPr>
        <w:t>The following information and any forward-looking statements should be considered in light of factors discussed elsewhere in the Quarterly Report on Form 10-Q, including those risks identified under Part II, Item 1A. Risk Factors.</w:t>
      </w:r>
    </w:p>
    <w:p>
      <w:pPr>
        <w:spacing w:after="0" w:line="124" w:lineRule="exact"/>
        <w:rPr>
          <w:sz w:val="20"/>
          <w:szCs w:val="20"/>
          <w:color w:val="auto"/>
        </w:rPr>
      </w:pPr>
    </w:p>
    <w:p>
      <w:pPr>
        <w:ind w:right="100" w:firstLine="441"/>
        <w:spacing w:after="0" w:line="216"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338"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We are a clinical</w:t>
      </w:r>
      <w:r>
        <w:rPr>
          <w:rFonts w:ascii="MS PGothic" w:cs="MS PGothic" w:eastAsia="MS PGothic" w:hAnsi="MS PGothic"/>
          <w:sz w:val="16"/>
          <w:szCs w:val="16"/>
          <w:color w:val="auto"/>
        </w:rPr>
        <w:t>‑</w:t>
      </w:r>
      <w:r>
        <w:rPr>
          <w:rFonts w:ascii="Arial" w:cs="Arial" w:eastAsia="Arial" w:hAnsi="Arial"/>
          <w:sz w:val="16"/>
          <w:szCs w:val="16"/>
          <w:color w:val="auto"/>
        </w:rPr>
        <w:t>stage gene therapy company focused on developing life</w:t>
      </w:r>
      <w:r>
        <w:rPr>
          <w:rFonts w:ascii="MS PGothic" w:cs="MS PGothic" w:eastAsia="MS PGothic" w:hAnsi="MS PGothic"/>
          <w:sz w:val="16"/>
          <w:szCs w:val="16"/>
          <w:color w:val="auto"/>
        </w:rPr>
        <w:t>‑</w:t>
      </w:r>
      <w:r>
        <w:rPr>
          <w:rFonts w:ascii="Arial" w:cs="Arial" w:eastAsia="Arial" w:hAnsi="Arial"/>
          <w:sz w:val="16"/>
          <w:szCs w:val="16"/>
          <w:color w:val="auto"/>
        </w:rPr>
        <w:t>changing treatments for patients suffering</w:t>
      </w:r>
    </w:p>
    <w:p>
      <w:pPr>
        <w:spacing w:after="0" w:line="212" w:lineRule="auto"/>
        <w:rPr>
          <w:sz w:val="20"/>
          <w:szCs w:val="20"/>
          <w:color w:val="auto"/>
        </w:rPr>
      </w:pPr>
      <w:r>
        <w:rPr>
          <w:rFonts w:ascii="Arial" w:cs="Arial" w:eastAsia="Arial" w:hAnsi="Arial"/>
          <w:sz w:val="18"/>
          <w:szCs w:val="18"/>
          <w:color w:val="auto"/>
        </w:rPr>
        <w:t>from severe diseases of the central nervous system, or CNS. We focus on CNS diseases where we believe an</w:t>
      </w:r>
    </w:p>
    <w:p>
      <w:pPr>
        <w:spacing w:after="0" w:line="176" w:lineRule="exact"/>
        <w:rPr>
          <w:sz w:val="20"/>
          <w:szCs w:val="20"/>
          <w:color w:val="auto"/>
        </w:rPr>
      </w:pPr>
      <w:r>
        <w:rPr>
          <w:rFonts w:ascii="Arial" w:cs="Arial" w:eastAsia="Arial" w:hAnsi="Arial"/>
          <w:sz w:val="16"/>
          <w:szCs w:val="16"/>
          <w:color w:val="auto"/>
        </w:rPr>
        <w:t>adeno</w:t>
      </w:r>
      <w:r>
        <w:rPr>
          <w:rFonts w:ascii="MS PGothic" w:cs="MS PGothic" w:eastAsia="MS PGothic" w:hAnsi="MS PGothic"/>
          <w:sz w:val="16"/>
          <w:szCs w:val="16"/>
          <w:color w:val="auto"/>
        </w:rPr>
        <w:t>‑</w:t>
      </w:r>
      <w:r>
        <w:rPr>
          <w:rFonts w:ascii="Arial" w:cs="Arial" w:eastAsia="Arial" w:hAnsi="Arial"/>
          <w:sz w:val="16"/>
          <w:szCs w:val="16"/>
          <w:color w:val="auto"/>
        </w:rPr>
        <w:t>associated virus, or AAV, gene therapy approach that either increases or decreases the production of a specific protein</w:t>
      </w:r>
    </w:p>
    <w:p>
      <w:pPr>
        <w:spacing w:after="0" w:line="215" w:lineRule="auto"/>
        <w:rPr>
          <w:sz w:val="20"/>
          <w:szCs w:val="20"/>
          <w:color w:val="auto"/>
        </w:rPr>
      </w:pPr>
      <w:r>
        <w:rPr>
          <w:rFonts w:ascii="Arial" w:cs="Arial" w:eastAsia="Arial" w:hAnsi="Arial"/>
          <w:sz w:val="17"/>
          <w:szCs w:val="17"/>
          <w:color w:val="auto"/>
        </w:rPr>
        <w:t>can slow or reduce the symptoms experienced by patients, and therefore have a clinically meaningful impact. We have</w:t>
      </w:r>
    </w:p>
    <w:p>
      <w:pPr>
        <w:spacing w:after="0" w:line="177" w:lineRule="exact"/>
        <w:rPr>
          <w:sz w:val="20"/>
          <w:szCs w:val="20"/>
          <w:color w:val="auto"/>
        </w:rPr>
      </w:pPr>
      <w:r>
        <w:rPr>
          <w:rFonts w:ascii="Arial" w:cs="Arial" w:eastAsia="Arial" w:hAnsi="Arial"/>
          <w:sz w:val="16"/>
          <w:szCs w:val="16"/>
          <w:color w:val="auto"/>
        </w:rPr>
        <w:t>created a product engine, which enables us to engineer, optimize, manufacture and deliver our AAV</w:t>
      </w:r>
      <w:r>
        <w:rPr>
          <w:rFonts w:ascii="MS PGothic" w:cs="MS PGothic" w:eastAsia="MS PGothic" w:hAnsi="MS PGothic"/>
          <w:sz w:val="16"/>
          <w:szCs w:val="16"/>
          <w:color w:val="auto"/>
        </w:rPr>
        <w:t>‑</w:t>
      </w:r>
      <w:r>
        <w:rPr>
          <w:rFonts w:ascii="Arial" w:cs="Arial" w:eastAsia="Arial" w:hAnsi="Arial"/>
          <w:sz w:val="16"/>
          <w:szCs w:val="16"/>
          <w:color w:val="auto"/>
        </w:rPr>
        <w:t>based gene therapies that</w:t>
      </w:r>
    </w:p>
    <w:p>
      <w:pPr>
        <w:spacing w:after="0" w:line="229" w:lineRule="auto"/>
        <w:rPr>
          <w:sz w:val="20"/>
          <w:szCs w:val="20"/>
          <w:color w:val="auto"/>
        </w:rPr>
      </w:pPr>
      <w:r>
        <w:rPr>
          <w:rFonts w:ascii="Arial" w:cs="Arial" w:eastAsia="Arial" w:hAnsi="Arial"/>
          <w:sz w:val="16"/>
          <w:szCs w:val="16"/>
          <w:color w:val="auto"/>
        </w:rPr>
        <w:t>have the potential to provide durable efficacy following a single administration directly to the CNS. Our product engine has</w:t>
      </w:r>
    </w:p>
    <w:p>
      <w:pPr>
        <w:spacing w:after="0" w:line="229" w:lineRule="auto"/>
        <w:rPr>
          <w:sz w:val="20"/>
          <w:szCs w:val="20"/>
          <w:color w:val="auto"/>
        </w:rPr>
      </w:pPr>
      <w:r>
        <w:rPr>
          <w:rFonts w:ascii="Arial" w:cs="Arial" w:eastAsia="Arial" w:hAnsi="Arial"/>
          <w:sz w:val="16"/>
          <w:szCs w:val="16"/>
          <w:color w:val="auto"/>
        </w:rPr>
        <w:t>rapidly generated programs for five CNS indications, including advanced Parkinson’s disease; a monogenic form of ALS;</w:t>
      </w:r>
    </w:p>
    <w:p>
      <w:pPr>
        <w:spacing w:after="0" w:line="176" w:lineRule="exact"/>
        <w:rPr>
          <w:sz w:val="20"/>
          <w:szCs w:val="20"/>
          <w:color w:val="auto"/>
        </w:rPr>
      </w:pPr>
      <w:r>
        <w:rPr>
          <w:rFonts w:ascii="Arial" w:cs="Arial" w:eastAsia="Arial" w:hAnsi="Arial"/>
          <w:sz w:val="16"/>
          <w:szCs w:val="16"/>
          <w:color w:val="auto"/>
        </w:rPr>
        <w:t>Friedreich’s ataxia; Huntington’s disease; and spinal muscular atrophy. Our most advanced clinical candidate, VY</w:t>
      </w:r>
      <w:r>
        <w:rPr>
          <w:rFonts w:ascii="MS PGothic" w:cs="MS PGothic" w:eastAsia="MS PGothic" w:hAnsi="MS PGothic"/>
          <w:sz w:val="16"/>
          <w:szCs w:val="16"/>
          <w:color w:val="auto"/>
        </w:rPr>
        <w:t>‑</w:t>
      </w:r>
      <w:r>
        <w:rPr>
          <w:rFonts w:ascii="Arial" w:cs="Arial" w:eastAsia="Arial" w:hAnsi="Arial"/>
          <w:sz w:val="16"/>
          <w:szCs w:val="16"/>
          <w:color w:val="auto"/>
        </w:rPr>
        <w:t>AADC01,</w:t>
      </w:r>
    </w:p>
    <w:p>
      <w:pPr>
        <w:spacing w:after="0" w:line="176" w:lineRule="exact"/>
        <w:rPr>
          <w:sz w:val="20"/>
          <w:szCs w:val="20"/>
          <w:color w:val="auto"/>
        </w:rPr>
      </w:pPr>
      <w:r>
        <w:rPr>
          <w:rFonts w:ascii="Arial" w:cs="Arial" w:eastAsia="Arial" w:hAnsi="Arial"/>
          <w:sz w:val="16"/>
          <w:szCs w:val="16"/>
          <w:color w:val="auto"/>
        </w:rPr>
        <w:t>is being evaluated for the treatment of advanced Parkinson’s disease in an open</w:t>
      </w:r>
      <w:r>
        <w:rPr>
          <w:rFonts w:ascii="MS PGothic" w:cs="MS PGothic" w:eastAsia="MS PGothic" w:hAnsi="MS PGothic"/>
          <w:sz w:val="16"/>
          <w:szCs w:val="16"/>
          <w:color w:val="auto"/>
        </w:rPr>
        <w:t>‑</w:t>
      </w:r>
      <w:r>
        <w:rPr>
          <w:rFonts w:ascii="Arial" w:cs="Arial" w:eastAsia="Arial" w:hAnsi="Arial"/>
          <w:sz w:val="16"/>
          <w:szCs w:val="16"/>
          <w:color w:val="auto"/>
        </w:rPr>
        <w:t>label, Phase 1b clinical trial with the goal of</w:t>
      </w:r>
    </w:p>
    <w:p>
      <w:pPr>
        <w:spacing w:after="0" w:line="176" w:lineRule="exact"/>
        <w:rPr>
          <w:sz w:val="20"/>
          <w:szCs w:val="20"/>
          <w:color w:val="auto"/>
        </w:rPr>
      </w:pPr>
      <w:r>
        <w:rPr>
          <w:rFonts w:ascii="Arial" w:cs="Arial" w:eastAsia="Arial" w:hAnsi="Arial"/>
          <w:sz w:val="17"/>
          <w:szCs w:val="17"/>
          <w:color w:val="auto"/>
        </w:rPr>
        <w:t>generating human proof</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concept data in the second half of 2016. Our goal is to submit an IND for one of our current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preclinical programs in 2017.</w:t>
      </w:r>
    </w:p>
    <w:p>
      <w:pPr>
        <w:spacing w:after="0" w:line="169"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Since our inception on June 19, 2013, our operations have focused on organizing and staffing our company, business planning, raising capital, establishing our intellectual property portfolio, determining which CNS indications to pursue and conducting preclinical studies and clinical trials. We do not have any product candidates approved for sale and have not generated any revenue from product sales. We have funded our operations primarily through private placements of our Series A redeemable convertible preferred stock, which we refer to as our Series A Preferred Stock, and Series B redeemable convertible preferred stock, which we refer to as our Series B Preferred Stock and together with our Series A Preferred Stock, our redeemable convertible preferred stock, and our collaboration with Genzyme, or the Genzyme Collaboration, which commenced in February 2015. From inception through September 30, 2015, we have raised an aggregate of $135.0 million of gross proceeds from sales of our redeemable convertible preferred stock and convertible promissory notes, and additionally received a $65.0 million up</w:t>
      </w:r>
      <w:r>
        <w:rPr>
          <w:rFonts w:ascii="MS PGothic" w:cs="MS PGothic" w:eastAsia="MS PGothic" w:hAnsi="MS PGothic"/>
          <w:sz w:val="16"/>
          <w:szCs w:val="16"/>
          <w:color w:val="auto"/>
        </w:rPr>
        <w:t>‑</w:t>
      </w:r>
      <w:r>
        <w:rPr>
          <w:rFonts w:ascii="Arial" w:cs="Arial" w:eastAsia="Arial" w:hAnsi="Arial"/>
          <w:sz w:val="16"/>
          <w:szCs w:val="16"/>
          <w:color w:val="auto"/>
        </w:rPr>
        <w:t>front payment from the Genzyme Collaboration to fund our operations.</w:t>
      </w:r>
    </w:p>
    <w:p>
      <w:pPr>
        <w:spacing w:after="0" w:line="163"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Since inception, we have incurred significant operating losses. Our net losses were $16.3 million for the period and year ended December 31, 2014, respectively, and $22.4 million for the nine months ended September 30, 2015. As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of September 30, 2015, we had an accumulated deficit of $47.2 million. We expect to continue to incur significant expenses and operating losses for the foreseeable future. We anticipate that our expenses will increase significantly in connection with our ongoing activities, as we:</w:t>
      </w:r>
    </w:p>
    <w:p>
      <w:pPr>
        <w:spacing w:after="0" w:line="163" w:lineRule="exact"/>
        <w:rPr>
          <w:sz w:val="20"/>
          <w:szCs w:val="20"/>
          <w:color w:val="auto"/>
        </w:rPr>
      </w:pPr>
    </w:p>
    <w:p>
      <w:pPr>
        <w:ind w:left="1020" w:right="580" w:hanging="53"/>
        <w:spacing w:after="0" w:line="246" w:lineRule="auto"/>
        <w:rPr>
          <w:sz w:val="20"/>
          <w:szCs w:val="20"/>
          <w:color w:val="auto"/>
        </w:rPr>
      </w:pPr>
      <w:r>
        <w:rPr>
          <w:rFonts w:ascii="Arial" w:cs="Arial" w:eastAsia="Arial" w:hAnsi="Arial"/>
          <w:sz w:val="18"/>
          <w:szCs w:val="18"/>
          <w:color w:val="auto"/>
        </w:rPr>
        <w:t>·continue investing in our product engine to optimize vector engineering, manufacturing and dosing and delivery techniques;</w:t>
      </w:r>
    </w:p>
    <w:p>
      <w:pPr>
        <w:spacing w:after="0" w:line="170"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 continue development of our clinical candidate, VY</w:t>
      </w:r>
      <w:r>
        <w:rPr>
          <w:rFonts w:ascii="MS PGothic" w:cs="MS PGothic" w:eastAsia="MS PGothic" w:hAnsi="MS PGothic"/>
          <w:sz w:val="18"/>
          <w:szCs w:val="18"/>
          <w:color w:val="auto"/>
        </w:rPr>
        <w:t>‑</w:t>
      </w:r>
      <w:r>
        <w:rPr>
          <w:rFonts w:ascii="Arial" w:cs="Arial" w:eastAsia="Arial" w:hAnsi="Arial"/>
          <w:sz w:val="18"/>
          <w:szCs w:val="18"/>
          <w:color w:val="auto"/>
        </w:rPr>
        <w:t>AADC01;</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·initiate additional preclinical studies and clinical trials for our other programs;</w:t>
      </w:r>
    </w:p>
    <w:p>
      <w:pPr>
        <w:spacing w:after="0" w:line="198" w:lineRule="exact"/>
        <w:rPr>
          <w:sz w:val="20"/>
          <w:szCs w:val="20"/>
          <w:color w:val="auto"/>
        </w:rPr>
      </w:pPr>
    </w:p>
    <w:p>
      <w:pPr>
        <w:ind w:left="1020" w:right="740" w:hanging="53"/>
        <w:spacing w:after="0" w:line="210" w:lineRule="exact"/>
        <w:rPr>
          <w:sz w:val="20"/>
          <w:szCs w:val="20"/>
          <w:color w:val="auto"/>
        </w:rPr>
      </w:pPr>
      <w:r>
        <w:rPr>
          <w:rFonts w:ascii="Arial" w:cs="Arial" w:eastAsia="Arial" w:hAnsi="Arial"/>
          <w:sz w:val="18"/>
          <w:szCs w:val="18"/>
          <w:color w:val="auto"/>
        </w:rPr>
        <w:t>·continue our process research and development activities, as well as establish our research</w:t>
      </w:r>
      <w:r>
        <w:rPr>
          <w:rFonts w:ascii="MS PGothic" w:cs="MS PGothic" w:eastAsia="MS PGothic" w:hAnsi="MS PGothic"/>
          <w:sz w:val="18"/>
          <w:szCs w:val="18"/>
          <w:color w:val="auto"/>
        </w:rPr>
        <w:t>‑</w:t>
      </w:r>
      <w:r>
        <w:rPr>
          <w:rFonts w:ascii="Arial" w:cs="Arial" w:eastAsia="Arial" w:hAnsi="Arial"/>
          <w:sz w:val="18"/>
          <w:szCs w:val="18"/>
          <w:color w:val="auto"/>
        </w:rPr>
        <w:t>grade and commercial manufacturing capabilities;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·identify additional CNS diseases for treatment with our AAV gene therapies;</w:t>
      </w:r>
    </w:p>
    <w:p>
      <w:pPr>
        <w:spacing w:after="0" w:line="198" w:lineRule="exact"/>
        <w:rPr>
          <w:sz w:val="20"/>
          <w:szCs w:val="20"/>
          <w:color w:val="auto"/>
        </w:rPr>
      </w:pPr>
    </w:p>
    <w:p>
      <w:pPr>
        <w:ind w:left="1020" w:right="440" w:hanging="53"/>
        <w:spacing w:after="0" w:line="210" w:lineRule="exact"/>
        <w:rPr>
          <w:sz w:val="20"/>
          <w:szCs w:val="20"/>
          <w:color w:val="auto"/>
        </w:rPr>
      </w:pPr>
      <w:r>
        <w:rPr>
          <w:rFonts w:ascii="Arial" w:cs="Arial" w:eastAsia="Arial" w:hAnsi="Arial"/>
          <w:sz w:val="18"/>
          <w:szCs w:val="18"/>
          <w:color w:val="auto"/>
        </w:rPr>
        <w:t>·seek marketing approvals for VY</w:t>
      </w:r>
      <w:r>
        <w:rPr>
          <w:rFonts w:ascii="MS PGothic" w:cs="MS PGothic" w:eastAsia="MS PGothic" w:hAnsi="MS PGothic"/>
          <w:sz w:val="18"/>
          <w:szCs w:val="18"/>
          <w:color w:val="auto"/>
        </w:rPr>
        <w:t>‑</w:t>
      </w:r>
      <w:r>
        <w:rPr>
          <w:rFonts w:ascii="Arial" w:cs="Arial" w:eastAsia="Arial" w:hAnsi="Arial"/>
          <w:sz w:val="18"/>
          <w:szCs w:val="18"/>
          <w:color w:val="auto"/>
        </w:rPr>
        <w:t>AADC01 or other product candidates that arise from our programs that successfully complete clinical trials;</w:t>
      </w:r>
    </w:p>
    <w:p>
      <w:pPr>
        <w:spacing w:after="0" w:line="175" w:lineRule="exact"/>
        <w:rPr>
          <w:sz w:val="20"/>
          <w:szCs w:val="20"/>
          <w:color w:val="auto"/>
        </w:rPr>
      </w:pPr>
    </w:p>
    <w:p>
      <w:pPr>
        <w:ind w:left="1020" w:right="180" w:hanging="53"/>
        <w:spacing w:after="0" w:line="246" w:lineRule="auto"/>
        <w:rPr>
          <w:sz w:val="20"/>
          <w:szCs w:val="20"/>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170" w:lineRule="exact"/>
        <w:rPr>
          <w:sz w:val="20"/>
          <w:szCs w:val="20"/>
          <w:color w:val="auto"/>
        </w:rPr>
      </w:pPr>
    </w:p>
    <w:p>
      <w:pPr>
        <w:ind w:left="1060" w:hanging="85"/>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98" w:lineRule="exact"/>
        <w:rPr>
          <w:rFonts w:ascii="Arial" w:cs="Arial" w:eastAsia="Arial" w:hAnsi="Arial"/>
          <w:sz w:val="18"/>
          <w:szCs w:val="18"/>
          <w:color w:val="auto"/>
        </w:rPr>
      </w:pPr>
    </w:p>
    <w:p>
      <w:pPr>
        <w:ind w:left="1060" w:hanging="85"/>
        <w:spacing w:after="0" w:line="207" w:lineRule="exact"/>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w:t>
      </w:r>
    </w:p>
    <w:p>
      <w:pPr>
        <w:spacing w:after="0" w:line="200" w:lineRule="exact"/>
        <w:rPr>
          <w:sz w:val="20"/>
          <w:szCs w:val="20"/>
          <w:color w:val="auto"/>
        </w:rPr>
      </w:pPr>
    </w:p>
    <w:p>
      <w:pPr>
        <w:spacing w:after="0" w:line="214"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On November 16, 2015 we closed our IPO whereby we sold 5,750,000 shares of common stock, at a public offering price of $14.00 per share, including 750,000 shares of common stock issued upon the full exercise by the underwriters of their option to purchase additional shares, resulting in net proceeds to us of $72.7 million after deducting underwriting discounts and commissions and estimated offering expenses payable by 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340" w:firstLine="648"/>
        <w:spacing w:after="0" w:line="249" w:lineRule="auto"/>
        <w:rPr>
          <w:sz w:val="20"/>
          <w:szCs w:val="20"/>
          <w:color w:val="auto"/>
        </w:rPr>
      </w:pPr>
      <w:r>
        <w:rPr>
          <w:rFonts w:ascii="Arial" w:cs="Arial" w:eastAsia="Arial" w:hAnsi="Arial"/>
          <w:sz w:val="16"/>
          <w:szCs w:val="16"/>
          <w:color w:val="auto"/>
        </w:rPr>
        <w:t>To date, we have not generated any revenue from product sales and do not expect to generate any revenue from product sales for the forseeable future. For the nine months ended September 30, 2015, we recognized $12.4 million of collaboration revenue from the Genzyme Collaboration. For additional information about our revenue recognition policy related to the Genzyme Collaboration, see the section titled “—Critical Accounting Policies and Estimates—Revenue.”</w:t>
      </w:r>
    </w:p>
    <w:p>
      <w:pPr>
        <w:spacing w:after="0" w:line="15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For the foreseeable future, we expect substantially all of our revenue will be generated from the Genzyme Collaboration, and any other strategic relationships we may enter into. If our development efforts are successful, we may also generate revenue from product sales.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320" w:firstLine="648"/>
        <w:spacing w:after="0" w:line="258"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program discovery efforts, and the development of our programs and product engine, which include:</w:t>
      </w:r>
    </w:p>
    <w:p>
      <w:pPr>
        <w:spacing w:after="0" w:line="147"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700" w:right="180" w:hanging="53"/>
        <w:spacing w:after="0" w:line="246" w:lineRule="auto"/>
        <w:rPr>
          <w:sz w:val="20"/>
          <w:szCs w:val="20"/>
          <w:color w:val="auto"/>
        </w:rPr>
      </w:pPr>
      <w:r>
        <w:rPr>
          <w:rFonts w:ascii="Arial" w:cs="Arial" w:eastAsia="Arial" w:hAnsi="Arial"/>
          <w:sz w:val="18"/>
          <w:szCs w:val="18"/>
          <w:color w:val="auto"/>
        </w:rPr>
        <w:t>·costs of funding research performed by third parties that conduct research and development, preclinical activities, manufacturing and production design on our behalf;</w:t>
      </w:r>
    </w:p>
    <w:p>
      <w:pPr>
        <w:spacing w:after="0" w:line="170" w:lineRule="exact"/>
        <w:rPr>
          <w:sz w:val="20"/>
          <w:szCs w:val="20"/>
          <w:color w:val="auto"/>
        </w:rPr>
      </w:pPr>
    </w:p>
    <w:p>
      <w:pPr>
        <w:ind w:left="700" w:right="320" w:hanging="53"/>
        <w:spacing w:after="0" w:line="210" w:lineRule="exact"/>
        <w:rPr>
          <w:sz w:val="20"/>
          <w:szCs w:val="20"/>
          <w:color w:val="auto"/>
        </w:rPr>
      </w:pPr>
      <w:r>
        <w:rPr>
          <w:rFonts w:ascii="Arial" w:cs="Arial" w:eastAsia="Arial" w:hAnsi="Arial"/>
          <w:sz w:val="18"/>
          <w:szCs w:val="18"/>
          <w:color w:val="auto"/>
        </w:rPr>
        <w:t>·the cost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designing, developing and manufacturing preclinical study materials;</w:t>
      </w:r>
    </w:p>
    <w:p>
      <w:pPr>
        <w:spacing w:after="0" w:line="175" w:lineRule="exact"/>
        <w:rPr>
          <w:sz w:val="20"/>
          <w:szCs w:val="20"/>
          <w:color w:val="auto"/>
        </w:rPr>
      </w:pPr>
    </w:p>
    <w:p>
      <w:pPr>
        <w:ind w:left="1020" w:hanging="369"/>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98" w:lineRule="exact"/>
        <w:rPr>
          <w:rFonts w:ascii="Arial" w:cs="Arial" w:eastAsia="Arial" w:hAnsi="Arial"/>
          <w:sz w:val="18"/>
          <w:szCs w:val="18"/>
          <w:color w:val="auto"/>
        </w:rPr>
      </w:pPr>
    </w:p>
    <w:p>
      <w:pPr>
        <w:ind w:left="740" w:hanging="89"/>
        <w:spacing w:after="0" w:line="207" w:lineRule="exact"/>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for maintaining licenses under our third</w:t>
      </w:r>
      <w:r>
        <w:rPr>
          <w:rFonts w:ascii="MS PGothic" w:cs="MS PGothic" w:eastAsia="MS PGothic" w:hAnsi="MS PGothic"/>
          <w:sz w:val="18"/>
          <w:szCs w:val="18"/>
          <w:color w:val="auto"/>
        </w:rPr>
        <w:t>‑</w:t>
      </w:r>
      <w:r>
        <w:rPr>
          <w:rFonts w:ascii="Arial" w:cs="Arial" w:eastAsia="Arial" w:hAnsi="Arial"/>
          <w:sz w:val="18"/>
          <w:szCs w:val="18"/>
          <w:color w:val="auto"/>
        </w:rPr>
        <w:t>party licensing agreements.</w:t>
      </w:r>
    </w:p>
    <w:p>
      <w:pPr>
        <w:spacing w:after="0" w:line="198" w:lineRule="exact"/>
        <w:rPr>
          <w:sz w:val="20"/>
          <w:szCs w:val="20"/>
          <w:color w:val="auto"/>
        </w:rPr>
      </w:pPr>
    </w:p>
    <w:p>
      <w:pPr>
        <w:ind w:right="260" w:firstLine="648"/>
        <w:spacing w:after="0" w:line="238" w:lineRule="auto"/>
        <w:rPr>
          <w:sz w:val="20"/>
          <w:szCs w:val="20"/>
          <w:color w:val="auto"/>
        </w:rPr>
      </w:pPr>
      <w:r>
        <w:rPr>
          <w:rFonts w:ascii="Arial" w:cs="Arial" w:eastAsia="Arial" w:hAnsi="Arial"/>
          <w:sz w:val="17"/>
          <w:szCs w:val="17"/>
          <w:color w:val="auto"/>
        </w:rPr>
        <w:t>Research and development costs are expensed as incurred. Costs for certain activities, such as manufacturing and preclinical studies and clinical trials, are generally recognized based on an evaluation of the progress to completion of specific tasks using information and data provided to us by our vendors and collaborators.</w:t>
      </w:r>
    </w:p>
    <w:p>
      <w:pPr>
        <w:spacing w:after="0" w:line="161"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163" w:lineRule="exact"/>
        <w:rPr>
          <w:sz w:val="20"/>
          <w:szCs w:val="20"/>
          <w:color w:val="auto"/>
        </w:rPr>
      </w:pPr>
    </w:p>
    <w:p>
      <w:pPr>
        <w:ind w:left="760" w:hanging="109"/>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98" w:lineRule="exact"/>
        <w:rPr>
          <w:rFonts w:ascii="Arial" w:cs="Arial" w:eastAsia="Arial" w:hAnsi="Arial"/>
          <w:sz w:val="18"/>
          <w:szCs w:val="18"/>
          <w:color w:val="auto"/>
        </w:rPr>
      </w:pPr>
    </w:p>
    <w:p>
      <w:pPr>
        <w:ind w:left="800" w:hanging="14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98"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·establishing commercial manufacturing capabilities or making arrangements with third</w:t>
      </w:r>
      <w:r>
        <w:rPr>
          <w:rFonts w:ascii="MS PGothic" w:cs="MS PGothic" w:eastAsia="MS PGothic" w:hAnsi="MS PGothic"/>
          <w:sz w:val="17"/>
          <w:szCs w:val="17"/>
          <w:color w:val="auto"/>
        </w:rPr>
        <w:t>‑</w:t>
      </w:r>
      <w:r>
        <w:rPr>
          <w:rFonts w:ascii="Arial" w:cs="Arial" w:eastAsia="Arial" w:hAnsi="Arial"/>
          <w:sz w:val="17"/>
          <w:szCs w:val="17"/>
          <w:color w:val="auto"/>
        </w:rPr>
        <w:t>party manufacturers;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receipt of marketing approvals from applicable regulatory authorities;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·commercializing the product candidates, if and when approved, whether alone or in collaboration with others;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·obtaining and maintaining patent and trade secret protection and regulatory exclusivity for our product candidates;</w:t>
      </w:r>
    </w:p>
    <w:p>
      <w:pPr>
        <w:spacing w:after="0" w:line="221" w:lineRule="exact"/>
        <w:rPr>
          <w:sz w:val="20"/>
          <w:szCs w:val="20"/>
          <w:color w:val="auto"/>
        </w:rPr>
      </w:pPr>
    </w:p>
    <w:p>
      <w:pPr>
        <w:ind w:left="740" w:hanging="89"/>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acceptable safety profiles of the products following approval; and</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19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124"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Research and development activities are central to our business model. We expect research and development costs to increase significantly for the foreseeable future as our development programs progress, including as we continue to support the Phase 1b clinical trial of VY</w:t>
      </w:r>
      <w:r>
        <w:rPr>
          <w:rFonts w:ascii="MS PGothic" w:cs="MS PGothic" w:eastAsia="MS PGothic" w:hAnsi="MS PGothic"/>
          <w:sz w:val="17"/>
          <w:szCs w:val="17"/>
          <w:color w:val="auto"/>
        </w:rPr>
        <w:t>‑</w:t>
      </w:r>
      <w:r>
        <w:rPr>
          <w:rFonts w:ascii="Arial" w:cs="Arial" w:eastAsia="Arial" w:hAnsi="Arial"/>
          <w:sz w:val="17"/>
          <w:szCs w:val="17"/>
          <w:color w:val="auto"/>
        </w:rPr>
        <w:t>AADC01 as a treatment for advanced Parkinson’s disease, and move such product candidates into additional clinical trials.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220" w:firstLine="648"/>
        <w:spacing w:after="0" w:line="189" w:lineRule="exact"/>
        <w:rPr>
          <w:sz w:val="20"/>
          <w:szCs w:val="20"/>
          <w:color w:val="auto"/>
        </w:rPr>
      </w:pPr>
      <w:r>
        <w:rPr>
          <w:rFonts w:ascii="Arial" w:cs="Arial" w:eastAsia="Arial" w:hAnsi="Arial"/>
          <w:sz w:val="16"/>
          <w:szCs w:val="16"/>
          <w:color w:val="auto"/>
        </w:rPr>
        <w:t>General and administrative expenses consist primarily of salaries and other related costs,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accounting, business development, legal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164"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including the continuation of the Phase 1b clinical trial of VY</w:t>
      </w:r>
      <w:r>
        <w:rPr>
          <w:rFonts w:ascii="MS PGothic" w:cs="MS PGothic" w:eastAsia="MS PGothic" w:hAnsi="MS PGothic"/>
          <w:sz w:val="18"/>
          <w:szCs w:val="18"/>
          <w:color w:val="auto"/>
        </w:rPr>
        <w:t>‑</w:t>
      </w:r>
      <w:r>
        <w:rPr>
          <w:rFonts w:ascii="Arial" w:cs="Arial" w:eastAsia="Arial" w:hAnsi="Arial"/>
          <w:sz w:val="18"/>
          <w:szCs w:val="18"/>
          <w:color w:val="auto"/>
        </w:rPr>
        <w:t>AADC01 and the initiation of our clinical trials for our other product candidates. These increases will likely include increased costs related to the hiring of additional personnel and fees to outside consultants. We also anticipate increased expenses associated with being a public company, including costs for audit, legal, regulatory and tax</w:t>
      </w:r>
      <w:r>
        <w:rPr>
          <w:rFonts w:ascii="MS PGothic" w:cs="MS PGothic" w:eastAsia="MS PGothic" w:hAnsi="MS PGothic"/>
          <w:sz w:val="18"/>
          <w:szCs w:val="18"/>
          <w:color w:val="auto"/>
        </w:rPr>
        <w:t>‑</w:t>
      </w:r>
      <w:r>
        <w:rPr>
          <w:rFonts w:ascii="Arial" w:cs="Arial" w:eastAsia="Arial" w:hAnsi="Arial"/>
          <w:sz w:val="18"/>
          <w:szCs w:val="18"/>
          <w:color w:val="auto"/>
        </w:rPr>
        <w:t>related services, director and officer insurance premiums and investor relations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color w:val="auto"/>
        </w:rPr>
        <w:t>Other income (expense) consists primarily of the re</w:t>
      </w:r>
      <w:r>
        <w:rPr>
          <w:rFonts w:ascii="MS PGothic" w:cs="MS PGothic" w:eastAsia="MS PGothic" w:hAnsi="MS PGothic"/>
          <w:sz w:val="17"/>
          <w:szCs w:val="17"/>
          <w:color w:val="auto"/>
        </w:rPr>
        <w:t>‑</w:t>
      </w:r>
      <w:r>
        <w:rPr>
          <w:rFonts w:ascii="Arial" w:cs="Arial" w:eastAsia="Arial" w:hAnsi="Arial"/>
          <w:sz w:val="17"/>
          <w:szCs w:val="17"/>
          <w:color w:val="auto"/>
        </w:rPr>
        <w:t>measurement losses associated with the change in the fair value of the Series A Preferred Stock tranche rights for the Series A Preferred Stock. $9.8 million of expense was recorded during the quarter ended March 31, 2015 related to the change in fair value of these rights. In February 2015, upon the issuance of the final tranche of Series A Preferred Stock, the tranche right liability was reclassified to Series A Preferred Stock and no further re</w:t>
      </w:r>
      <w:r>
        <w:rPr>
          <w:rFonts w:ascii="MS PGothic" w:cs="MS PGothic" w:eastAsia="MS PGothic" w:hAnsi="MS PGothic"/>
          <w:sz w:val="17"/>
          <w:szCs w:val="17"/>
          <w:color w:val="auto"/>
        </w:rPr>
        <w:t>‑</w:t>
      </w:r>
      <w:r>
        <w:rPr>
          <w:rFonts w:ascii="Arial" w:cs="Arial" w:eastAsia="Arial" w:hAnsi="Arial"/>
          <w:sz w:val="17"/>
          <w:szCs w:val="17"/>
          <w:color w:val="auto"/>
        </w:rPr>
        <w:t>measurement gains or losses will be recognized related to these tranche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We have prepared our financial statements in accordance with U.S. generally accepted accounting principles. Our preparation of these financial statements requires us to make estimates, assumptions, and judgments that affect the reported amounts of assets, liabilities, expenses, and related disclosures at the date of the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27" w:lineRule="exact"/>
        <w:rPr>
          <w:sz w:val="20"/>
          <w:szCs w:val="20"/>
          <w:color w:val="auto"/>
        </w:rPr>
      </w:pPr>
    </w:p>
    <w:p>
      <w:pPr>
        <w:jc w:val="both"/>
        <w:ind w:right="300" w:firstLine="648"/>
        <w:spacing w:after="0" w:line="224"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final prospectus filed with the SEC on November 12, 2015.</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2015 and 2014</w:t>
      </w:r>
    </w:p>
    <w:p>
      <w:pPr>
        <w:spacing w:after="0" w:line="117"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nine months ended September 30, 2015 and 2014, together with the changes in those items in dollars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2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2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 Change</w:t>
            </w:r>
          </w:p>
        </w:tc>
        <w:tc>
          <w:tcPr>
            <w:tcW w:w="10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2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12,397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(12,397)</w:t>
            </w:r>
          </w:p>
        </w:tc>
      </w:tr>
      <w:tr>
        <w:trPr>
          <w:trHeight w:val="169"/>
        </w:trPr>
        <w:tc>
          <w:tcPr>
            <w:tcW w:w="2740" w:type="dxa"/>
            <w:vAlign w:val="bottom"/>
          </w:tcPr>
          <w:p>
            <w:pPr>
              <w:spacing w:after="0" w:line="170" w:lineRule="exact"/>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(12,521)</w:t>
            </w:r>
          </w:p>
        </w:tc>
      </w:tr>
      <w:tr>
        <w:trPr>
          <w:trHeight w:val="216"/>
        </w:trPr>
        <w:tc>
          <w:tcPr>
            <w:tcW w:w="27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3,933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(2,819)</w:t>
            </w:r>
          </w:p>
        </w:tc>
        <w:tc>
          <w:tcPr>
            <w:tcW w:w="40" w:type="dxa"/>
            <w:vAlign w:val="bottom"/>
          </w:tcPr>
          <w:p>
            <w:pPr>
              <w:spacing w:after="0"/>
              <w:rPr>
                <w:sz w:val="18"/>
                <w:szCs w:val="18"/>
                <w:color w:val="auto"/>
              </w:rPr>
            </w:pPr>
          </w:p>
        </w:tc>
      </w:tr>
      <w:tr>
        <w:trPr>
          <w:trHeight w:val="628"/>
        </w:trPr>
        <w:tc>
          <w:tcPr>
            <w:tcW w:w="2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02"/>
        </w:trPr>
        <w:tc>
          <w:tcPr>
            <w:tcW w:w="27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47"/>
        </w:trPr>
        <w:tc>
          <w:tcPr>
            <w:tcW w:w="1280" w:type="dxa"/>
            <w:vAlign w:val="bottom"/>
            <w:tcBorders>
              <w:top w:val="single" w:sz="8" w:color="0563C1"/>
            </w:tcBorders>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(15,340)</w:t>
            </w:r>
          </w:p>
        </w:tc>
      </w:tr>
      <w:tr>
        <w:trPr>
          <w:trHeight w:val="169"/>
        </w:trPr>
        <w:tc>
          <w:tcPr>
            <w:tcW w:w="2880" w:type="dxa"/>
            <w:vAlign w:val="bottom"/>
            <w:gridSpan w:val="2"/>
          </w:tcPr>
          <w:p>
            <w:pPr>
              <w:spacing w:after="0" w:line="170" w:lineRule="exact"/>
              <w:rPr>
                <w:sz w:val="20"/>
                <w:szCs w:val="20"/>
                <w:color w:val="auto"/>
              </w:rPr>
            </w:pPr>
            <w:r>
              <w:rPr>
                <w:rFonts w:ascii="Arial" w:cs="Arial" w:eastAsia="Arial" w:hAnsi="Arial"/>
                <w:sz w:val="18"/>
                <w:szCs w:val="18"/>
                <w:color w:val="auto"/>
              </w:rPr>
              <w:t>Other expense, net:</w:t>
            </w:r>
          </w:p>
        </w:tc>
        <w:tc>
          <w:tcPr>
            <w:tcW w:w="4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 (expense), net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8"/>
                <w:szCs w:val="18"/>
                <w:color w:val="auto"/>
              </w:rPr>
              <w:t>Other financing expense</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(9,750)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7,996</w:t>
            </w:r>
          </w:p>
        </w:tc>
        <w:tc>
          <w:tcPr>
            <w:tcW w:w="40" w:type="dxa"/>
            <w:vAlign w:val="bottom"/>
          </w:tcPr>
          <w:p>
            <w:pPr>
              <w:spacing w:after="0"/>
              <w:rPr>
                <w:sz w:val="18"/>
                <w:szCs w:val="18"/>
                <w:color w:val="auto"/>
              </w:rPr>
            </w:pPr>
          </w:p>
        </w:tc>
      </w:tr>
      <w:tr>
        <w:trPr>
          <w:trHeight w:val="210"/>
        </w:trPr>
        <w:tc>
          <w:tcPr>
            <w:tcW w:w="288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other expense, net</w:t>
            </w: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28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   (3,917)</w:t>
            </w: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(4,005)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  (22,389)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6"/>
              </w:rPr>
              <w:t>$  (11,627)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Revenue was $5.0 million and $12.4 million for the three and nine months ended September 30, 2015, all of which related to the Genzyme Collaboration. We did not earn any revenue for the three or nine months ended September 30, 2014. In the three and nine months ended September 30, 2015 we recorded $5.0 million and $12.4 million in recognition of amounts allocated to research and development services for various programs under the Genzyme Collaboration, which was entered into in February 2015. Generally, the amounts allocated to these programs are expected to be recognized on a straight line basis over the period the services are provided for each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Research and development expense increased by $4.1 million from $2.4 million for the three months ended September 30, 2015 to $6.5 million and increased by $12.5 million from $6.0 million for the nine months ended September 30, 2014 to $18.5 million for the nine months ended September 30, 2015. The following table summarizes our research and development expenses, for the three and nine months ended September 30, 2014 and September 30, 2015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5"/>
              </w:rPr>
              <w:t>$ Change</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Employee and contractor related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9"/>
              </w:rPr>
              <w:t>Process and platform development expenses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10,161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8,504</w:t>
            </w:r>
          </w:p>
        </w:tc>
        <w:tc>
          <w:tcPr>
            <w:tcW w:w="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License fees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Facility expenses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w:t>
            </w:r>
          </w:p>
        </w:tc>
        <w:tc>
          <w:tcPr>
            <w:tcW w:w="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shd w:val="clear" w:color="auto" w:fill="CCEEFF"/>
          </w:tcPr>
          <w:p>
            <w:pPr>
              <w:spacing w:after="0"/>
              <w:rPr>
                <w:sz w:val="18"/>
                <w:szCs w:val="18"/>
                <w:color w:val="auto"/>
              </w:rPr>
            </w:pPr>
          </w:p>
        </w:tc>
      </w:tr>
      <w:tr>
        <w:trPr>
          <w:trHeight w:val="210"/>
        </w:trPr>
        <w:tc>
          <w:tcPr>
            <w:tcW w:w="3620" w:type="dxa"/>
            <w:vAlign w:val="bottom"/>
          </w:tcPr>
          <w:p>
            <w:pPr>
              <w:ind w:left="220"/>
              <w:spacing w:after="0"/>
              <w:rPr>
                <w:sz w:val="20"/>
                <w:szCs w:val="20"/>
                <w:color w:val="auto"/>
              </w:rPr>
            </w:pPr>
            <w:r>
              <w:rPr>
                <w:rFonts w:ascii="Arial" w:cs="Arial" w:eastAsia="Arial" w:hAnsi="Arial"/>
                <w:sz w:val="18"/>
                <w:szCs w:val="18"/>
                <w:color w:val="auto"/>
                <w:w w:val="99"/>
              </w:rPr>
              <w:t>Total research and development expenses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6,481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$ 2,399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$ 4,082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18,459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$ 5,938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12,521</w:t>
            </w:r>
          </w:p>
        </w:tc>
        <w:tc>
          <w:tcPr>
            <w:tcW w:w="40" w:type="dxa"/>
            <w:vAlign w:val="bottom"/>
          </w:tcPr>
          <w:p>
            <w:pPr>
              <w:spacing w:after="0"/>
              <w:rPr>
                <w:sz w:val="18"/>
                <w:szCs w:val="18"/>
                <w:color w:val="auto"/>
              </w:rPr>
            </w:pPr>
          </w:p>
        </w:tc>
      </w:tr>
      <w:tr>
        <w:trPr>
          <w:trHeight w:val="27"/>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364"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The increase in research and development expense for the three months ended September 30, 2015 was primarily attributable to the following:</w:t>
      </w:r>
    </w:p>
    <w:p>
      <w:pPr>
        <w:spacing w:after="0" w:line="162" w:lineRule="exact"/>
        <w:rPr>
          <w:sz w:val="20"/>
          <w:szCs w:val="20"/>
          <w:color w:val="auto"/>
        </w:rPr>
      </w:pPr>
    </w:p>
    <w:p>
      <w:pPr>
        <w:ind w:left="700" w:right="40" w:hanging="53"/>
        <w:spacing w:after="0" w:line="198" w:lineRule="exact"/>
        <w:rPr>
          <w:sz w:val="20"/>
          <w:szCs w:val="20"/>
          <w:color w:val="auto"/>
        </w:rPr>
      </w:pPr>
      <w:r>
        <w:rPr>
          <w:rFonts w:ascii="Arial" w:cs="Arial" w:eastAsia="Arial" w:hAnsi="Arial"/>
          <w:sz w:val="16"/>
          <w:szCs w:val="16"/>
          <w:color w:val="auto"/>
        </w:rPr>
        <w:t>·approximately $2.3 million for increased costs of funding research performed by third parties that conduct research and development, preclinical and clinical activities and manufacturing and production design on our behalf and increased purchases of lab supplies and non</w:t>
      </w:r>
      <w:r>
        <w:rPr>
          <w:rFonts w:ascii="MS PGothic" w:cs="MS PGothic" w:eastAsia="MS PGothic" w:hAnsi="MS PGothic"/>
          <w:sz w:val="16"/>
          <w:szCs w:val="16"/>
          <w:color w:val="auto"/>
        </w:rPr>
        <w:t>‑</w:t>
      </w:r>
      <w:r>
        <w:rPr>
          <w:rFonts w:ascii="Arial" w:cs="Arial" w:eastAsia="Arial" w:hAnsi="Arial"/>
          <w:sz w:val="16"/>
          <w:szCs w:val="16"/>
          <w:color w:val="auto"/>
        </w:rPr>
        <w:t>capital equipment used in designing, developing and manufacturing preclinical study materials, and an additional expense of approximately $0.1 million attributable to in</w:t>
      </w:r>
      <w:r>
        <w:rPr>
          <w:rFonts w:ascii="MS PGothic" w:cs="MS PGothic" w:eastAsia="MS PGothic" w:hAnsi="MS PGothic"/>
          <w:sz w:val="16"/>
          <w:szCs w:val="16"/>
          <w:color w:val="auto"/>
        </w:rPr>
        <w:t>‑</w:t>
      </w:r>
      <w:r>
        <w:rPr>
          <w:rFonts w:ascii="Arial" w:cs="Arial" w:eastAsia="Arial" w:hAnsi="Arial"/>
          <w:sz w:val="16"/>
          <w:szCs w:val="16"/>
          <w:color w:val="auto"/>
        </w:rPr>
        <w:t>kind research and development services incurred by Genzyme and provided to us under the Genzyme Collaboration;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$1.4 million for increased research and development employee compensation costs;</w:t>
      </w:r>
    </w:p>
    <w:p>
      <w:pPr>
        <w:spacing w:after="0" w:line="198" w:lineRule="exact"/>
        <w:rPr>
          <w:sz w:val="20"/>
          <w:szCs w:val="20"/>
          <w:color w:val="auto"/>
        </w:rPr>
      </w:pPr>
    </w:p>
    <w:p>
      <w:pPr>
        <w:ind w:left="700" w:right="200" w:hanging="53"/>
        <w:spacing w:after="0" w:line="246" w:lineRule="auto"/>
        <w:rPr>
          <w:sz w:val="20"/>
          <w:szCs w:val="20"/>
          <w:color w:val="auto"/>
        </w:rPr>
      </w:pPr>
      <w:r>
        <w:rPr>
          <w:rFonts w:ascii="Arial" w:cs="Arial" w:eastAsia="Arial" w:hAnsi="Arial"/>
          <w:sz w:val="18"/>
          <w:szCs w:val="18"/>
          <w:color w:val="auto"/>
        </w:rPr>
        <w:t>·approximately $0.2 million for increases in facility costs including rent, depreciation, and maintenance expenses;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The increase in research and development expense for the nine months ended September 30, 2015 was primarily attributable to the following:</w:t>
      </w:r>
    </w:p>
    <w:p>
      <w:pPr>
        <w:spacing w:after="0" w:line="162" w:lineRule="exact"/>
        <w:rPr>
          <w:sz w:val="20"/>
          <w:szCs w:val="20"/>
          <w:color w:val="auto"/>
        </w:rPr>
      </w:pPr>
    </w:p>
    <w:p>
      <w:pPr>
        <w:ind w:left="700" w:right="20" w:hanging="53"/>
        <w:spacing w:after="0" w:line="198" w:lineRule="exact"/>
        <w:rPr>
          <w:sz w:val="20"/>
          <w:szCs w:val="20"/>
          <w:color w:val="auto"/>
        </w:rPr>
      </w:pPr>
      <w:r>
        <w:rPr>
          <w:rFonts w:ascii="Arial" w:cs="Arial" w:eastAsia="Arial" w:hAnsi="Arial"/>
          <w:sz w:val="16"/>
          <w:szCs w:val="16"/>
          <w:color w:val="auto"/>
        </w:rPr>
        <w:t>·approximately $8.4 million for increased costs of funding research performed by third parties that conduct research and development, preclinical and clinical activities and manufacturing and production design on our behalf and increased purchases of lab supplies and non</w:t>
      </w:r>
      <w:r>
        <w:rPr>
          <w:rFonts w:ascii="MS PGothic" w:cs="MS PGothic" w:eastAsia="MS PGothic" w:hAnsi="MS PGothic"/>
          <w:sz w:val="16"/>
          <w:szCs w:val="16"/>
          <w:color w:val="auto"/>
        </w:rPr>
        <w:t>‑</w:t>
      </w:r>
      <w:r>
        <w:rPr>
          <w:rFonts w:ascii="Arial" w:cs="Arial" w:eastAsia="Arial" w:hAnsi="Arial"/>
          <w:sz w:val="16"/>
          <w:szCs w:val="16"/>
          <w:color w:val="auto"/>
        </w:rPr>
        <w:t>capital equipment used in designing, developing and manufacturing preclinical study materials, and an additional expense of approximately $0.1 million attributable to in</w:t>
      </w:r>
      <w:r>
        <w:rPr>
          <w:rFonts w:ascii="MS PGothic" w:cs="MS PGothic" w:eastAsia="MS PGothic" w:hAnsi="MS PGothic"/>
          <w:sz w:val="16"/>
          <w:szCs w:val="16"/>
          <w:color w:val="auto"/>
        </w:rPr>
        <w:t>‑</w:t>
      </w:r>
      <w:r>
        <w:rPr>
          <w:rFonts w:ascii="Arial" w:cs="Arial" w:eastAsia="Arial" w:hAnsi="Arial"/>
          <w:sz w:val="16"/>
          <w:szCs w:val="16"/>
          <w:color w:val="auto"/>
        </w:rPr>
        <w:t>kind research and development services incurred by Genzyme and provided to us under the Genzyme Collaboration;</w:t>
      </w:r>
    </w:p>
    <w:p>
      <w:pPr>
        <w:spacing w:after="0" w:line="176" w:lineRule="exact"/>
        <w:rPr>
          <w:sz w:val="20"/>
          <w:szCs w:val="20"/>
          <w:color w:val="auto"/>
        </w:rPr>
      </w:pPr>
    </w:p>
    <w:p>
      <w:pPr>
        <w:ind w:left="700" w:right="340" w:hanging="53"/>
        <w:spacing w:after="0" w:line="275" w:lineRule="auto"/>
        <w:rPr>
          <w:sz w:val="20"/>
          <w:szCs w:val="20"/>
          <w:color w:val="auto"/>
        </w:rPr>
      </w:pPr>
      <w:r>
        <w:rPr>
          <w:rFonts w:ascii="Arial" w:cs="Arial" w:eastAsia="Arial" w:hAnsi="Arial"/>
          <w:sz w:val="17"/>
          <w:szCs w:val="17"/>
          <w:color w:val="auto"/>
        </w:rPr>
        <w:t>·approximately $3.9 million for increased research and development employee compensation costs, which were partially offset by a $0.1 million decrease in contractor and consulting fees and expenses;</w:t>
      </w:r>
    </w:p>
    <w:p>
      <w:pPr>
        <w:spacing w:after="0" w:line="146" w:lineRule="exact"/>
        <w:rPr>
          <w:sz w:val="20"/>
          <w:szCs w:val="20"/>
          <w:color w:val="auto"/>
        </w:rPr>
      </w:pPr>
    </w:p>
    <w:p>
      <w:pPr>
        <w:ind w:left="700" w:right="180" w:hanging="53"/>
        <w:spacing w:after="0" w:line="246" w:lineRule="auto"/>
        <w:rPr>
          <w:sz w:val="20"/>
          <w:szCs w:val="20"/>
          <w:color w:val="auto"/>
        </w:rPr>
      </w:pPr>
      <w:r>
        <w:rPr>
          <w:rFonts w:ascii="Arial" w:cs="Arial" w:eastAsia="Arial" w:hAnsi="Arial"/>
          <w:sz w:val="18"/>
          <w:szCs w:val="18"/>
          <w:color w:val="auto"/>
        </w:rPr>
        <w:t>·approximately $0.7 million for increases in facility costs including rent, depreciation, and maintenance expenses;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 decrease of approximately $0.7 million related to lower licensing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640" w:firstLine="648"/>
        <w:spacing w:after="0" w:line="224" w:lineRule="auto"/>
        <w:rPr>
          <w:sz w:val="20"/>
          <w:szCs w:val="20"/>
          <w:color w:val="auto"/>
        </w:rPr>
      </w:pPr>
      <w:r>
        <w:rPr>
          <w:rFonts w:ascii="Arial" w:cs="Arial" w:eastAsia="Arial" w:hAnsi="Arial"/>
          <w:sz w:val="18"/>
          <w:szCs w:val="18"/>
          <w:color w:val="auto"/>
        </w:rPr>
        <w:t>General and administrative expense increased by $1.2 million from $1.3 million for the three months ended September 30, 2014 to $2.5 million for the three months ended September 30, 2015. The increase in general and administrative expense was primarily attributable to the following:</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$0.5 million related to the increase in administrative function headcount;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$0.4 million for increased consulting and professional services; and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approximately $0.2 million increase in the patent related legal fees.</w:t>
      </w:r>
    </w:p>
    <w:p>
      <w:pPr>
        <w:spacing w:after="0" w:line="198"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General and administrative expense increased by $2.8 million from $3.9 million for nine months ended September 30, 2014 to $6.8 million for nine months ended September 30, 2015. The increase in general and administrative expense was primarily attributable to the following:</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$1.4 million for increased consulting and professional services;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$1.1 million related to the increase in administrative function headcount; and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$0.3 million for costs related to renting and operating our corporate offices.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Other expense increased by $0.4 million from $0.3 million in net expense for the three months ended September 30, 2014 to $0.1 million in net income for the three months ended September 30, 2015, primarily related to the $0.3 million mark to market adjustments recorded on our Series A Preferred Stock Tranche Rights liability in the three months ended September 30, 2014. Other expense increased by $8.0 million from $1.8 million for the nine months ended September 30, 2014 to $9.8 million for the nine months ended September 30, 2015. The increase in expense primarily related to the mark to market adjustments recorded on our Series A Preferred Stock Tranche Rights liability during the nine months ended September 30, 2015. The increase in value of the Series A Preferred Stock Tranche Rights liability was a result of the increase in the fair value of our Series A Preferred Stock and the increase in the probability of closing the tranche during the nine months ended September 30, 2015. The Series A Preferred Stock Tranche Rights liability was settled in February 2015 upon the issuance of the final tranche of Series A Preferred Stock.</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140" w:firstLine="648"/>
        <w:spacing w:after="0" w:line="194" w:lineRule="exact"/>
        <w:rPr>
          <w:sz w:val="20"/>
          <w:szCs w:val="20"/>
          <w:color w:val="auto"/>
        </w:rPr>
      </w:pPr>
      <w:r>
        <w:rPr>
          <w:rFonts w:ascii="Arial" w:cs="Arial" w:eastAsia="Arial" w:hAnsi="Arial"/>
          <w:sz w:val="18"/>
          <w:szCs w:val="18"/>
          <w:color w:val="auto"/>
        </w:rPr>
        <w:t>Prior to our IPO, we had funded our operations primarily through proceeds from private placements of our redeemable convertible preferred stock and convertible promissory notes of $135.0 million and proceeds associated with an up</w:t>
      </w:r>
      <w:r>
        <w:rPr>
          <w:rFonts w:ascii="MS PGothic" w:cs="MS PGothic" w:eastAsia="MS PGothic" w:hAnsi="MS PGothic"/>
          <w:sz w:val="18"/>
          <w:szCs w:val="18"/>
          <w:color w:val="auto"/>
        </w:rPr>
        <w:t>‑</w:t>
      </w:r>
      <w:r>
        <w:rPr>
          <w:rFonts w:ascii="Arial" w:cs="Arial" w:eastAsia="Arial" w:hAnsi="Arial"/>
          <w:sz w:val="18"/>
          <w:szCs w:val="18"/>
          <w:color w:val="auto"/>
        </w:rPr>
        <w:t>front payment from the Genzyme Collaboration of $65.0 million.</w:t>
      </w:r>
    </w:p>
    <w:p>
      <w:pPr>
        <w:spacing w:after="0" w:line="163"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On November 16, 2015 we closed our IPO whereby we sold 5,750,000 shares of common stock, at a public offering price of $14.00 per share, including 750,000 shares of common stock issued upon the full exercise by the underwriters of their option to purchase additional shares, resulting in net proceeds to us of $72.7 million after deducting underwriting discounts and commissions and estimated offering expenses payable by us.</w:t>
      </w:r>
    </w:p>
    <w:p>
      <w:pPr>
        <w:spacing w:after="0" w:line="122" w:lineRule="exact"/>
        <w:rPr>
          <w:sz w:val="20"/>
          <w:szCs w:val="20"/>
          <w:color w:val="auto"/>
        </w:rPr>
      </w:pPr>
    </w:p>
    <w:p>
      <w:pPr>
        <w:ind w:right="1040" w:firstLine="648"/>
        <w:spacing w:after="0" w:line="454" w:lineRule="auto"/>
        <w:rPr>
          <w:sz w:val="20"/>
          <w:szCs w:val="20"/>
          <w:color w:val="auto"/>
        </w:rPr>
      </w:pPr>
      <w:r>
        <w:rPr>
          <w:rFonts w:ascii="Arial" w:cs="Arial" w:eastAsia="Arial" w:hAnsi="Arial"/>
          <w:sz w:val="18"/>
          <w:szCs w:val="18"/>
          <w:color w:val="auto"/>
        </w:rPr>
        <w:t xml:space="preserve">As of September 30, 2015, we had cash, cash equivalents and marketable securities of $160.6 million. </w:t>
      </w:r>
      <w:r>
        <w:rPr>
          <w:rFonts w:ascii="Arial" w:cs="Arial" w:eastAsia="Arial" w:hAnsi="Arial"/>
          <w:sz w:val="18"/>
          <w:szCs w:val="18"/>
          <w:i w:val="1"/>
          <w:iCs w:val="1"/>
          <w:color w:val="auto"/>
        </w:rPr>
        <w:t>Cash Flows</w:t>
      </w:r>
    </w:p>
    <w:p>
      <w:pPr>
        <w:ind w:right="160" w:firstLine="648"/>
        <w:spacing w:after="0" w:line="235" w:lineRule="auto"/>
        <w:rPr>
          <w:sz w:val="20"/>
          <w:szCs w:val="20"/>
          <w:color w:val="auto"/>
        </w:rPr>
      </w:pPr>
      <w:r>
        <w:rPr>
          <w:rFonts w:ascii="Arial" w:cs="Arial" w:eastAsia="Arial" w:hAnsi="Arial"/>
          <w:sz w:val="18"/>
          <w:szCs w:val="18"/>
          <w:color w:val="auto"/>
        </w:rPr>
        <w:t>The following table provides information regarding our cash flows for the nine months ended September 30, 2015 and September 30, 2014 (in thousands):</w:t>
      </w:r>
    </w:p>
    <w:p>
      <w:pPr>
        <w:sectPr>
          <w:pgSz w:w="11900" w:h="16838" w:orient="portrait"/>
          <w:cols w:equalWidth="0" w:num="1">
            <w:col w:w="9040"/>
          </w:cols>
          <w:pgMar w:left="1420" w:top="11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754370" cy="111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1117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(Used in) Operating Activities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17837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54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50,856</w:t>
            </w:r>
          </w:p>
        </w:tc>
        <w:tc>
          <w:tcPr>
            <w:tcW w:w="18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(7,126)</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(95,192)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(2,293)</w:t>
            </w:r>
          </w:p>
        </w:tc>
      </w:tr>
      <w:tr>
        <w:trPr>
          <w:trHeight w:val="230"/>
        </w:trPr>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103,834</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15,614</w:t>
            </w:r>
          </w:p>
        </w:tc>
      </w:tr>
      <w:tr>
        <w:trPr>
          <w:trHeight w:val="217"/>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59,498</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w:t>
            </w:r>
          </w:p>
        </w:tc>
      </w:tr>
    </w:tbl>
    <w:p>
      <w:pPr>
        <w:spacing w:after="0" w:line="572" w:lineRule="exact"/>
        <w:rPr>
          <w:sz w:val="20"/>
          <w:szCs w:val="20"/>
          <w:color w:val="auto"/>
        </w:rPr>
      </w:pPr>
    </w:p>
    <w:p>
      <w:pPr>
        <w:sectPr>
          <w:pgSz w:w="11900" w:h="16838" w:orient="portrait"/>
          <w:cols w:equalWidth="0" w:num="2">
            <w:col w:w="5480" w:space="720"/>
            <w:col w:w="2840"/>
          </w:cols>
          <w:pgMar w:left="1420" w:top="111" w:right="1439" w:bottom="1440" w:gutter="0" w:footer="0" w:header="0"/>
          <w:type w:val="continuous"/>
        </w:sectPr>
      </w:pPr>
    </w:p>
    <w:p>
      <w:pPr>
        <w:spacing w:after="0" w:line="8" w:lineRule="exact"/>
        <w:rPr>
          <w:sz w:val="20"/>
          <w:szCs w:val="20"/>
          <w:color w:val="auto"/>
        </w:rPr>
      </w:pPr>
    </w:p>
    <w:p>
      <w:pPr>
        <w:ind w:right="220" w:firstLine="648"/>
        <w:spacing w:after="0" w:line="203" w:lineRule="exact"/>
        <w:rPr>
          <w:sz w:val="20"/>
          <w:szCs w:val="20"/>
          <w:color w:val="auto"/>
        </w:rPr>
      </w:pPr>
      <w:r>
        <w:rPr>
          <w:rFonts w:ascii="Arial" w:cs="Arial" w:eastAsia="Arial" w:hAnsi="Arial"/>
          <w:sz w:val="18"/>
          <w:szCs w:val="18"/>
          <w:color w:val="auto"/>
        </w:rPr>
        <w:t>The use of cash in all periods resulted primarily from our net losses adjusted for non</w:t>
      </w:r>
      <w:r>
        <w:rPr>
          <w:rFonts w:ascii="MS PGothic" w:cs="MS PGothic" w:eastAsia="MS PGothic" w:hAnsi="MS PGothic"/>
          <w:sz w:val="18"/>
          <w:szCs w:val="18"/>
          <w:color w:val="auto"/>
        </w:rPr>
        <w:t>‑</w:t>
      </w:r>
      <w:r>
        <w:rPr>
          <w:rFonts w:ascii="Arial" w:cs="Arial" w:eastAsia="Arial" w:hAnsi="Arial"/>
          <w:sz w:val="18"/>
          <w:szCs w:val="18"/>
          <w:color w:val="auto"/>
        </w:rPr>
        <w:t>cash charges and changes in components of working capital.</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Net cash provided by operating activities was $50.9 million during the nine months ended September 30, 2015 compared to $7.1 million of cash used in operating activities during the nine months ended September 30, 2014. The increase in cash provided by operating activities was primarily due to the receipt of the $65.0 million upfront payment from Genzyme under the Genzyme Collaboration.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85"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Net cash used in investing activities was $95.2 million during the nine months ended September 30, 2015 compared to $2.3 million during the nine months ended September 30, 2014. The cash used for investing activities for the nine months ended September 30, 2015 was primarily due to purchases of marketable securities partially offset by proceeds from maturities of marketable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85" w:lineRule="exact"/>
        <w:rPr>
          <w:sz w:val="20"/>
          <w:szCs w:val="20"/>
          <w:color w:val="auto"/>
        </w:rPr>
      </w:pPr>
    </w:p>
    <w:p>
      <w:pPr>
        <w:ind w:right="340" w:firstLine="648"/>
        <w:spacing w:after="0" w:line="289" w:lineRule="auto"/>
        <w:rPr>
          <w:sz w:val="20"/>
          <w:szCs w:val="20"/>
          <w:color w:val="auto"/>
        </w:rPr>
      </w:pPr>
      <w:r>
        <w:rPr>
          <w:rFonts w:ascii="Arial" w:cs="Arial" w:eastAsia="Arial" w:hAnsi="Arial"/>
          <w:sz w:val="16"/>
          <w:szCs w:val="16"/>
          <w:color w:val="auto"/>
        </w:rPr>
        <w:t>Net cash provided by financing activities was $103.8 million during the nine months ended September 30, 2015 compared to $15.6 million during the nine months ended September 30, 2014. The increase in cash provided by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type w:val="continuous"/>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500"/>
        <w:spacing w:after="0" w:line="238" w:lineRule="auto"/>
        <w:rPr>
          <w:sz w:val="20"/>
          <w:szCs w:val="20"/>
          <w:color w:val="auto"/>
        </w:rPr>
      </w:pPr>
      <w:r>
        <w:rPr>
          <w:rFonts w:ascii="Arial" w:cs="Arial" w:eastAsia="Arial" w:hAnsi="Arial"/>
          <w:sz w:val="17"/>
          <w:szCs w:val="17"/>
          <w:color w:val="auto"/>
        </w:rPr>
        <w:t>financing activities was primarily due to the issuance of $20.0 million of Series A Preferred Stock and $90.0 million of Series B Preferred Stock during the nine months ended September 30, 2015, of which $5.0 million in proceeds were in excess of the Series B Preferred Stock’s fair value and were allocated to deferred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7"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We expect our existing cash, cash equivalents and marketable securities will enable us to fund our operating expenses and capital expenditure requirements for at least the next 24 months. Our future capital requirements will depend on many factors, including:</w:t>
      </w:r>
    </w:p>
    <w:p>
      <w:pPr>
        <w:spacing w:after="0" w:line="163" w:lineRule="exact"/>
        <w:rPr>
          <w:sz w:val="20"/>
          <w:szCs w:val="20"/>
          <w:color w:val="auto"/>
        </w:rPr>
      </w:pPr>
    </w:p>
    <w:p>
      <w:pPr>
        <w:ind w:left="700" w:right="380" w:hanging="53"/>
        <w:spacing w:after="0" w:line="246" w:lineRule="auto"/>
        <w:rPr>
          <w:sz w:val="20"/>
          <w:szCs w:val="20"/>
          <w:color w:val="auto"/>
        </w:rPr>
      </w:pPr>
      <w:r>
        <w:rPr>
          <w:rFonts w:ascii="Arial" w:cs="Arial" w:eastAsia="Arial" w:hAnsi="Arial"/>
          <w:sz w:val="18"/>
          <w:szCs w:val="18"/>
          <w:color w:val="auto"/>
        </w:rPr>
        <w:t>·the scope, progress, results and costs of product discovery, preclinical studies and clinical trials for our product candidates;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scope, prioritization and number of our research and development programs;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costs, timing and outcome of regulatory review of our product candidates;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establish and maintain collaborations on favorable terms, if at all;</w:t>
      </w:r>
    </w:p>
    <w:p>
      <w:pPr>
        <w:spacing w:after="0" w:line="198" w:lineRule="exact"/>
        <w:rPr>
          <w:sz w:val="20"/>
          <w:szCs w:val="20"/>
          <w:color w:val="auto"/>
        </w:rPr>
      </w:pPr>
    </w:p>
    <w:p>
      <w:pPr>
        <w:ind w:left="700" w:right="460" w:hanging="53"/>
        <w:spacing w:after="0" w:line="246" w:lineRule="auto"/>
        <w:rPr>
          <w:sz w:val="20"/>
          <w:szCs w:val="20"/>
          <w:color w:val="auto"/>
        </w:rPr>
      </w:pPr>
      <w:r>
        <w:rPr>
          <w:rFonts w:ascii="Arial" w:cs="Arial" w:eastAsia="Arial" w:hAnsi="Arial"/>
          <w:sz w:val="18"/>
          <w:szCs w:val="18"/>
          <w:color w:val="auto"/>
        </w:rPr>
        <w:t>·the achievement of milestones or occurrence of other developments that trigger payments under the Genzyme Collaboration and any other collaboration agreements we obtain;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ability of our collaboration partners to exercise options to extend research and development programs</w:t>
      </w:r>
    </w:p>
    <w:p>
      <w:pPr>
        <w:spacing w:after="0" w:line="210" w:lineRule="exact"/>
        <w:rPr>
          <w:sz w:val="20"/>
          <w:szCs w:val="20"/>
          <w:color w:val="auto"/>
        </w:rPr>
      </w:pPr>
    </w:p>
    <w:p>
      <w:pPr>
        <w:ind w:left="700" w:right="660" w:hanging="53"/>
        <w:spacing w:after="0" w:line="246" w:lineRule="auto"/>
        <w:rPr>
          <w:sz w:val="20"/>
          <w:szCs w:val="20"/>
          <w:color w:val="auto"/>
        </w:rPr>
      </w:pPr>
      <w:r>
        <w:rPr>
          <w:rFonts w:ascii="Arial" w:cs="Arial" w:eastAsia="Arial" w:hAnsi="Arial"/>
          <w:sz w:val="18"/>
          <w:szCs w:val="18"/>
          <w:color w:val="auto"/>
        </w:rPr>
        <w:t>·the extent to which we are obligated to reimburse, or entitled to reimbursement of, clinical trial costs under collaboration agreements, if any;</w:t>
      </w:r>
    </w:p>
    <w:p>
      <w:pPr>
        <w:spacing w:after="0" w:line="170" w:lineRule="exact"/>
        <w:rPr>
          <w:sz w:val="20"/>
          <w:szCs w:val="20"/>
          <w:color w:val="auto"/>
        </w:rPr>
      </w:pPr>
    </w:p>
    <w:p>
      <w:pPr>
        <w:ind w:left="700" w:right="620" w:hanging="53"/>
        <w:spacing w:after="0" w:line="210" w:lineRule="exact"/>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7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costs of securing manufacturing arrangements for commercial production; and</w:t>
      </w:r>
    </w:p>
    <w:p>
      <w:pPr>
        <w:spacing w:after="0" w:line="198" w:lineRule="exact"/>
        <w:rPr>
          <w:sz w:val="20"/>
          <w:szCs w:val="20"/>
          <w:color w:val="auto"/>
        </w:rPr>
      </w:pPr>
    </w:p>
    <w:p>
      <w:pPr>
        <w:ind w:left="700" w:right="360" w:hanging="53"/>
        <w:spacing w:after="0" w:line="246" w:lineRule="auto"/>
        <w:rPr>
          <w:sz w:val="20"/>
          <w:szCs w:val="20"/>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70" w:lineRule="exact"/>
        <w:rPr>
          <w:sz w:val="20"/>
          <w:szCs w:val="20"/>
          <w:color w:val="auto"/>
        </w:rPr>
      </w:pPr>
    </w:p>
    <w:p>
      <w:pPr>
        <w:ind w:right="120" w:firstLine="648"/>
        <w:spacing w:after="0" w:line="187" w:lineRule="exact"/>
        <w:rPr>
          <w:sz w:val="20"/>
          <w:szCs w:val="20"/>
          <w:color w:val="auto"/>
        </w:rPr>
      </w:pPr>
      <w:r>
        <w:rPr>
          <w:rFonts w:ascii="Arial" w:cs="Arial" w:eastAsia="Arial" w:hAnsi="Arial"/>
          <w:sz w:val="17"/>
          <w:szCs w:val="17"/>
          <w:color w:val="auto"/>
        </w:rPr>
        <w:t>Identifying potential product candidates and conducting preclinical studies and clinical trials is a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gene therapies that we do not expect to be commercially available for many years, if at all. Accordingly, we will</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need to continue to rely on additional financing to achieve our business objectives. Adequate additional financing may not be available to us on acceptable terms, or at all.</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redeemable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65"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w:t>
      </w:r>
    </w:p>
    <w:p>
      <w:pPr>
        <w:spacing w:after="0"/>
        <w:rPr>
          <w:sz w:val="20"/>
          <w:szCs w:val="20"/>
          <w:color w:val="auto"/>
        </w:rPr>
      </w:pPr>
      <w:r>
        <w:rPr>
          <w:rFonts w:ascii="Arial" w:cs="Arial" w:eastAsia="Arial" w:hAnsi="Arial"/>
          <w:sz w:val="18"/>
          <w:szCs w:val="18"/>
          <w:color w:val="auto"/>
        </w:rPr>
        <w:t>December 31, 2014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Less Than</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r>
      <w:tr>
        <w:trPr>
          <w:trHeight w:val="171"/>
        </w:trPr>
        <w:tc>
          <w:tcPr>
            <w:tcW w:w="228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1 to 3 Years</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3 to 5 Years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5 Years</w:t>
            </w:r>
          </w:p>
        </w:tc>
        <w:tc>
          <w:tcPr>
            <w:tcW w:w="40" w:type="dxa"/>
            <w:vAlign w:val="bottom"/>
            <w:tcBorders>
              <w:bottom w:val="single" w:sz="8" w:color="CCEEFF"/>
            </w:tcBorders>
          </w:tcPr>
          <w:p>
            <w:pPr>
              <w:spacing w:after="0"/>
              <w:rPr>
                <w:sz w:val="14"/>
                <w:szCs w:val="14"/>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0"/>
              </w:rPr>
              <w:t>Operating lease commitments</w:t>
            </w:r>
            <w:r>
              <w:rPr>
                <w:rFonts w:ascii="Arial" w:cs="Arial" w:eastAsia="Arial" w:hAnsi="Arial"/>
                <w:sz w:val="8"/>
                <w:szCs w:val="8"/>
                <w:color w:val="auto"/>
                <w:w w:val="90"/>
              </w:rPr>
              <w:t>(1)</w:t>
            </w:r>
          </w:p>
        </w:tc>
        <w:tc>
          <w:tcPr>
            <w:tcW w:w="2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5,877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1,117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3,576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  1,184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108"/>
        </w:trPr>
        <w:tc>
          <w:tcPr>
            <w:tcW w:w="228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80" w:lineRule="exact"/>
        <w:rPr>
          <w:sz w:val="20"/>
          <w:szCs w:val="20"/>
          <w:color w:val="auto"/>
        </w:rPr>
      </w:pPr>
    </w:p>
    <w:p>
      <w:pPr>
        <w:ind w:left="480" w:right="320" w:hanging="477"/>
        <w:spacing w:after="0" w:line="210" w:lineRule="exact"/>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lease office space at 75 Sidney Street in Cambridge, Massachusetts under a non</w:t>
      </w:r>
      <w:r>
        <w:rPr>
          <w:rFonts w:ascii="MS PGothic" w:cs="MS PGothic" w:eastAsia="MS PGothic" w:hAnsi="MS PGothic"/>
          <w:sz w:val="18"/>
          <w:szCs w:val="18"/>
          <w:color w:val="auto"/>
        </w:rPr>
        <w:t>‑</w:t>
      </w:r>
      <w:r>
        <w:rPr>
          <w:rFonts w:ascii="Arial" w:cs="Arial" w:eastAsia="Arial" w:hAnsi="Arial"/>
          <w:sz w:val="18"/>
          <w:szCs w:val="18"/>
          <w:color w:val="auto"/>
        </w:rPr>
        <w:t>cancelable operating lease that expires in December 2019.</w:t>
      </w:r>
    </w:p>
    <w:p>
      <w:pPr>
        <w:spacing w:after="0" w:line="108"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We enter into agreements in the normal course of business with CROs and institutions to license intellectual property. We have not included these future payments in the table of contractual obligations above since the contracts are cancelable at any time by us, generally upon 30 to 90 days prior written notice.</w:t>
      </w:r>
    </w:p>
    <w:p>
      <w:pPr>
        <w:spacing w:after="0" w:line="96"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Our agreements to license intellectual property include potential milestone payments that are dependent upon the development of products using the intellectual property licensed under the agreements and contingent upon the achievement of clinical trial or regulatory approval milestones. The maximum aggregate potential milestone payments payable by us total approximately $12.0 million. Additionally, under the terms of one agreement, we have options to license intellectual property to be used in the development of therapies for four disease indications. If we exercise all of the options under the agreement, we would be obligated to pay aggregate up</w:t>
      </w:r>
      <w:r>
        <w:rPr>
          <w:rFonts w:ascii="MS PGothic" w:cs="MS PGothic" w:eastAsia="MS PGothic" w:hAnsi="MS PGothic"/>
          <w:sz w:val="17"/>
          <w:szCs w:val="17"/>
          <w:color w:val="auto"/>
        </w:rPr>
        <w:t>‑</w:t>
      </w:r>
      <w:r>
        <w:rPr>
          <w:rFonts w:ascii="Arial" w:cs="Arial" w:eastAsia="Arial" w:hAnsi="Arial"/>
          <w:sz w:val="17"/>
          <w:szCs w:val="17"/>
          <w:color w:val="auto"/>
        </w:rPr>
        <w:t>front fees of up to approximately $1.5 million and milestone payments that are contingent upon clinical trial results and regulatory approval of $5.0 million per disease indication, or up to $20.0 million in total. We may also be required to pay annual maintenance fees or minimum amounts payable ranging from low</w:t>
      </w:r>
      <w:r>
        <w:rPr>
          <w:rFonts w:ascii="MS PGothic" w:cs="MS PGothic" w:eastAsia="MS PGothic" w:hAnsi="MS PGothic"/>
          <w:sz w:val="17"/>
          <w:szCs w:val="17"/>
          <w:color w:val="auto"/>
        </w:rPr>
        <w:t>‑</w:t>
      </w:r>
      <w:r>
        <w:rPr>
          <w:rFonts w:ascii="Arial" w:cs="Arial" w:eastAsia="Arial" w:hAnsi="Arial"/>
          <w:sz w:val="17"/>
          <w:szCs w:val="17"/>
          <w:color w:val="auto"/>
        </w:rPr>
        <w:t>four digits to low five</w:t>
      </w:r>
      <w:r>
        <w:rPr>
          <w:rFonts w:ascii="MS PGothic" w:cs="MS PGothic" w:eastAsia="MS PGothic" w:hAnsi="MS PGothic"/>
          <w:sz w:val="17"/>
          <w:szCs w:val="17"/>
          <w:color w:val="auto"/>
        </w:rPr>
        <w:t>‑</w:t>
      </w:r>
      <w:r>
        <w:rPr>
          <w:rFonts w:ascii="Arial" w:cs="Arial" w:eastAsia="Arial" w:hAnsi="Arial"/>
          <w:sz w:val="17"/>
          <w:szCs w:val="17"/>
          <w:color w:val="auto"/>
        </w:rPr>
        <w:t>digits depending upon the terms of the applicable agreement.</w:t>
      </w:r>
    </w:p>
    <w:p>
      <w:pPr>
        <w:spacing w:after="0" w:line="9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08" w:lineRule="exact"/>
        <w:rPr>
          <w:sz w:val="20"/>
          <w:szCs w:val="20"/>
          <w:color w:val="auto"/>
        </w:rPr>
      </w:pPr>
    </w:p>
    <w:p>
      <w:pPr>
        <w:ind w:right="4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Securities and Exchange Commission rules.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1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In April 2012,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not to avail ourselves of this extended transition period and, as a result, we will adopt new or revised accounting standards on the relevant dates on which adoption of such standards is required for other public companies.</w:t>
      </w:r>
    </w:p>
    <w:p>
      <w:pPr>
        <w:spacing w:after="0" w:line="94" w:lineRule="exact"/>
        <w:rPr>
          <w:sz w:val="20"/>
          <w:szCs w:val="20"/>
          <w:color w:val="auto"/>
        </w:rPr>
      </w:pPr>
    </w:p>
    <w:p>
      <w:pPr>
        <w:ind w:right="80" w:firstLine="648"/>
        <w:spacing w:after="0" w:line="180" w:lineRule="exact"/>
        <w:rPr>
          <w:sz w:val="20"/>
          <w:szCs w:val="20"/>
          <w:color w:val="auto"/>
        </w:rPr>
      </w:pPr>
      <w:r>
        <w:rPr>
          <w:rFonts w:ascii="Arial" w:cs="Arial" w:eastAsia="Arial" w:hAnsi="Arial"/>
          <w:sz w:val="17"/>
          <w:szCs w:val="17"/>
          <w:color w:val="auto"/>
        </w:rPr>
        <w:t>We are in the process of evaluating the benefits of relying on other exemptions and reduced reporting requirements under the JOBS Act. Subject to certain conditions, as an EGC, we intend to rely on certain of these exemptions, including without limitation, (i) providing an auditor’s attestation report on our system of internal controls over financial reporting pursuant to Section 404(b)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6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 and marketable securities and are invested in U.S. Treasury and U.S. government agency obligations.</w:t>
      </w:r>
    </w:p>
    <w:p>
      <w:pPr>
        <w:spacing w:after="0" w:line="8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are not currently exposed to market risk related to changes in foreign currency exchange rates; however, we may contract with vendors that are located in Asia and Europe in the future and may be subject to fluctuations in foreign currency rates at that time.</w:t>
      </w:r>
    </w:p>
    <w:p>
      <w:pPr>
        <w:spacing w:after="0" w:line="96" w:lineRule="exact"/>
        <w:rPr>
          <w:sz w:val="20"/>
          <w:szCs w:val="20"/>
          <w:color w:val="auto"/>
        </w:rPr>
      </w:pPr>
    </w:p>
    <w:p>
      <w:pPr>
        <w:ind w:right="100" w:firstLine="648"/>
        <w:spacing w:after="0" w:line="238"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had a material effect on our business, financial condition or results of operations during the period and year ended December 31, 2014 and the nine months ended September 30, 2014 and September 30, 2015, respectively.</w:t>
      </w:r>
    </w:p>
    <w:p>
      <w:pPr>
        <w:spacing w:after="0" w:line="40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81"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color w:val="auto"/>
        </w:rPr>
        <w:t>We maintain disclosure controls and procedures (as defined in Rules 13a-15(e) or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162"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As of September 30, 2015, 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2015, our disclosure controls and procedures were effective at the reasonable assurance level.</w:t>
      </w:r>
    </w:p>
    <w:p>
      <w:pPr>
        <w:spacing w:after="0" w:line="165"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color w:val="auto"/>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ind w:right="259" w:firstLine="648"/>
        <w:spacing w:after="0" w:line="219" w:lineRule="auto"/>
        <w:rPr>
          <w:sz w:val="20"/>
          <w:szCs w:val="20"/>
          <w:color w:val="auto"/>
        </w:rPr>
      </w:pPr>
      <w:r>
        <w:rPr>
          <w:rFonts w:ascii="Arial" w:cs="Arial" w:eastAsia="Arial" w:hAnsi="Arial"/>
          <w:sz w:val="18"/>
          <w:szCs w:val="18"/>
          <w:color w:val="auto"/>
        </w:rPr>
        <w:t>During the three months ended September 30, 2015,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6"/>
          <w:szCs w:val="16"/>
          <w:color w:val="auto"/>
        </w:rPr>
        <w:t>As of the date of this Quarterly Report on Form 10-Q, we were not party to any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81"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8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We have incurred net losses since inception and anticipate that we will continue to incur losses for the foreseeable future and may never achieve or maintain profitability.</w:t>
      </w:r>
    </w:p>
    <w:p>
      <w:pPr>
        <w:spacing w:after="0" w:line="162" w:lineRule="exact"/>
        <w:rPr>
          <w:sz w:val="20"/>
          <w:szCs w:val="20"/>
          <w:color w:val="auto"/>
        </w:rPr>
      </w:pPr>
    </w:p>
    <w:p>
      <w:pPr>
        <w:ind w:right="160" w:firstLine="648"/>
        <w:spacing w:after="0" w:line="181" w:lineRule="exact"/>
        <w:rPr>
          <w:sz w:val="20"/>
          <w:szCs w:val="20"/>
          <w:color w:val="auto"/>
        </w:rPr>
      </w:pPr>
      <w:r>
        <w:rPr>
          <w:rFonts w:ascii="Arial" w:cs="Arial" w:eastAsia="Arial" w:hAnsi="Arial"/>
          <w:sz w:val="17"/>
          <w:szCs w:val="17"/>
          <w:color w:val="auto"/>
        </w:rPr>
        <w:t>We are a clinical</w:t>
      </w:r>
      <w:r>
        <w:rPr>
          <w:rFonts w:ascii="MS PGothic" w:cs="MS PGothic" w:eastAsia="MS PGothic" w:hAnsi="MS PGothic"/>
          <w:sz w:val="17"/>
          <w:szCs w:val="17"/>
          <w:color w:val="auto"/>
        </w:rPr>
        <w:t>‑</w:t>
      </w:r>
      <w:r>
        <w:rPr>
          <w:rFonts w:ascii="Arial" w:cs="Arial" w:eastAsia="Arial" w:hAnsi="Arial"/>
          <w:sz w:val="17"/>
          <w:szCs w:val="17"/>
          <w:color w:val="auto"/>
        </w:rPr>
        <w:t>stage biotechnology company with a limited operating history, and have not yet generated revenues from the sales of our product candidates. Investment in biotechnology companies is highly speculative because it entails substantial upfront capital expenditures and significant risk that the product candidate will fail to obtain regulatory approval or become commercially viable. We have not yet demonstrated the ability to complete any clinical trials of our product candidates, obtain marketing approvals, manufacture a commercial</w:t>
      </w:r>
      <w:r>
        <w:rPr>
          <w:rFonts w:ascii="MS PGothic" w:cs="MS PGothic" w:eastAsia="MS PGothic" w:hAnsi="MS PGothic"/>
          <w:sz w:val="17"/>
          <w:szCs w:val="17"/>
          <w:color w:val="auto"/>
        </w:rPr>
        <w:t>‑</w:t>
      </w:r>
      <w:r>
        <w:rPr>
          <w:rFonts w:ascii="Arial" w:cs="Arial" w:eastAsia="Arial" w:hAnsi="Arial"/>
          <w:sz w:val="17"/>
          <w:szCs w:val="17"/>
          <w:color w:val="auto"/>
        </w:rPr>
        <w:t>scale product or conduct sales and marketing activities necessary for successful commercialization. We continue to incur significant expenses related to research and development, and other operations in order to commercialize our product candidates. As a result, we are not and have never been profitable and have incurred losses since our inception. Our net loss was $18.5 million and $16.3 million for the nine months ended September 30, 2015 and year ended December 31, 2014, respectively. As of September 30, 2015, we had an accumulated deficit of $41.5 million.</w:t>
      </w:r>
    </w:p>
    <w:p>
      <w:pPr>
        <w:spacing w:after="0" w:line="164" w:lineRule="exact"/>
        <w:rPr>
          <w:sz w:val="20"/>
          <w:szCs w:val="20"/>
          <w:color w:val="auto"/>
        </w:rPr>
      </w:pPr>
    </w:p>
    <w:p>
      <w:pPr>
        <w:ind w:right="80" w:firstLine="648"/>
        <w:spacing w:after="0" w:line="235" w:lineRule="auto"/>
        <w:rPr>
          <w:sz w:val="20"/>
          <w:szCs w:val="20"/>
          <w:color w:val="auto"/>
        </w:rPr>
      </w:pPr>
      <w:r>
        <w:rPr>
          <w:rFonts w:ascii="Arial" w:cs="Arial" w:eastAsia="Arial" w:hAnsi="Arial"/>
          <w:sz w:val="16"/>
          <w:szCs w:val="16"/>
          <w:color w:val="auto"/>
        </w:rPr>
        <w:t>We historically have financed our operations primarily through private placements of our redeemable convertible preferred stock and our recent collaboration agreement with Genzyme. On November 16, 2015 we closed our IPO whereby we sold 5,750,000 shares of common stock at a public offering price of $14.00 per share, including 750,000 shares of common stock issued upon the full exercise by the underwriters of their option to purchase additional shares, resulting in net proceeds to us of $72.7 million after deducting underwriting discounts and commissions and estimated offering expenses payable by us. To date, we have devoted substantially all of our financial resources to building our product engine, selecting product programs, conducting research and development, including preclinical development of our product candidates, building our intellectual property portfolio, building our team and establishing our collaboration with Genzyme. We expect that it could be several years, if ever, before we have a commercialized product candidate.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66" w:lineRule="exact"/>
        <w:rPr>
          <w:sz w:val="20"/>
          <w:szCs w:val="20"/>
          <w:color w:val="auto"/>
        </w:rPr>
      </w:pPr>
    </w:p>
    <w:p>
      <w:pPr>
        <w:ind w:left="700" w:right="280" w:hanging="53"/>
        <w:spacing w:after="0" w:line="246" w:lineRule="auto"/>
        <w:rPr>
          <w:sz w:val="20"/>
          <w:szCs w:val="20"/>
          <w:color w:val="auto"/>
        </w:rPr>
      </w:pPr>
      <w:r>
        <w:rPr>
          <w:rFonts w:ascii="Arial" w:cs="Arial" w:eastAsia="Arial" w:hAnsi="Arial"/>
          <w:sz w:val="18"/>
          <w:szCs w:val="18"/>
          <w:color w:val="auto"/>
        </w:rPr>
        <w:t>·continue investing in our product engine to optimize vector engineering, manufacturing and dosing and delivery techniques;</w:t>
      </w:r>
    </w:p>
    <w:p>
      <w:pPr>
        <w:spacing w:after="0" w:line="170" w:lineRule="exact"/>
        <w:rPr>
          <w:sz w:val="20"/>
          <w:szCs w:val="20"/>
          <w:color w:val="auto"/>
        </w:rPr>
      </w:pPr>
    </w:p>
    <w:p>
      <w:pPr>
        <w:ind w:left="740" w:hanging="89"/>
        <w:spacing w:after="0" w:line="207" w:lineRule="exact"/>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development of our clinical candidate, VY</w:t>
      </w:r>
      <w:r>
        <w:rPr>
          <w:rFonts w:ascii="MS PGothic" w:cs="MS PGothic" w:eastAsia="MS PGothic" w:hAnsi="MS PGothic"/>
          <w:sz w:val="18"/>
          <w:szCs w:val="18"/>
          <w:color w:val="auto"/>
        </w:rPr>
        <w:t>‑</w:t>
      </w:r>
      <w:r>
        <w:rPr>
          <w:rFonts w:ascii="Arial" w:cs="Arial" w:eastAsia="Arial" w:hAnsi="Arial"/>
          <w:sz w:val="18"/>
          <w:szCs w:val="18"/>
          <w:color w:val="auto"/>
        </w:rPr>
        <w:t>AADC01;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·initiate additional preclinical studies and clinical trials for our other programs;</w:t>
      </w:r>
    </w:p>
    <w:p>
      <w:pPr>
        <w:spacing w:after="0" w:line="198" w:lineRule="exact"/>
        <w:rPr>
          <w:sz w:val="20"/>
          <w:szCs w:val="20"/>
          <w:color w:val="auto"/>
        </w:rPr>
      </w:pPr>
    </w:p>
    <w:p>
      <w:pPr>
        <w:ind w:left="700" w:right="179" w:hanging="53"/>
        <w:spacing w:after="0" w:line="210" w:lineRule="exact"/>
        <w:rPr>
          <w:sz w:val="20"/>
          <w:szCs w:val="20"/>
          <w:color w:val="auto"/>
        </w:rPr>
      </w:pPr>
      <w:r>
        <w:rPr>
          <w:rFonts w:ascii="Arial" w:cs="Arial" w:eastAsia="Arial" w:hAnsi="Arial"/>
          <w:sz w:val="18"/>
          <w:szCs w:val="18"/>
          <w:color w:val="auto"/>
        </w:rPr>
        <w:t>·continue our process research and development activities, as well as establish our research</w:t>
      </w:r>
      <w:r>
        <w:rPr>
          <w:rFonts w:ascii="MS PGothic" w:cs="MS PGothic" w:eastAsia="MS PGothic" w:hAnsi="MS PGothic"/>
          <w:sz w:val="18"/>
          <w:szCs w:val="18"/>
          <w:color w:val="auto"/>
        </w:rPr>
        <w:t>‑</w:t>
      </w:r>
      <w:r>
        <w:rPr>
          <w:rFonts w:ascii="Arial" w:cs="Arial" w:eastAsia="Arial" w:hAnsi="Arial"/>
          <w:sz w:val="18"/>
          <w:szCs w:val="18"/>
          <w:color w:val="auto"/>
        </w:rPr>
        <w:t>grade and commercial manufacturing capabilities;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identify additional CNS diseases for treatment with our AAV gene therapies;</w:t>
      </w:r>
    </w:p>
    <w:p>
      <w:pPr>
        <w:spacing w:after="0" w:line="198" w:lineRule="exact"/>
        <w:rPr>
          <w:sz w:val="20"/>
          <w:szCs w:val="20"/>
          <w:color w:val="auto"/>
        </w:rPr>
      </w:pPr>
    </w:p>
    <w:p>
      <w:pPr>
        <w:ind w:left="700" w:right="759" w:hanging="53"/>
        <w:spacing w:after="0" w:line="210" w:lineRule="exact"/>
        <w:rPr>
          <w:sz w:val="20"/>
          <w:szCs w:val="20"/>
          <w:color w:val="auto"/>
        </w:rPr>
      </w:pPr>
      <w:r>
        <w:rPr>
          <w:rFonts w:ascii="Arial" w:cs="Arial" w:eastAsia="Arial" w:hAnsi="Arial"/>
          <w:sz w:val="18"/>
          <w:szCs w:val="18"/>
          <w:color w:val="auto"/>
        </w:rPr>
        <w:t>·seek marketing approvals for VY</w:t>
      </w:r>
      <w:r>
        <w:rPr>
          <w:rFonts w:ascii="MS PGothic" w:cs="MS PGothic" w:eastAsia="MS PGothic" w:hAnsi="MS PGothic"/>
          <w:sz w:val="18"/>
          <w:szCs w:val="18"/>
          <w:color w:val="auto"/>
        </w:rPr>
        <w:t>‑</w:t>
      </w:r>
      <w:r>
        <w:rPr>
          <w:rFonts w:ascii="Arial" w:cs="Arial" w:eastAsia="Arial" w:hAnsi="Arial"/>
          <w:sz w:val="18"/>
          <w:szCs w:val="18"/>
          <w:color w:val="auto"/>
        </w:rPr>
        <w:t>AADC01 or other product candidates that arise from our programs that successfully complete clinical trials;</w:t>
      </w:r>
    </w:p>
    <w:p>
      <w:pPr>
        <w:spacing w:after="0" w:line="175" w:lineRule="exact"/>
        <w:rPr>
          <w:sz w:val="20"/>
          <w:szCs w:val="20"/>
          <w:color w:val="auto"/>
        </w:rPr>
      </w:pPr>
    </w:p>
    <w:p>
      <w:pPr>
        <w:ind w:left="700" w:right="239" w:hanging="53"/>
        <w:spacing w:after="0" w:line="246" w:lineRule="auto"/>
        <w:rPr>
          <w:sz w:val="20"/>
          <w:szCs w:val="20"/>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170" w:lineRule="exact"/>
        <w:rPr>
          <w:sz w:val="20"/>
          <w:szCs w:val="20"/>
          <w:color w:val="auto"/>
        </w:rPr>
      </w:pPr>
    </w:p>
    <w:p>
      <w:pPr>
        <w:ind w:left="740" w:hanging="8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98" w:lineRule="exact"/>
        <w:rPr>
          <w:rFonts w:ascii="Arial" w:cs="Arial" w:eastAsia="Arial" w:hAnsi="Arial"/>
          <w:sz w:val="18"/>
          <w:szCs w:val="18"/>
          <w:color w:val="auto"/>
        </w:rPr>
      </w:pPr>
    </w:p>
    <w:p>
      <w:pPr>
        <w:ind w:left="740" w:hanging="89"/>
        <w:spacing w:after="0" w:line="207" w:lineRule="exact"/>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w:t>
      </w:r>
    </w:p>
    <w:p>
      <w:pPr>
        <w:spacing w:after="0" w:line="198" w:lineRule="exact"/>
        <w:rPr>
          <w:sz w:val="20"/>
          <w:szCs w:val="20"/>
          <w:color w:val="auto"/>
        </w:rPr>
      </w:pPr>
    </w:p>
    <w:p>
      <w:pPr>
        <w:ind w:right="19" w:firstLine="648"/>
        <w:spacing w:after="0" w:line="181" w:lineRule="exact"/>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which will require us to be successful in a range of challenging activities. These activities can include completing preclinical studies and clinical trials of our product candidates, obtaining marketing approval for these product candidates, manufacturing, marketing and selling those products that are approved and satisfying any post</w:t>
      </w:r>
      <w:r>
        <w:rPr>
          <w:rFonts w:ascii="MS PGothic" w:cs="MS PGothic" w:eastAsia="MS PGothic" w:hAnsi="MS PGothic"/>
          <w:sz w:val="18"/>
          <w:szCs w:val="18"/>
          <w:color w:val="auto"/>
        </w:rPr>
        <w:t>‑</w:t>
      </w:r>
      <w:r>
        <w:rPr>
          <w:rFonts w:ascii="Arial" w:cs="Arial" w:eastAsia="Arial" w:hAnsi="Arial"/>
          <w:sz w:val="18"/>
          <w:szCs w:val="18"/>
          <w:color w:val="auto"/>
        </w:rPr>
        <w: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69" w:lineRule="exact"/>
        <w:rPr>
          <w:sz w:val="20"/>
          <w:szCs w:val="20"/>
          <w:color w:val="auto"/>
        </w:rPr>
      </w:pPr>
    </w:p>
    <w:p>
      <w:pPr>
        <w:ind w:right="179"/>
        <w:spacing w:after="0" w:line="235" w:lineRule="auto"/>
        <w:rPr>
          <w:sz w:val="20"/>
          <w:szCs w:val="20"/>
          <w:color w:val="auto"/>
        </w:rPr>
      </w:pPr>
      <w:r>
        <w:rPr>
          <w:rFonts w:ascii="Arial" w:cs="Arial" w:eastAsia="Arial" w:hAnsi="Arial"/>
          <w:sz w:val="18"/>
          <w:szCs w:val="18"/>
          <w:b w:val="1"/>
          <w:bCs w:val="1"/>
          <w:i w:val="1"/>
          <w:iCs w:val="1"/>
          <w:color w:val="auto"/>
        </w:rPr>
        <w:t>We may not be able to generate sufficient revenue from the commercialization of our product candidates and may never be profitable.</w:t>
      </w:r>
    </w:p>
    <w:p>
      <w:pPr>
        <w:spacing w:after="0" w:line="162" w:lineRule="exact"/>
        <w:rPr>
          <w:sz w:val="20"/>
          <w:szCs w:val="20"/>
          <w:color w:val="auto"/>
        </w:rPr>
      </w:pPr>
    </w:p>
    <w:p>
      <w:pPr>
        <w:ind w:right="39" w:firstLine="648"/>
        <w:spacing w:after="0" w:line="185" w:lineRule="exact"/>
        <w:rPr>
          <w:sz w:val="20"/>
          <w:szCs w:val="20"/>
          <w:color w:val="auto"/>
        </w:rPr>
      </w:pPr>
      <w:r>
        <w:rPr>
          <w:rFonts w:ascii="Arial" w:cs="Arial" w:eastAsia="Arial" w:hAnsi="Arial"/>
          <w:sz w:val="18"/>
          <w:szCs w:val="18"/>
          <w:color w:val="auto"/>
        </w:rPr>
        <w:t>Our ability to generate revenue and achieve profitability depends on our ability, alone or with our collaborative partners, to successfully complete the development of, and obtain the regulatory approvals necessary to commercialize, our current and future product candidates. Our lead product candidate VY</w:t>
      </w:r>
      <w:r>
        <w:rPr>
          <w:rFonts w:ascii="MS PGothic" w:cs="MS PGothic" w:eastAsia="MS PGothic" w:hAnsi="MS PGothic"/>
          <w:sz w:val="18"/>
          <w:szCs w:val="18"/>
          <w:color w:val="auto"/>
        </w:rPr>
        <w:t>‑</w:t>
      </w:r>
      <w:r>
        <w:rPr>
          <w:rFonts w:ascii="Arial" w:cs="Arial" w:eastAsia="Arial" w:hAnsi="Arial"/>
          <w:sz w:val="18"/>
          <w:szCs w:val="18"/>
          <w:color w:val="auto"/>
        </w:rPr>
        <w:t>AADC01 is being evaluated in a Phase 1b clinical trial, and we do not anticipate generating revenues from product sales for the next several years, and we may never succeed in doing so. Our ability to generate future revenues from product sales depends heavily on our and our collaborators’ success in: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·completing preclinical and clinical development of our product candidates and identifying new product candidates;</w:t>
      </w:r>
    </w:p>
    <w:p>
      <w:pPr>
        <w:spacing w:after="0" w:line="221" w:lineRule="exact"/>
        <w:rPr>
          <w:sz w:val="20"/>
          <w:szCs w:val="20"/>
          <w:color w:val="auto"/>
        </w:rPr>
      </w:pPr>
    </w:p>
    <w:p>
      <w:pPr>
        <w:ind w:left="700" w:right="219" w:hanging="53"/>
        <w:spacing w:after="0" w:line="246" w:lineRule="auto"/>
        <w:rPr>
          <w:sz w:val="20"/>
          <w:szCs w:val="20"/>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70" w:lineRule="exact"/>
        <w:rPr>
          <w:sz w:val="20"/>
          <w:szCs w:val="20"/>
          <w:color w:val="auto"/>
        </w:rPr>
      </w:pPr>
    </w:p>
    <w:p>
      <w:pPr>
        <w:ind w:left="700" w:right="419" w:hanging="53"/>
        <w:spacing w:after="0" w:line="235" w:lineRule="auto"/>
        <w:rPr>
          <w:sz w:val="20"/>
          <w:szCs w:val="20"/>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175" w:lineRule="exact"/>
        <w:rPr>
          <w:sz w:val="20"/>
          <w:szCs w:val="20"/>
          <w:color w:val="auto"/>
        </w:rPr>
      </w:pPr>
    </w:p>
    <w:p>
      <w:pPr>
        <w:ind w:left="700" w:right="619" w:hanging="53"/>
        <w:spacing w:after="0" w:line="210" w:lineRule="exact"/>
        <w:rPr>
          <w:sz w:val="20"/>
          <w:szCs w:val="20"/>
          <w:color w:val="auto"/>
        </w:rPr>
      </w:pPr>
      <w:r>
        <w:rPr>
          <w:rFonts w:ascii="Arial" w:cs="Arial" w:eastAsia="Arial" w:hAnsi="Arial"/>
          <w:sz w:val="18"/>
          <w:szCs w:val="18"/>
          <w:color w:val="auto"/>
        </w:rPr>
        <w:t>·qualifying for adequate coverage and reimbursement by government and third</w:t>
      </w:r>
      <w:r>
        <w:rPr>
          <w:rFonts w:ascii="MS PGothic" w:cs="MS PGothic" w:eastAsia="MS PGothic" w:hAnsi="MS PGothic"/>
          <w:sz w:val="18"/>
          <w:szCs w:val="18"/>
          <w:color w:val="auto"/>
        </w:rPr>
        <w:t>‑</w:t>
      </w:r>
      <w:r>
        <w:rPr>
          <w:rFonts w:ascii="Arial" w:cs="Arial" w:eastAsia="Arial" w:hAnsi="Arial"/>
          <w:sz w:val="18"/>
          <w:szCs w:val="18"/>
          <w:color w:val="auto"/>
        </w:rPr>
        <w:t>party payors for our product candidates if and when approved;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700" w:right="340" w:hanging="53"/>
        <w:spacing w:after="0" w:line="246" w:lineRule="auto"/>
        <w:rPr>
          <w:sz w:val="20"/>
          <w:szCs w:val="20"/>
          <w:color w:val="auto"/>
        </w:rPr>
      </w:pPr>
      <w:r>
        <w:rPr>
          <w:rFonts w:ascii="Arial" w:cs="Arial" w:eastAsia="Arial" w:hAnsi="Arial"/>
          <w:sz w:val="18"/>
          <w:szCs w:val="18"/>
          <w:color w:val="auto"/>
        </w:rPr>
        <w:t>·maintaining and enhancing a sustainable, scalable, reproducible and transferable manufacturing process for our vectors and product candidates;</w:t>
      </w:r>
    </w:p>
    <w:p>
      <w:pPr>
        <w:spacing w:after="0" w:line="170" w:lineRule="exact"/>
        <w:rPr>
          <w:sz w:val="20"/>
          <w:szCs w:val="20"/>
          <w:color w:val="auto"/>
        </w:rPr>
      </w:pPr>
    </w:p>
    <w:p>
      <w:pPr>
        <w:ind w:left="700" w:hanging="53"/>
        <w:spacing w:after="0" w:line="235" w:lineRule="auto"/>
        <w:rPr>
          <w:sz w:val="20"/>
          <w:szCs w:val="20"/>
          <w:color w:val="auto"/>
        </w:rPr>
      </w:pPr>
      <w:r>
        <w:rPr>
          <w:rFonts w:ascii="Arial" w:cs="Arial" w:eastAsia="Arial" w:hAnsi="Arial"/>
          <w:sz w:val="18"/>
          <w:szCs w:val="18"/>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·obtaining market acceptance of our product candidates as a viable treatment option;</w:t>
      </w:r>
    </w:p>
    <w:p>
      <w:pPr>
        <w:spacing w:after="0" w:line="198" w:lineRule="exact"/>
        <w:rPr>
          <w:sz w:val="20"/>
          <w:szCs w:val="20"/>
          <w:color w:val="auto"/>
        </w:rPr>
      </w:pPr>
    </w:p>
    <w:p>
      <w:pPr>
        <w:ind w:left="740" w:hanging="8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98" w:lineRule="exact"/>
        <w:rPr>
          <w:sz w:val="20"/>
          <w:szCs w:val="20"/>
          <w:color w:val="auto"/>
        </w:rPr>
      </w:pPr>
    </w:p>
    <w:p>
      <w:pPr>
        <w:ind w:left="700" w:right="400" w:hanging="53"/>
        <w:spacing w:after="0" w:line="246" w:lineRule="auto"/>
        <w:rPr>
          <w:sz w:val="20"/>
          <w:szCs w:val="20"/>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170" w:lineRule="exact"/>
        <w:rPr>
          <w:sz w:val="20"/>
          <w:szCs w:val="20"/>
          <w:color w:val="auto"/>
        </w:rPr>
      </w:pPr>
    </w:p>
    <w:p>
      <w:pPr>
        <w:ind w:left="700" w:right="160" w:hanging="53"/>
        <w:spacing w:after="0" w:line="210" w:lineRule="exact"/>
        <w:rPr>
          <w:sz w:val="20"/>
          <w:szCs w:val="20"/>
          <w:color w:val="auto"/>
        </w:rPr>
      </w:pPr>
      <w:r>
        <w:rPr>
          <w:rFonts w:ascii="Arial" w:cs="Arial" w:eastAsia="Arial" w:hAnsi="Arial"/>
          <w:sz w:val="18"/>
          <w:szCs w:val="18"/>
          <w:color w:val="auto"/>
        </w:rPr>
        <w:t>·maintaining, protecting and expanding our portfolio of intellectual property rights, including patents,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17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·avoiding and defending against third</w:t>
      </w:r>
      <w:r>
        <w:rPr>
          <w:rFonts w:ascii="MS PGothic" w:cs="MS PGothic" w:eastAsia="MS PGothic" w:hAnsi="MS PGothic"/>
          <w:sz w:val="18"/>
          <w:szCs w:val="18"/>
          <w:color w:val="auto"/>
        </w:rPr>
        <w:t>‑</w:t>
      </w:r>
      <w:r>
        <w:rPr>
          <w:rFonts w:ascii="Arial" w:cs="Arial" w:eastAsia="Arial" w:hAnsi="Arial"/>
          <w:sz w:val="18"/>
          <w:szCs w:val="18"/>
          <w:color w:val="auto"/>
        </w:rPr>
        <w:t>party interference or infringement claims; and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attracting, hiring and retaining qualified personnel.</w:t>
      </w:r>
    </w:p>
    <w:p>
      <w:pPr>
        <w:spacing w:after="0" w:line="19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U.S. Food and Drug Administration, or the FDA, European Medicines Agency, or EMA, or other regulatory authorities to perform preclinical studies and clinical trials in addition to those that we currently anticipate. Even if we are able to generate revenues from the sale of any approved products, we may not become profitable and may need to obtain additional funding to continue operations.</w:t>
      </w:r>
    </w:p>
    <w:p>
      <w:pPr>
        <w:spacing w:after="0" w:line="16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certain of our product development efforts or other operations.</w:t>
      </w:r>
    </w:p>
    <w:p>
      <w:pPr>
        <w:spacing w:after="0" w:line="163"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initiate further clinical trials of and seek marketing approval for, our product candidates. In addition, if we obtain marketing approval for any of our product candidates, we expect to incur significant expenses related to product sales, medical affairs, marketing, manufacturing and distribution. Given the completion of our IPO on November 16, 2015,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certain of our research and development programs.</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Our operations have consumed significant amounts of cash since inception. As of September 30, 2015, our cash, cash equivalents and marketable securities were $160.6 million. We expect that our existing cash, cash equivalents and marketable securities, will enable us to fund our operating expenses and capital expenditure requirements for at least the next 24 months.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700" w:right="380" w:hanging="53"/>
        <w:spacing w:after="0" w:line="246" w:lineRule="auto"/>
        <w:rPr>
          <w:sz w:val="20"/>
          <w:szCs w:val="20"/>
          <w:color w:val="auto"/>
        </w:rPr>
      </w:pPr>
      <w:r>
        <w:rPr>
          <w:rFonts w:ascii="Arial" w:cs="Arial" w:eastAsia="Arial" w:hAnsi="Arial"/>
          <w:sz w:val="18"/>
          <w:szCs w:val="18"/>
          <w:color w:val="auto"/>
        </w:rPr>
        <w:t>·the scope, progress, results and costs of product discovery, preclinical studies and clinical trials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scope, prioritization and number of our research and development programs;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costs, timing and outcome of regulatory review of our product candidates;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establish and maintain collaborations on favorable terms, if at all;</w:t>
      </w:r>
    </w:p>
    <w:p>
      <w:pPr>
        <w:spacing w:after="0" w:line="198" w:lineRule="exact"/>
        <w:rPr>
          <w:sz w:val="20"/>
          <w:szCs w:val="20"/>
          <w:color w:val="auto"/>
        </w:rPr>
      </w:pPr>
    </w:p>
    <w:p>
      <w:pPr>
        <w:ind w:left="700" w:right="460" w:hanging="53"/>
        <w:spacing w:after="0" w:line="246" w:lineRule="auto"/>
        <w:rPr>
          <w:sz w:val="20"/>
          <w:szCs w:val="20"/>
          <w:color w:val="auto"/>
        </w:rPr>
      </w:pPr>
      <w:r>
        <w:rPr>
          <w:rFonts w:ascii="Arial" w:cs="Arial" w:eastAsia="Arial" w:hAnsi="Arial"/>
          <w:sz w:val="18"/>
          <w:szCs w:val="18"/>
          <w:color w:val="auto"/>
        </w:rPr>
        <w:t>·the achievement of milestones or occurrence of other developments that trigger payments under the Genzyme Collaboration and any other collaboration agreements we obtain;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ability of our collaboration partners to exercise options to extend research and development programs</w:t>
      </w:r>
    </w:p>
    <w:p>
      <w:pPr>
        <w:spacing w:after="0" w:line="210" w:lineRule="exact"/>
        <w:rPr>
          <w:sz w:val="20"/>
          <w:szCs w:val="20"/>
          <w:color w:val="auto"/>
        </w:rPr>
      </w:pPr>
    </w:p>
    <w:p>
      <w:pPr>
        <w:ind w:left="700" w:right="660" w:hanging="53"/>
        <w:spacing w:after="0" w:line="246" w:lineRule="auto"/>
        <w:rPr>
          <w:sz w:val="20"/>
          <w:szCs w:val="20"/>
          <w:color w:val="auto"/>
        </w:rPr>
      </w:pPr>
      <w:r>
        <w:rPr>
          <w:rFonts w:ascii="Arial" w:cs="Arial" w:eastAsia="Arial" w:hAnsi="Arial"/>
          <w:sz w:val="18"/>
          <w:szCs w:val="18"/>
          <w:color w:val="auto"/>
        </w:rPr>
        <w:t>·the extent to which we are obligated to reimburse, or entitled to reimbursement of, clinical trial costs under collaboration agreements, if any;</w:t>
      </w:r>
    </w:p>
    <w:p>
      <w:pPr>
        <w:spacing w:after="0" w:line="170" w:lineRule="exact"/>
        <w:rPr>
          <w:sz w:val="20"/>
          <w:szCs w:val="20"/>
          <w:color w:val="auto"/>
        </w:rPr>
      </w:pPr>
    </w:p>
    <w:p>
      <w:pPr>
        <w:ind w:left="700" w:right="620" w:hanging="53"/>
        <w:spacing w:after="0" w:line="210" w:lineRule="exact"/>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7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costs of securing manufacturing arrangements for commercial production; and</w:t>
      </w:r>
    </w:p>
    <w:p>
      <w:pPr>
        <w:spacing w:after="0" w:line="198" w:lineRule="exact"/>
        <w:rPr>
          <w:sz w:val="20"/>
          <w:szCs w:val="20"/>
          <w:color w:val="auto"/>
        </w:rPr>
      </w:pPr>
    </w:p>
    <w:p>
      <w:pPr>
        <w:ind w:left="700" w:right="360" w:hanging="53"/>
        <w:spacing w:after="0" w:line="246" w:lineRule="auto"/>
        <w:rPr>
          <w:sz w:val="20"/>
          <w:szCs w:val="20"/>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70"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Identifying potential product candidates and conducting preclinical studies and clinical trials is a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and any commercial milestones or royalty payments under our collaboration agreements, will be derived from or based on sales of products that may not be commercially available for many years, if at all. Accordingly, we will need to continue to rely on additional financing to achieve our business objectives. To the extent that additional capital is raised through the sale of equity or equity</w:t>
      </w:r>
      <w:r>
        <w:rPr>
          <w:rFonts w:ascii="MS PGothic" w:cs="MS PGothic" w:eastAsia="MS PGothic" w:hAnsi="MS PGothic"/>
          <w:sz w:val="17"/>
          <w:szCs w:val="17"/>
          <w:color w:val="auto"/>
        </w:rPr>
        <w:t>‑</w:t>
      </w:r>
      <w:r>
        <w:rPr>
          <w:rFonts w:ascii="Arial" w:cs="Arial" w:eastAsia="Arial" w:hAnsi="Arial"/>
          <w:sz w:val="17"/>
          <w:szCs w:val="17"/>
          <w:color w:val="auto"/>
        </w:rPr>
        <w:t>linked securities, the issuance of those securities could result in substantial dilution for our current stockholders and the terms may include liquidation or other preferences that adversely affect the rights of our current stockholders. To the extent that additional capital is raised through the issuance of debt, the agreement governing such debt may contain restrictive covenants related to our capital raising and other financial and operational matters, which may make it more difficult for us to obtain additional capital and to pursue business operations, including potential acquisitions. Furthermore, the issuance of additional securities, whether equity or debt, by us, or the possibility of such issuance, may cause the market price of our common stock to decline and our existing stockholders may not agree with the terms of such financings. Adequate additional financing may not be available to us on acceptable terms, or at all.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189"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b w:val="1"/>
          <w:bCs w:val="1"/>
          <w:i w:val="1"/>
          <w:iCs w:val="1"/>
          <w:color w:val="auto"/>
        </w:rPr>
        <w:t>Our AAV gene therapy product candidates are based on a relatively novel technology, which makes it difficult to predict the time and cost of development and of subsequently obtaining regulatory approval, if at all. No gene therapy product has been approved in the United States and only one such product has been approved in the European Union.</w:t>
      </w:r>
    </w:p>
    <w:p>
      <w:pPr>
        <w:spacing w:after="0" w:line="130"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We have concentrated our research and development efforts to date on our product engine, identifying our initial targeted disease indications, and our initial product candidates, and our future success depends on our successful development of viable AAV gene therapy product candidates. Currently, only one of our product candidates, VY</w:t>
      </w:r>
      <w:r>
        <w:rPr>
          <w:rFonts w:ascii="MS PGothic" w:cs="MS PGothic" w:eastAsia="MS PGothic" w:hAnsi="MS PGothic"/>
          <w:sz w:val="16"/>
          <w:szCs w:val="16"/>
          <w:color w:val="auto"/>
        </w:rPr>
        <w:t>‑</w:t>
      </w:r>
      <w:r>
        <w:rPr>
          <w:rFonts w:ascii="Arial" w:cs="Arial" w:eastAsia="Arial" w:hAnsi="Arial"/>
          <w:sz w:val="16"/>
          <w:szCs w:val="16"/>
          <w:color w:val="auto"/>
        </w:rPr>
        <w:t>AADC01, is in clinical development, and the remainder of our product candidates are in preclinical development. There can be no assurance that we will not experience problems or delays in developing our product candidates and that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such problems or delays will not cause unanticipated costs, or that any such development problems can be solved. We also may experience unanticipated problems or delays in expanding our manufacturing capacity.</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gene therapies can be more expensive and take longer than for other, better known or more extensively studied product candidates. Only one gene therapy product, uniQure N.V.’s, or uniQure, Glybera, has received marketing authorization from the European Commission and no gene therapy products have received marketing authorization in the United States. It is difficult to determine how long it will take or how much it will cost to obtain regulatory approvals for our product candidates in either the United States or the European Union or how long it will take to commercialize our product candidates. Approvals by the European Commission may not be indicative of what the FDA may require for approval and different or additional pre</w:t>
      </w:r>
      <w:r>
        <w:rPr>
          <w:rFonts w:ascii="MS PGothic" w:cs="MS PGothic" w:eastAsia="MS PGothic" w:hAnsi="MS PGothic"/>
          <w:sz w:val="17"/>
          <w:szCs w:val="17"/>
          <w:color w:val="auto"/>
        </w:rPr>
        <w:t>‑</w:t>
      </w:r>
      <w:r>
        <w:rPr>
          <w:rFonts w:ascii="Arial" w:cs="Arial" w:eastAsia="Arial" w:hAnsi="Arial"/>
          <w:sz w:val="17"/>
          <w:szCs w:val="17"/>
          <w:color w:val="auto"/>
        </w:rPr>
        <w:t>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6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Regulatory requirements governing gene and cell therapy products have changed frequently and may continue to change in the future.</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The FDA has established the Office of Cellular, Tissue and Gene Therapies within its Center for Biologics Evaluation and Research, or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National Institute of Health, or NIH, are also potentially subject to review by the NIH Office of Biotechnology Activities’ Recombinant DNA Advisory Committee, or the RAC. The ongoing Phase 1b clinical trial of VY</w:t>
      </w:r>
      <w:r>
        <w:rPr>
          <w:rFonts w:ascii="MS PGothic" w:cs="MS PGothic" w:eastAsia="MS PGothic" w:hAnsi="MS PGothic"/>
          <w:sz w:val="17"/>
          <w:szCs w:val="17"/>
          <w:color w:val="auto"/>
        </w:rPr>
        <w:t>‑</w:t>
      </w:r>
      <w:r>
        <w:rPr>
          <w:rFonts w:ascii="Arial" w:cs="Arial" w:eastAsia="Arial" w:hAnsi="Arial"/>
          <w:sz w:val="17"/>
          <w:szCs w:val="17"/>
          <w:color w:val="auto"/>
        </w:rPr>
        <w:t>AADC01 is being conducted at UCSF and therefore is subject to oversight by these authorities. Even though the FDA decides whether individual gene therapy protocols may proceed, the RAC public review process, if undertaken, can delay the initiation of a clinical trial, even if the FDA has reviewed the trial design and details and permitted its initiation. Conversely, the FDA may place an IND on a clinical hold even if the RAC has provided a favorable review or an exemption from in</w:t>
      </w:r>
      <w:r>
        <w:rPr>
          <w:rFonts w:ascii="MS PGothic" w:cs="MS PGothic" w:eastAsia="MS PGothic" w:hAnsi="MS PGothic"/>
          <w:sz w:val="17"/>
          <w:szCs w:val="17"/>
          <w:color w:val="auto"/>
        </w:rPr>
        <w:t>‑</w:t>
      </w:r>
      <w:r>
        <w:rPr>
          <w:rFonts w:ascii="Arial" w:cs="Arial" w:eastAsia="Arial" w:hAnsi="Arial"/>
          <w:sz w:val="17"/>
          <w:szCs w:val="17"/>
          <w:color w:val="auto"/>
        </w:rPr>
        <w:t>depth, public review. In addition, NIH</w:t>
      </w:r>
      <w:r>
        <w:rPr>
          <w:rFonts w:ascii="MS PGothic" w:cs="MS PGothic" w:eastAsia="MS PGothic" w:hAnsi="MS PGothic"/>
          <w:sz w:val="17"/>
          <w:szCs w:val="17"/>
          <w:color w:val="auto"/>
        </w:rPr>
        <w:t>‑</w:t>
      </w:r>
      <w:r>
        <w:rPr>
          <w:rFonts w:ascii="Arial" w:cs="Arial" w:eastAsia="Arial" w:hAnsi="Arial"/>
          <w:sz w:val="17"/>
          <w:szCs w:val="17"/>
          <w:color w:val="auto"/>
        </w:rPr>
        <w:t>funded institutions need to have their institutional biosafety committee as well as their institutional review board, or IRB, review proposed clinical trials to assess the safety of the trial. The ongoing Phase 1b clinical trial of VY</w:t>
      </w:r>
      <w:r>
        <w:rPr>
          <w:rFonts w:ascii="MS PGothic" w:cs="MS PGothic" w:eastAsia="MS PGothic" w:hAnsi="MS PGothic"/>
          <w:sz w:val="17"/>
          <w:szCs w:val="17"/>
          <w:color w:val="auto"/>
        </w:rPr>
        <w:t>‑</w:t>
      </w:r>
      <w:r>
        <w:rPr>
          <w:rFonts w:ascii="Arial" w:cs="Arial" w:eastAsia="Arial" w:hAnsi="Arial"/>
          <w:sz w:val="17"/>
          <w:szCs w:val="17"/>
          <w:color w:val="auto"/>
        </w:rPr>
        <w:t>AADC01 has been reviewed by the University of California San Francisco Institutional Review Board, or UCSF IRB, and such trial will need to be re</w:t>
      </w:r>
      <w:r>
        <w:rPr>
          <w:rFonts w:ascii="MS PGothic" w:cs="MS PGothic" w:eastAsia="MS PGothic" w:hAnsi="MS PGothic"/>
          <w:sz w:val="17"/>
          <w:szCs w:val="17"/>
          <w:color w:val="auto"/>
        </w:rPr>
        <w:t>‑</w:t>
      </w:r>
      <w:r>
        <w:rPr>
          <w:rFonts w:ascii="Arial" w:cs="Arial" w:eastAsia="Arial" w:hAnsi="Arial"/>
          <w:sz w:val="17"/>
          <w:szCs w:val="17"/>
          <w:color w:val="auto"/>
        </w:rPr>
        <w:t>reviewed by the UCSF IRB if the protocol for the trial is further amended. In addition, adverse developments in clinical trials of gene therapy products conducted by us or others may cause the FDA or other oversight bodies to change the requirements for approval of any of our product candidates. Similarly, EMA may issue new guidelines concerning the development and marketing authorization for gene therapy medicinal products and require that we comply with these new guidelines. The EMA and agencies at both the federal and state level in the United States have expressed an interest in further regulating new biotechnologies, including gene therapy.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181" w:lineRule="exact"/>
        <w:rPr>
          <w:sz w:val="20"/>
          <w:szCs w:val="20"/>
          <w:color w:val="auto"/>
        </w:rPr>
      </w:pPr>
      <w:r>
        <w:rPr>
          <w:rFonts w:ascii="Arial" w:cs="Arial" w:eastAsia="Arial" w:hAnsi="Arial"/>
          <w:sz w:val="17"/>
          <w:szCs w:val="17"/>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w:t>
      </w:r>
      <w:r>
        <w:rPr>
          <w:rFonts w:ascii="MS PGothic" w:cs="MS PGothic" w:eastAsia="MS PGothic" w:hAnsi="MS PGothic"/>
          <w:sz w:val="17"/>
          <w:szCs w:val="17"/>
          <w:color w:val="auto"/>
        </w:rPr>
        <w:t>‑</w:t>
      </w:r>
      <w:r>
        <w:rPr>
          <w:rFonts w:ascii="Arial" w:cs="Arial" w:eastAsia="Arial" w:hAnsi="Arial"/>
          <w:sz w:val="17"/>
          <w:szCs w:val="17"/>
          <w:color w:val="auto"/>
        </w:rPr>
        <w: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Delays as a result of increased or lengthier regulatory approval process and further restrictions on development of our product candidates can be costly and could negatively impact our or our collaborators’ ability to complete clinical trials and commercialize our current and future product candidates in a timely manner, if at all.</w:t>
      </w:r>
    </w:p>
    <w:p>
      <w:pPr>
        <w:spacing w:after="0" w:line="164" w:lineRule="exact"/>
        <w:rPr>
          <w:sz w:val="20"/>
          <w:szCs w:val="20"/>
          <w:color w:val="auto"/>
        </w:rPr>
      </w:pPr>
    </w:p>
    <w:p>
      <w:pPr>
        <w:ind w:right="560"/>
        <w:spacing w:after="0" w:line="203" w:lineRule="exact"/>
        <w:rPr>
          <w:sz w:val="20"/>
          <w:szCs w:val="20"/>
          <w:color w:val="auto"/>
        </w:rPr>
      </w:pPr>
      <w:r>
        <w:rPr>
          <w:rFonts w:ascii="Arial" w:cs="Arial" w:eastAsia="Arial" w:hAnsi="Arial"/>
          <w:sz w:val="18"/>
          <w:szCs w:val="18"/>
          <w:b w:val="1"/>
          <w:bCs w:val="1"/>
          <w:i w:val="1"/>
          <w:iCs w:val="1"/>
          <w:color w:val="auto"/>
        </w:rPr>
        <w:t>Positive results from preclinical studies and early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clinical trials may not be indicative of efficacy in late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clinical trials.</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All of our product candidates are in early stages of development. Study designs and results from previous clinical trials are not necessarily predictive of our future clinical trial designs or results, and initial results may not be confirmed upon full analysis of the complete trial or study data. Our product candidates may fail to show the desired safety and efficacy in later stages of clinical development despite having successfully advanced through preclinical studies and initial clinical trials.</w:t>
      </w:r>
    </w:p>
    <w:p>
      <w:pPr>
        <w:spacing w:after="0" w:line="15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A number of companies in the pharmaceutical and biotechnology industries have suffered significant setbacks in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 even after achieving promising results in early</w:t>
      </w:r>
      <w:r>
        <w:rPr>
          <w:rFonts w:ascii="MS PGothic" w:cs="MS PGothic" w:eastAsia="MS PGothic" w:hAnsi="MS PGothic"/>
          <w:sz w:val="17"/>
          <w:szCs w:val="17"/>
          <w:color w:val="auto"/>
        </w:rPr>
        <w:t>‑</w:t>
      </w:r>
      <w:r>
        <w:rPr>
          <w:rFonts w:ascii="Arial" w:cs="Arial" w:eastAsia="Arial" w:hAnsi="Arial"/>
          <w:sz w:val="17"/>
          <w:szCs w:val="17"/>
          <w:color w:val="auto"/>
        </w:rPr>
        <w:t>stage clinical trials. If a larger population of patients does not experience positive results, if these results are not reproducible, or if our products show diminishing activity over time, our products may not receive approval from the EMA or the FDA. Data obtained from preclinical and clinical activities are subject to varying interpretations, which may delay, limit or prevent regulatory approval. In addition, we may encounter regulatory delays or rejections as a result of many factors, including changes in regulatory policy during the period of product development. Failure to confirm favorable results from earlier trials by demonstrating the safety and effectiveness of our products in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 with larger patient populations could harm our business and we may never succeed in commercialization or generating product revenue.</w:t>
      </w:r>
    </w:p>
    <w:p>
      <w:pPr>
        <w:spacing w:after="0" w:line="162" w:lineRule="exact"/>
        <w:rPr>
          <w:sz w:val="20"/>
          <w:szCs w:val="20"/>
          <w:color w:val="auto"/>
        </w:rPr>
      </w:pPr>
    </w:p>
    <w:p>
      <w:pPr>
        <w:ind w:right="60"/>
        <w:spacing w:after="0" w:line="194" w:lineRule="exact"/>
        <w:rPr>
          <w:sz w:val="20"/>
          <w:szCs w:val="20"/>
          <w:color w:val="auto"/>
        </w:rPr>
      </w:pPr>
      <w:r>
        <w:rPr>
          <w:rFonts w:ascii="Arial" w:cs="Arial" w:eastAsia="Arial" w:hAnsi="Arial"/>
          <w:sz w:val="18"/>
          <w:szCs w:val="18"/>
          <w:b w:val="1"/>
          <w:bCs w:val="1"/>
          <w:i w:val="1"/>
          <w:iCs w:val="1"/>
          <w:color w:val="auto"/>
        </w:rPr>
        <w:t>The dosing and delivery techniques being employed in the ongoing VY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AADC01 Phase 1b clinical trial are different from those used in prior trials, and dosing and delivery must be further optimized in this trial or we may not generate the human proof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concept data we seek.</w:t>
      </w:r>
    </w:p>
    <w:p>
      <w:pPr>
        <w:spacing w:after="0" w:line="163"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The clinical trial results of some of our collaborators have been negatively affected by factors that had not been fully anticipated prior to examination of the trial results. For example, the magnitude of the clinical responses seen in the Phase 1 clinical trial of VY</w:t>
      </w:r>
      <w:r>
        <w:rPr>
          <w:rFonts w:ascii="MS PGothic" w:cs="MS PGothic" w:eastAsia="MS PGothic" w:hAnsi="MS PGothic"/>
          <w:sz w:val="17"/>
          <w:szCs w:val="17"/>
          <w:color w:val="auto"/>
        </w:rPr>
        <w:t>‑</w:t>
      </w:r>
      <w:r>
        <w:rPr>
          <w:rFonts w:ascii="Arial" w:cs="Arial" w:eastAsia="Arial" w:hAnsi="Arial"/>
          <w:sz w:val="17"/>
          <w:szCs w:val="17"/>
          <w:color w:val="auto"/>
        </w:rPr>
        <w:t>AADC01 conducted by UCSF were similar to placebo effects observed in previous surgical therapies in Parkinson’s disease. As a result, we are unable to rely on the results of this Phase 1 trial for an indication of the efficacy of treatment with VY</w:t>
      </w:r>
      <w:r>
        <w:rPr>
          <w:rFonts w:ascii="MS PGothic" w:cs="MS PGothic" w:eastAsia="MS PGothic" w:hAnsi="MS PGothic"/>
          <w:sz w:val="17"/>
          <w:szCs w:val="17"/>
          <w:color w:val="auto"/>
        </w:rPr>
        <w:t>‑</w:t>
      </w:r>
      <w:r>
        <w:rPr>
          <w:rFonts w:ascii="Arial" w:cs="Arial" w:eastAsia="Arial" w:hAnsi="Arial"/>
          <w:sz w:val="17"/>
          <w:szCs w:val="17"/>
          <w:color w:val="auto"/>
        </w:rPr>
        <w:t>AADC01. We believe that there is a need to optimize the delivery, dose and volume of infusion of VY</w:t>
      </w:r>
      <w:r>
        <w:rPr>
          <w:rFonts w:ascii="MS PGothic" w:cs="MS PGothic" w:eastAsia="MS PGothic" w:hAnsi="MS PGothic"/>
          <w:sz w:val="17"/>
          <w:szCs w:val="17"/>
          <w:color w:val="auto"/>
        </w:rPr>
        <w:t>‑</w:t>
      </w:r>
      <w:r>
        <w:rPr>
          <w:rFonts w:ascii="Arial" w:cs="Arial" w:eastAsia="Arial" w:hAnsi="Arial"/>
          <w:sz w:val="17"/>
          <w:szCs w:val="17"/>
          <w:color w:val="auto"/>
        </w:rPr>
        <w:t>AADC01 to substantially increase the coverage of the putamen, the region of the brain targeted by VY</w:t>
      </w:r>
      <w:r>
        <w:rPr>
          <w:rFonts w:ascii="MS PGothic" w:cs="MS PGothic" w:eastAsia="MS PGothic" w:hAnsi="MS PGothic"/>
          <w:sz w:val="17"/>
          <w:szCs w:val="17"/>
          <w:color w:val="auto"/>
        </w:rPr>
        <w:t>‑</w:t>
      </w:r>
      <w:r>
        <w:rPr>
          <w:rFonts w:ascii="Arial" w:cs="Arial" w:eastAsia="Arial" w:hAnsi="Arial"/>
          <w:sz w:val="17"/>
          <w:szCs w:val="17"/>
          <w:color w:val="auto"/>
        </w:rPr>
        <w:t>AADC01, to achieve a clinical benefit. However, we can provide no assurances that we will be able to optimize these parameters and thereby achieve sufficient coverage of the putamen to achieve a clinical benefit.</w:t>
      </w:r>
    </w:p>
    <w:p>
      <w:pPr>
        <w:spacing w:after="0" w:line="168"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8"/>
          <w:szCs w:val="18"/>
          <w:color w:val="auto"/>
        </w:rPr>
        <w:t>The ongoing Phase 1b clinical trial of VY</w:t>
      </w:r>
      <w:r>
        <w:rPr>
          <w:rFonts w:ascii="MS PGothic" w:cs="MS PGothic" w:eastAsia="MS PGothic" w:hAnsi="MS PGothic"/>
          <w:sz w:val="18"/>
          <w:szCs w:val="18"/>
          <w:color w:val="auto"/>
        </w:rPr>
        <w:t>‑</w:t>
      </w:r>
      <w:r>
        <w:rPr>
          <w:rFonts w:ascii="Arial" w:cs="Arial" w:eastAsia="Arial" w:hAnsi="Arial"/>
          <w:sz w:val="18"/>
          <w:szCs w:val="18"/>
          <w:color w:val="auto"/>
        </w:rPr>
        <w:t>AADC01 incorporates several design features that are different from those used in UCSF’s previously completed Phase 1 clinical trial, in an attempt to increase the area of the putamen, particularly the posterior putamen, which receives VY</w:t>
      </w:r>
      <w:r>
        <w:rPr>
          <w:rFonts w:ascii="MS PGothic" w:cs="MS PGothic" w:eastAsia="MS PGothic" w:hAnsi="MS PGothic"/>
          <w:sz w:val="18"/>
          <w:szCs w:val="18"/>
          <w:color w:val="auto"/>
        </w:rPr>
        <w:t>‑</w:t>
      </w:r>
      <w:r>
        <w:rPr>
          <w:rFonts w:ascii="Arial" w:cs="Arial" w:eastAsia="Arial" w:hAnsi="Arial"/>
          <w:sz w:val="18"/>
          <w:szCs w:val="18"/>
          <w:color w:val="auto"/>
        </w:rPr>
        <w:t>AADC01 treatment. Larger infusion volumes of VY</w:t>
      </w:r>
      <w:r>
        <w:rPr>
          <w:rFonts w:ascii="MS PGothic" w:cs="MS PGothic" w:eastAsia="MS PGothic" w:hAnsi="MS PGothic"/>
          <w:sz w:val="18"/>
          <w:szCs w:val="18"/>
          <w:color w:val="auto"/>
        </w:rPr>
        <w:t>‑</w:t>
      </w:r>
      <w:r>
        <w:rPr>
          <w:rFonts w:ascii="Arial" w:cs="Arial" w:eastAsia="Arial" w:hAnsi="Arial"/>
          <w:sz w:val="18"/>
          <w:szCs w:val="18"/>
          <w:color w:val="auto"/>
        </w:rPr>
        <w:t>AADC01 are being employed along with higher doses of VY</w:t>
      </w:r>
      <w:r>
        <w:rPr>
          <w:rFonts w:ascii="MS PGothic" w:cs="MS PGothic" w:eastAsia="MS PGothic" w:hAnsi="MS PGothic"/>
          <w:sz w:val="18"/>
          <w:szCs w:val="18"/>
          <w:color w:val="auto"/>
        </w:rPr>
        <w:t>‑</w:t>
      </w:r>
      <w:r>
        <w:rPr>
          <w:rFonts w:ascii="Arial" w:cs="Arial" w:eastAsia="Arial" w:hAnsi="Arial"/>
          <w:sz w:val="18"/>
          <w:szCs w:val="18"/>
          <w:color w:val="auto"/>
        </w:rPr>
        <w:t>AADC01. In addition, the Clearpoint System, which is manufactured by MRI Interventions, Inc., is being used during the surgical procedure to provide accurate placement of the cannula, or small tube used in the procedure, in the putamen to allow for real</w:t>
      </w:r>
      <w:r>
        <w:rPr>
          <w:rFonts w:ascii="MS PGothic" w:cs="MS PGothic" w:eastAsia="MS PGothic" w:hAnsi="MS PGothic"/>
          <w:sz w:val="18"/>
          <w:szCs w:val="18"/>
          <w:color w:val="auto"/>
        </w:rPr>
        <w:t>‑</w:t>
      </w:r>
      <w:r>
        <w:rPr>
          <w:rFonts w:ascii="Arial" w:cs="Arial" w:eastAsia="Arial" w:hAnsi="Arial"/>
          <w:sz w:val="18"/>
          <w:szCs w:val="18"/>
          <w:color w:val="auto"/>
        </w:rPr>
        <w:t>time, intra</w:t>
      </w:r>
      <w:r>
        <w:rPr>
          <w:rFonts w:ascii="MS PGothic" w:cs="MS PGothic" w:eastAsia="MS PGothic" w:hAnsi="MS PGothic"/>
          <w:sz w:val="18"/>
          <w:szCs w:val="18"/>
          <w:color w:val="auto"/>
        </w:rPr>
        <w:t>‑</w:t>
      </w:r>
      <w:r>
        <w:rPr>
          <w:rFonts w:ascii="Arial" w:cs="Arial" w:eastAsia="Arial" w:hAnsi="Arial"/>
          <w:sz w:val="18"/>
          <w:szCs w:val="18"/>
          <w:color w:val="auto"/>
        </w:rPr>
        <w:t>operative MRI to assist the physician in visualizing the delivery of VY</w:t>
      </w:r>
      <w:r>
        <w:rPr>
          <w:rFonts w:ascii="MS PGothic" w:cs="MS PGothic" w:eastAsia="MS PGothic" w:hAnsi="MS PGothic"/>
          <w:sz w:val="18"/>
          <w:szCs w:val="18"/>
          <w:color w:val="auto"/>
        </w:rPr>
        <w:t>‑</w:t>
      </w:r>
      <w:r>
        <w:rPr>
          <w:rFonts w:ascii="Arial" w:cs="Arial" w:eastAsia="Arial" w:hAnsi="Arial"/>
          <w:sz w:val="18"/>
          <w:szCs w:val="18"/>
          <w:color w:val="auto"/>
        </w:rPr>
        <w:t>AADC01 to the putamen and to avoid specific blood vessels during the surgical procedure, with the goal of reducing the risk of hemorrhages. In the prior Phase 1 clinical trial of VY</w:t>
      </w:r>
      <w:r>
        <w:rPr>
          <w:rFonts w:ascii="MS PGothic" w:cs="MS PGothic" w:eastAsia="MS PGothic" w:hAnsi="MS PGothic"/>
          <w:sz w:val="18"/>
          <w:szCs w:val="18"/>
          <w:color w:val="auto"/>
        </w:rPr>
        <w:t>‑</w:t>
      </w:r>
      <w:r>
        <w:rPr>
          <w:rFonts w:ascii="Arial" w:cs="Arial" w:eastAsia="Arial" w:hAnsi="Arial"/>
          <w:sz w:val="18"/>
          <w:szCs w:val="18"/>
          <w:color w:val="auto"/>
        </w:rPr>
        <w:t>AADC01 conducted by UCSF, physicians surgically administered VY</w:t>
      </w:r>
      <w:r>
        <w:rPr>
          <w:rFonts w:ascii="MS PGothic" w:cs="MS PGothic" w:eastAsia="MS PGothic" w:hAnsi="MS PGothic"/>
          <w:sz w:val="18"/>
          <w:szCs w:val="18"/>
          <w:color w:val="auto"/>
        </w:rPr>
        <w:t>‑</w:t>
      </w:r>
      <w:r>
        <w:rPr>
          <w:rFonts w:ascii="Arial" w:cs="Arial" w:eastAsia="Arial" w:hAnsi="Arial"/>
          <w:sz w:val="18"/>
          <w:szCs w:val="18"/>
          <w:color w:val="auto"/>
        </w:rPr>
        <w:t>AADC01 without the use of the Clearpoint System, and therefore did not have real</w:t>
      </w:r>
      <w:r>
        <w:rPr>
          <w:rFonts w:ascii="MS PGothic" w:cs="MS PGothic" w:eastAsia="MS PGothic" w:hAnsi="MS PGothic"/>
          <w:sz w:val="18"/>
          <w:szCs w:val="18"/>
          <w:color w:val="auto"/>
        </w:rPr>
        <w:t>‑</w:t>
      </w:r>
      <w:r>
        <w:rPr>
          <w:rFonts w:ascii="Arial" w:cs="Arial" w:eastAsia="Arial" w:hAnsi="Arial"/>
          <w:sz w:val="18"/>
          <w:szCs w:val="18"/>
          <w:color w:val="auto"/>
        </w:rPr>
        <w:t>time visualization of treatment delivery.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59" w:firstLine="648"/>
        <w:spacing w:after="0" w:line="187" w:lineRule="exact"/>
        <w:rPr>
          <w:sz w:val="20"/>
          <w:szCs w:val="20"/>
          <w:color w:val="auto"/>
        </w:rPr>
      </w:pPr>
      <w:r>
        <w:rPr>
          <w:rFonts w:ascii="Arial" w:cs="Arial" w:eastAsia="Arial" w:hAnsi="Arial"/>
          <w:sz w:val="18"/>
          <w:szCs w:val="18"/>
          <w:color w:val="auto"/>
        </w:rPr>
        <w:t>Due to the nature of the techniques being used in the Phase 1b clinical trial and the numerous variables that can be changed, it is possible that the data generated from this trial may not provide evidence of clinical benefit. For example, physicians may use needles of differing lengths in the infusion procedure, or may use differing infusion speeds or infusion angles. These differences could affect the dose of VY</w:t>
      </w:r>
      <w:r>
        <w:rPr>
          <w:rFonts w:ascii="MS PGothic" w:cs="MS PGothic" w:eastAsia="MS PGothic" w:hAnsi="MS PGothic"/>
          <w:sz w:val="18"/>
          <w:szCs w:val="18"/>
          <w:color w:val="auto"/>
        </w:rPr>
        <w:t>‑</w:t>
      </w:r>
      <w:r>
        <w:rPr>
          <w:rFonts w:ascii="Arial" w:cs="Arial" w:eastAsia="Arial" w:hAnsi="Arial"/>
          <w:sz w:val="18"/>
          <w:szCs w:val="18"/>
          <w:color w:val="auto"/>
        </w:rPr>
        <w:t>AADC01 that ultimately reaches the putamen, leading to highly variable results.</w:t>
      </w:r>
    </w:p>
    <w:p>
      <w:pPr>
        <w:spacing w:after="0" w:line="162" w:lineRule="exact"/>
        <w:rPr>
          <w:sz w:val="20"/>
          <w:szCs w:val="20"/>
          <w:color w:val="auto"/>
        </w:rPr>
      </w:pPr>
    </w:p>
    <w:p>
      <w:pPr>
        <w:ind w:right="139" w:firstLine="648"/>
        <w:spacing w:after="0" w:line="185" w:lineRule="exact"/>
        <w:rPr>
          <w:sz w:val="20"/>
          <w:szCs w:val="20"/>
          <w:color w:val="auto"/>
        </w:rPr>
      </w:pPr>
      <w:r>
        <w:rPr>
          <w:rFonts w:ascii="Arial" w:cs="Arial" w:eastAsia="Arial" w:hAnsi="Arial"/>
          <w:sz w:val="17"/>
          <w:szCs w:val="17"/>
          <w:color w:val="auto"/>
        </w:rPr>
        <w:t>Furthermore, we plan to use a slightly modified version of VY</w:t>
      </w:r>
      <w:r>
        <w:rPr>
          <w:rFonts w:ascii="MS PGothic" w:cs="MS PGothic" w:eastAsia="MS PGothic" w:hAnsi="MS PGothic"/>
          <w:sz w:val="17"/>
          <w:szCs w:val="17"/>
          <w:color w:val="auto"/>
        </w:rPr>
        <w:t>‑</w:t>
      </w:r>
      <w:r>
        <w:rPr>
          <w:rFonts w:ascii="Arial" w:cs="Arial" w:eastAsia="Arial" w:hAnsi="Arial"/>
          <w:sz w:val="17"/>
          <w:szCs w:val="17"/>
          <w:color w:val="auto"/>
        </w:rPr>
        <w:t>AADC01 in future clinical trials compared to the version of VY</w:t>
      </w:r>
      <w:r>
        <w:rPr>
          <w:rFonts w:ascii="MS PGothic" w:cs="MS PGothic" w:eastAsia="MS PGothic" w:hAnsi="MS PGothic"/>
          <w:sz w:val="17"/>
          <w:szCs w:val="17"/>
          <w:color w:val="auto"/>
        </w:rPr>
        <w:t>‑</w:t>
      </w:r>
      <w:r>
        <w:rPr>
          <w:rFonts w:ascii="Arial" w:cs="Arial" w:eastAsia="Arial" w:hAnsi="Arial"/>
          <w:sz w:val="17"/>
          <w:szCs w:val="17"/>
          <w:color w:val="auto"/>
        </w:rPr>
        <w:t>AADC01 used in the prior Phase 1 clinical trial and in the ongoing Phase 1b clinical trial. In order to use the modified version of VY</w:t>
      </w:r>
      <w:r>
        <w:rPr>
          <w:rFonts w:ascii="MS PGothic" w:cs="MS PGothic" w:eastAsia="MS PGothic" w:hAnsi="MS PGothic"/>
          <w:sz w:val="17"/>
          <w:szCs w:val="17"/>
          <w:color w:val="auto"/>
        </w:rPr>
        <w:t>‑</w:t>
      </w:r>
      <w:r>
        <w:rPr>
          <w:rFonts w:ascii="Arial" w:cs="Arial" w:eastAsia="Arial" w:hAnsi="Arial"/>
          <w:sz w:val="17"/>
          <w:szCs w:val="17"/>
          <w:color w:val="auto"/>
        </w:rPr>
        <w:t>AADC01 in our future clinical trials, we will need to complete preclinical studies that demonstrate comparability between the current version and the modified version of VY</w:t>
      </w:r>
      <w:r>
        <w:rPr>
          <w:rFonts w:ascii="MS PGothic" w:cs="MS PGothic" w:eastAsia="MS PGothic" w:hAnsi="MS PGothic"/>
          <w:sz w:val="17"/>
          <w:szCs w:val="17"/>
          <w:color w:val="auto"/>
        </w:rPr>
        <w:t>‑</w:t>
      </w:r>
      <w:r>
        <w:rPr>
          <w:rFonts w:ascii="Arial" w:cs="Arial" w:eastAsia="Arial" w:hAnsi="Arial"/>
          <w:sz w:val="17"/>
          <w:szCs w:val="17"/>
          <w:color w:val="auto"/>
        </w:rPr>
        <w:t>AADC01. Although we believe the current version of VY</w:t>
      </w:r>
      <w:r>
        <w:rPr>
          <w:rFonts w:ascii="MS PGothic" w:cs="MS PGothic" w:eastAsia="MS PGothic" w:hAnsi="MS PGothic"/>
          <w:sz w:val="17"/>
          <w:szCs w:val="17"/>
          <w:color w:val="auto"/>
        </w:rPr>
        <w:t>‑</w:t>
      </w:r>
      <w:r>
        <w:rPr>
          <w:rFonts w:ascii="Arial" w:cs="Arial" w:eastAsia="Arial" w:hAnsi="Arial"/>
          <w:sz w:val="17"/>
          <w:szCs w:val="17"/>
          <w:color w:val="auto"/>
        </w:rPr>
        <w:t>AADC01 to be substantially similar to the modified version, we can provide no assurances that we will be able to successfully complete such preclinical studies and demonstrate comparability.</w:t>
      </w:r>
    </w:p>
    <w:p>
      <w:pPr>
        <w:spacing w:after="0" w:line="165" w:lineRule="exact"/>
        <w:rPr>
          <w:sz w:val="20"/>
          <w:szCs w:val="20"/>
          <w:color w:val="auto"/>
        </w:rPr>
      </w:pPr>
    </w:p>
    <w:p>
      <w:pPr>
        <w:ind w:right="119"/>
        <w:spacing w:after="0" w:line="238" w:lineRule="auto"/>
        <w:rPr>
          <w:sz w:val="20"/>
          <w:szCs w:val="20"/>
          <w:color w:val="auto"/>
        </w:rPr>
      </w:pPr>
      <w:r>
        <w:rPr>
          <w:rFonts w:ascii="Arial" w:cs="Arial" w:eastAsia="Arial" w:hAnsi="Arial"/>
          <w:sz w:val="17"/>
          <w:szCs w:val="17"/>
          <w:b w:val="1"/>
          <w:bCs w:val="1"/>
          <w:i w:val="1"/>
          <w:iCs w:val="1"/>
          <w:color w:val="auto"/>
        </w:rPr>
        <w:t>We may encounter substantial delays in commencement, enrollment or completion of our clinical trials or we may fail to demonstrate safety and efficacy to the satisfaction of applicable regulatory authorities, which could prevent us from commercializing our current and future product candidates on a timely basis, if at all.</w:t>
      </w:r>
    </w:p>
    <w:p>
      <w:pPr>
        <w:spacing w:after="0" w:line="161" w:lineRule="exact"/>
        <w:rPr>
          <w:sz w:val="20"/>
          <w:szCs w:val="20"/>
          <w:color w:val="auto"/>
        </w:rPr>
      </w:pPr>
    </w:p>
    <w:p>
      <w:pPr>
        <w:ind w:right="479" w:firstLine="648"/>
        <w:spacing w:after="0" w:line="194" w:lineRule="exact"/>
        <w:rPr>
          <w:sz w:val="20"/>
          <w:szCs w:val="20"/>
          <w:color w:val="auto"/>
        </w:rPr>
      </w:pPr>
      <w:r>
        <w:rPr>
          <w:rFonts w:ascii="Arial" w:cs="Arial" w:eastAsia="Arial" w:hAnsi="Arial"/>
          <w:sz w:val="18"/>
          <w:szCs w:val="18"/>
          <w:color w:val="auto"/>
        </w:rPr>
        <w:t>Before obtaining marketing approval from regulatory authorities for the sale of our current and future product candidates, we must conduct extensive clinical trials to demonstrate the safety and efficacy of the product candidates. Clinical trials are expensive, time</w:t>
      </w:r>
      <w:r>
        <w:rPr>
          <w:rFonts w:ascii="MS PGothic" w:cs="MS PGothic" w:eastAsia="MS PGothic" w:hAnsi="MS PGothic"/>
          <w:sz w:val="18"/>
          <w:szCs w:val="18"/>
          <w:color w:val="auto"/>
        </w:rPr>
        <w:t>‑</w:t>
      </w:r>
      <w:r>
        <w:rPr>
          <w:rFonts w:ascii="Arial" w:cs="Arial" w:eastAsia="Arial" w:hAnsi="Arial"/>
          <w:sz w:val="18"/>
          <w:szCs w:val="18"/>
          <w:color w:val="auto"/>
        </w:rPr>
        <w:t>consuming and outcomes are uncertain.</w:t>
      </w:r>
    </w:p>
    <w:p>
      <w:pPr>
        <w:spacing w:after="0" w:line="163" w:lineRule="exact"/>
        <w:rPr>
          <w:sz w:val="20"/>
          <w:szCs w:val="20"/>
          <w:color w:val="auto"/>
        </w:rPr>
      </w:pPr>
    </w:p>
    <w:p>
      <w:pPr>
        <w:ind w:right="239" w:firstLine="648"/>
        <w:spacing w:after="0" w:line="189" w:lineRule="exact"/>
        <w:rPr>
          <w:sz w:val="20"/>
          <w:szCs w:val="20"/>
          <w:color w:val="auto"/>
        </w:rPr>
      </w:pPr>
      <w:r>
        <w:rPr>
          <w:rFonts w:ascii="Arial" w:cs="Arial" w:eastAsia="Arial" w:hAnsi="Arial"/>
          <w:sz w:val="18"/>
          <w:szCs w:val="18"/>
          <w:color w:val="auto"/>
        </w:rPr>
        <w:t>We have very limited experience with clinical trials. To date, we have neither commenced nor completed any clinical trials. The ongoing Phase 1b clinical trial of VY</w:t>
      </w:r>
      <w:r>
        <w:rPr>
          <w:rFonts w:ascii="MS PGothic" w:cs="MS PGothic" w:eastAsia="MS PGothic" w:hAnsi="MS PGothic"/>
          <w:sz w:val="18"/>
          <w:szCs w:val="18"/>
          <w:color w:val="auto"/>
        </w:rPr>
        <w:t>‑</w:t>
      </w:r>
      <w:r>
        <w:rPr>
          <w:rFonts w:ascii="Arial" w:cs="Arial" w:eastAsia="Arial" w:hAnsi="Arial"/>
          <w:sz w:val="18"/>
          <w:szCs w:val="18"/>
          <w:color w:val="auto"/>
        </w:rPr>
        <w:t>AADC01 is being conducted by UCSF. We cannot guarantee that any clinical trials will be conducted as planned or completed on schedule, if at all. A clinical trial failure can occur at any stage of testing.</w:t>
      </w:r>
    </w:p>
    <w:p>
      <w:pPr>
        <w:spacing w:after="0" w:line="163" w:lineRule="exact"/>
        <w:rPr>
          <w:sz w:val="20"/>
          <w:szCs w:val="20"/>
          <w:color w:val="auto"/>
        </w:rPr>
      </w:pPr>
    </w:p>
    <w:p>
      <w:pPr>
        <w:ind w:right="59" w:firstLine="648"/>
        <w:spacing w:after="0" w:line="219"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We may not be able to identify, recruit and enroll a sufficient number of patients, or those with required or desired characteristics, to complete our clinical trials in a timely manner. Patient enrollment and trial completion is affected by factors including:</w:t>
      </w:r>
    </w:p>
    <w:p>
      <w:pPr>
        <w:spacing w:after="0" w:line="163"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·perceived risks and benefits of AAV gene therapy</w:t>
      </w:r>
      <w:r>
        <w:rPr>
          <w:rFonts w:ascii="MS PGothic" w:cs="MS PGothic" w:eastAsia="MS PGothic" w:hAnsi="MS PGothic"/>
          <w:sz w:val="17"/>
          <w:szCs w:val="17"/>
          <w:color w:val="auto"/>
        </w:rPr>
        <w:t>‑</w:t>
      </w:r>
      <w:r>
        <w:rPr>
          <w:rFonts w:ascii="Arial" w:cs="Arial" w:eastAsia="Arial" w:hAnsi="Arial"/>
          <w:sz w:val="17"/>
          <w:szCs w:val="17"/>
          <w:color w:val="auto"/>
        </w:rPr>
        <w:t>based approaches for the treatment of CNS diseases;</w:t>
      </w:r>
    </w:p>
    <w:p>
      <w:pPr>
        <w:spacing w:after="0" w:line="210" w:lineRule="exact"/>
        <w:rPr>
          <w:sz w:val="20"/>
          <w:szCs w:val="20"/>
          <w:color w:val="auto"/>
        </w:rPr>
      </w:pPr>
    </w:p>
    <w:p>
      <w:pPr>
        <w:ind w:left="740" w:hanging="8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98" w:lineRule="exact"/>
        <w:rPr>
          <w:rFonts w:ascii="Arial" w:cs="Arial" w:eastAsia="Arial" w:hAnsi="Arial"/>
          <w:sz w:val="18"/>
          <w:szCs w:val="18"/>
          <w:color w:val="auto"/>
        </w:rPr>
      </w:pPr>
    </w:p>
    <w:p>
      <w:pPr>
        <w:ind w:left="860" w:hanging="209"/>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98" w:lineRule="exact"/>
        <w:rPr>
          <w:rFonts w:ascii="Arial" w:cs="Arial" w:eastAsia="Arial" w:hAnsi="Arial"/>
          <w:sz w:val="18"/>
          <w:szCs w:val="18"/>
          <w:color w:val="auto"/>
        </w:rPr>
      </w:pPr>
    </w:p>
    <w:p>
      <w:pPr>
        <w:ind w:left="840" w:hanging="189"/>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·patients with preexisting antibodies to the vector that preclude their participation in the trial;</w:t>
      </w:r>
    </w:p>
    <w:p>
      <w:pPr>
        <w:spacing w:after="0" w:line="198" w:lineRule="exact"/>
        <w:rPr>
          <w:sz w:val="20"/>
          <w:szCs w:val="20"/>
          <w:color w:val="auto"/>
        </w:rPr>
      </w:pPr>
    </w:p>
    <w:p>
      <w:pPr>
        <w:ind w:left="740" w:hanging="89"/>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obtain and maintain patient consent;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risk that enrolled patients will drop out before completion of the trial;</w:t>
      </w:r>
    </w:p>
    <w:p>
      <w:pPr>
        <w:spacing w:after="0" w:line="198" w:lineRule="exact"/>
        <w:rPr>
          <w:sz w:val="20"/>
          <w:szCs w:val="20"/>
          <w:color w:val="auto"/>
        </w:rPr>
      </w:pPr>
    </w:p>
    <w:p>
      <w:pPr>
        <w:ind w:left="700" w:right="20" w:hanging="53"/>
        <w:spacing w:after="0" w:line="203" w:lineRule="exact"/>
        <w:rPr>
          <w:sz w:val="20"/>
          <w:szCs w:val="20"/>
          <w:color w:val="auto"/>
        </w:rPr>
      </w:pPr>
      <w:r>
        <w:rPr>
          <w:rFonts w:ascii="Arial" w:cs="Arial" w:eastAsia="Arial" w:hAnsi="Arial"/>
          <w:sz w:val="18"/>
          <w:szCs w:val="18"/>
          <w:color w:val="auto"/>
        </w:rPr>
        <w:t>·our inability to locate appropriately trained physicians to conduct such clinical trials, which may be particularly difficult for the VY</w:t>
      </w:r>
      <w:r>
        <w:rPr>
          <w:rFonts w:ascii="MS PGothic" w:cs="MS PGothic" w:eastAsia="MS PGothic" w:hAnsi="MS PGothic"/>
          <w:sz w:val="18"/>
          <w:szCs w:val="18"/>
          <w:color w:val="auto"/>
        </w:rPr>
        <w:t>‑</w:t>
      </w:r>
      <w:r>
        <w:rPr>
          <w:rFonts w:ascii="Arial" w:cs="Arial" w:eastAsia="Arial" w:hAnsi="Arial"/>
          <w:sz w:val="18"/>
          <w:szCs w:val="18"/>
          <w:color w:val="auto"/>
        </w:rPr>
        <w:t>AADC01 clinical trial, in which we are using the ClearPoint System, which is only available at a small number of academic medical centers in the United States;</w:t>
      </w:r>
    </w:p>
    <w:p>
      <w:pPr>
        <w:spacing w:after="0" w:line="175" w:lineRule="exact"/>
        <w:rPr>
          <w:sz w:val="20"/>
          <w:szCs w:val="20"/>
          <w:color w:val="auto"/>
        </w:rPr>
      </w:pPr>
    </w:p>
    <w:p>
      <w:pPr>
        <w:ind w:left="780" w:hanging="12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98"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Further, we plan to seek marketing approvals in the United States, the European Union and other jurisdictions, which may require that we conduct clinical trials in foreign countries. Our ability to successfully initiate, enroll and complete a clinical trial in any foreign country is subject to numerous risks unique to conducting business in foreign countries, including:</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·difficulty in establishing or managing relationships with clinical research organizations, or CROs, and physicians;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different standards for the conduct of clinical trials;</w:t>
      </w:r>
    </w:p>
    <w:p>
      <w:pPr>
        <w:spacing w:after="0" w:line="198" w:lineRule="exact"/>
        <w:rPr>
          <w:sz w:val="20"/>
          <w:szCs w:val="20"/>
          <w:color w:val="auto"/>
        </w:rPr>
      </w:pPr>
    </w:p>
    <w:p>
      <w:pPr>
        <w:ind w:left="700" w:right="520" w:hanging="53"/>
        <w:spacing w:after="0" w:line="246" w:lineRule="auto"/>
        <w:rPr>
          <w:sz w:val="20"/>
          <w:szCs w:val="20"/>
          <w:color w:val="auto"/>
        </w:rPr>
      </w:pPr>
      <w:r>
        <w:rPr>
          <w:rFonts w:ascii="Arial" w:cs="Arial" w:eastAsia="Arial" w:hAnsi="Arial"/>
          <w:sz w:val="18"/>
          <w:szCs w:val="18"/>
          <w:color w:val="auto"/>
        </w:rPr>
        <w:t>·absence in some countries of established groups with sufficient regulatory expertise for review of AAV gene therapy protocols;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inability to locate qualified local partners or collaborators for such clinical trials; and</w:t>
      </w:r>
    </w:p>
    <w:p>
      <w:pPr>
        <w:spacing w:after="0" w:line="198" w:lineRule="exact"/>
        <w:rPr>
          <w:sz w:val="20"/>
          <w:szCs w:val="20"/>
          <w:color w:val="auto"/>
        </w:rPr>
      </w:pPr>
    </w:p>
    <w:p>
      <w:pPr>
        <w:ind w:left="700" w:right="220" w:hanging="53"/>
        <w:spacing w:after="0" w:line="246" w:lineRule="auto"/>
        <w:rPr>
          <w:sz w:val="20"/>
          <w:szCs w:val="20"/>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 any of which would harm our business, financial condition, results of operations and prospects.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events that may prevent successful or timely completion of clinical development include: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delays in reaching a consensus with regulatory authorities on trial design;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·delays in reaching agreement on acceptable terms with prospective CROs, and clinical trial sites;</w:t>
      </w:r>
    </w:p>
    <w:p>
      <w:pPr>
        <w:spacing w:after="0" w:line="198" w:lineRule="exact"/>
        <w:rPr>
          <w:sz w:val="20"/>
          <w:szCs w:val="20"/>
          <w:color w:val="auto"/>
        </w:rPr>
      </w:pPr>
    </w:p>
    <w:p>
      <w:pPr>
        <w:ind w:left="700" w:right="260" w:hanging="53"/>
        <w:spacing w:after="0" w:line="246" w:lineRule="auto"/>
        <w:rPr>
          <w:sz w:val="20"/>
          <w:szCs w:val="20"/>
          <w:color w:val="auto"/>
        </w:rPr>
      </w:pPr>
      <w:r>
        <w:rPr>
          <w:rFonts w:ascii="Arial" w:cs="Arial" w:eastAsia="Arial" w:hAnsi="Arial"/>
          <w:sz w:val="18"/>
          <w:szCs w:val="18"/>
          <w:color w:val="auto"/>
        </w:rPr>
        <w:t>·delays in opening clinical trial sites or obtaining required IRB or independent ethics committee approval at each clinical trial site;</w:t>
      </w:r>
    </w:p>
    <w:p>
      <w:pPr>
        <w:spacing w:after="0" w:line="170" w:lineRule="exact"/>
        <w:rPr>
          <w:sz w:val="20"/>
          <w:szCs w:val="20"/>
          <w:color w:val="auto"/>
        </w:rPr>
      </w:pPr>
    </w:p>
    <w:p>
      <w:pPr>
        <w:ind w:left="700" w:right="60" w:hanging="53"/>
        <w:spacing w:after="0" w:line="246" w:lineRule="auto"/>
        <w:rPr>
          <w:sz w:val="20"/>
          <w:szCs w:val="20"/>
          <w:color w:val="auto"/>
        </w:rPr>
      </w:pPr>
      <w:r>
        <w:rPr>
          <w:rFonts w:ascii="Arial" w:cs="Arial" w:eastAsia="Arial" w:hAnsi="Arial"/>
          <w:sz w:val="18"/>
          <w:szCs w:val="18"/>
          <w:color w:val="auto"/>
        </w:rPr>
        <w:t>·imposition of a clinical hold by regulatory authorities as a result of a serious adverse event or after an inspection of our clinical trial operations or trial sites;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·failure by us, any CROs we engage or any other third parties to adhere to clinical trial requirements;</w:t>
      </w:r>
    </w:p>
    <w:p>
      <w:pPr>
        <w:spacing w:after="0" w:line="198" w:lineRule="exact"/>
        <w:rPr>
          <w:sz w:val="20"/>
          <w:szCs w:val="20"/>
          <w:color w:val="auto"/>
        </w:rPr>
      </w:pPr>
    </w:p>
    <w:p>
      <w:pPr>
        <w:ind w:left="700" w:hanging="53"/>
        <w:spacing w:after="0" w:line="246" w:lineRule="auto"/>
        <w:rPr>
          <w:sz w:val="20"/>
          <w:szCs w:val="20"/>
          <w:color w:val="auto"/>
        </w:rPr>
      </w:pPr>
      <w:r>
        <w:rPr>
          <w:rFonts w:ascii="Arial" w:cs="Arial" w:eastAsia="Arial" w:hAnsi="Arial"/>
          <w:sz w:val="18"/>
          <w:szCs w:val="18"/>
          <w:color w:val="auto"/>
        </w:rPr>
        <w:t>·failure to perform in accordance with the FDA’s good clinical practices, or GCP, or applicable regulatory guidelines in the European Union;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·failure by physicians to adhere to delivery protocols leading to variable results;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700" w:right="699" w:hanging="53"/>
        <w:spacing w:after="0" w:line="307" w:lineRule="auto"/>
        <w:rPr>
          <w:sz w:val="20"/>
          <w:szCs w:val="20"/>
          <w:color w:val="auto"/>
        </w:rPr>
      </w:pPr>
      <w:r>
        <w:rPr>
          <w:rFonts w:ascii="Arial" w:cs="Arial" w:eastAsia="Arial" w:hAnsi="Arial"/>
          <w:sz w:val="16"/>
          <w:szCs w:val="16"/>
          <w:color w:val="auto"/>
        </w:rPr>
        <w:t>·delays in the testing, validation, manufacturing and delivery of our product candidates to the clinical sites, including delays by third parties with whom we have contracted to perform certain of those functions;</w:t>
      </w:r>
    </w:p>
    <w:p>
      <w:pPr>
        <w:spacing w:after="0" w:line="124"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·delays in having patients complete participation in a trial or return for post</w:t>
      </w:r>
      <w:r>
        <w:rPr>
          <w:rFonts w:ascii="MS PGothic" w:cs="MS PGothic" w:eastAsia="MS PGothic" w:hAnsi="MS PGothic"/>
          <w:sz w:val="18"/>
          <w:szCs w:val="18"/>
          <w:color w:val="auto"/>
        </w:rPr>
        <w:t>‑</w:t>
      </w:r>
      <w:r>
        <w:rPr>
          <w:rFonts w:ascii="Arial" w:cs="Arial" w:eastAsia="Arial" w:hAnsi="Arial"/>
          <w:sz w:val="18"/>
          <w:szCs w:val="18"/>
          <w:color w:val="auto"/>
        </w:rPr>
        <w:t>treatment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clinical trial sites or patients dropping out of a trial;</w:t>
      </w:r>
    </w:p>
    <w:p>
      <w:pPr>
        <w:spacing w:after="0" w:line="198" w:lineRule="exact"/>
        <w:rPr>
          <w:sz w:val="20"/>
          <w:szCs w:val="20"/>
          <w:color w:val="auto"/>
        </w:rPr>
      </w:pPr>
    </w:p>
    <w:p>
      <w:pPr>
        <w:ind w:left="700" w:right="359" w:hanging="53"/>
        <w:spacing w:after="0" w:line="246" w:lineRule="auto"/>
        <w:rPr>
          <w:sz w:val="20"/>
          <w:szCs w:val="20"/>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70" w:lineRule="exact"/>
        <w:rPr>
          <w:sz w:val="20"/>
          <w:szCs w:val="20"/>
          <w:color w:val="auto"/>
        </w:rPr>
      </w:pPr>
    </w:p>
    <w:p>
      <w:pPr>
        <w:ind w:left="700" w:right="19" w:hanging="53"/>
        <w:spacing w:after="0" w:line="246" w:lineRule="auto"/>
        <w:rPr>
          <w:sz w:val="20"/>
          <w:szCs w:val="20"/>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·occurrence of serious adverse events in trials of the same class of agents conducted by other sponsors; or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regulatory requirements and guidance that require amending or submitting new clinical protocols.</w:t>
      </w:r>
    </w:p>
    <w:p>
      <w:pPr>
        <w:spacing w:after="0" w:line="210" w:lineRule="exact"/>
        <w:rPr>
          <w:sz w:val="20"/>
          <w:szCs w:val="20"/>
          <w:color w:val="auto"/>
        </w:rPr>
      </w:pPr>
    </w:p>
    <w:p>
      <w:pPr>
        <w:ind w:right="159" w:firstLine="648"/>
        <w:spacing w:after="0" w:line="225" w:lineRule="auto"/>
        <w:rPr>
          <w:sz w:val="20"/>
          <w:szCs w:val="20"/>
          <w:color w:val="auto"/>
        </w:rPr>
      </w:pPr>
      <w:r>
        <w:rPr>
          <w:rFonts w:ascii="Arial" w:cs="Arial" w:eastAsia="Arial" w:hAnsi="Arial"/>
          <w:sz w:val="17"/>
          <w:szCs w:val="17"/>
          <w:color w:val="auto"/>
        </w:rPr>
        <w:t>Any inability to successfully complete preclinical studies and clinical trials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62" w:lineRule="exact"/>
        <w:rPr>
          <w:sz w:val="20"/>
          <w:szCs w:val="20"/>
          <w:color w:val="auto"/>
        </w:rPr>
      </w:pPr>
    </w:p>
    <w:p>
      <w:pPr>
        <w:ind w:right="299" w:firstLine="648"/>
        <w:spacing w:after="0" w:line="235"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 delayed in obtaining marketing approval for our product candidates, if at all;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·obtain approval for indications or patient populations that are not as broad as intended or desired;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be subject to changes in the way the product is administered;</w:t>
      </w:r>
    </w:p>
    <w:p>
      <w:pPr>
        <w:spacing w:after="0" w:line="198" w:lineRule="exact"/>
        <w:rPr>
          <w:sz w:val="20"/>
          <w:szCs w:val="20"/>
          <w:color w:val="auto"/>
        </w:rPr>
      </w:pPr>
    </w:p>
    <w:p>
      <w:pPr>
        <w:ind w:left="700" w:right="479" w:hanging="53"/>
        <w:spacing w:after="0" w:line="210" w:lineRule="exact"/>
        <w:rPr>
          <w:sz w:val="20"/>
          <w:szCs w:val="20"/>
          <w:color w:val="auto"/>
        </w:rPr>
      </w:pPr>
      <w:r>
        <w:rPr>
          <w:rFonts w:ascii="Arial" w:cs="Arial" w:eastAsia="Arial" w:hAnsi="Arial"/>
          <w:sz w:val="18"/>
          <w:szCs w:val="18"/>
          <w:color w:val="auto"/>
        </w:rPr>
        <w:t>·be required to perform additional clinical trials to support approval or 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w:t>
      </w:r>
    </w:p>
    <w:p>
      <w:pPr>
        <w:spacing w:after="0" w:line="175" w:lineRule="exact"/>
        <w:rPr>
          <w:sz w:val="20"/>
          <w:szCs w:val="20"/>
          <w:color w:val="auto"/>
        </w:rPr>
      </w:pPr>
    </w:p>
    <w:p>
      <w:pPr>
        <w:ind w:left="700" w:right="639" w:hanging="53"/>
        <w:spacing w:after="0" w:line="275" w:lineRule="auto"/>
        <w:rPr>
          <w:sz w:val="20"/>
          <w:szCs w:val="20"/>
          <w:color w:val="auto"/>
        </w:rPr>
      </w:pPr>
      <w:r>
        <w:rPr>
          <w:rFonts w:ascii="Arial" w:cs="Arial" w:eastAsia="Arial" w:hAnsi="Arial"/>
          <w:sz w:val="17"/>
          <w:szCs w:val="17"/>
          <w:color w:val="auto"/>
        </w:rPr>
        <w:t>·have regulatory authorities withdraw, or suspend, their approval of the product or impose restrictions on its distribution in the form of a modified risk evaluation and mitigation strategy, or REMS;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 subject to the addition of labeling statements, such as warnings or contraindications;</w:t>
      </w:r>
    </w:p>
    <w:p>
      <w:pPr>
        <w:spacing w:after="0" w:line="198" w:lineRule="exact"/>
        <w:rPr>
          <w:sz w:val="20"/>
          <w:szCs w:val="20"/>
          <w:color w:val="auto"/>
        </w:rPr>
      </w:pPr>
    </w:p>
    <w:p>
      <w:pPr>
        <w:ind w:left="1180" w:hanging="529"/>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98" w:lineRule="exact"/>
        <w:rPr>
          <w:rFonts w:ascii="Arial" w:cs="Arial" w:eastAsia="Arial" w:hAnsi="Arial"/>
          <w:sz w:val="18"/>
          <w:szCs w:val="18"/>
          <w:color w:val="auto"/>
        </w:rPr>
      </w:pPr>
    </w:p>
    <w:p>
      <w:pPr>
        <w:ind w:left="820" w:hanging="169"/>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b w:val="1"/>
          <w:bCs w:val="1"/>
          <w:i w:val="1"/>
          <w:iCs w:val="1"/>
          <w:color w:val="auto"/>
        </w:rPr>
        <w:t>Our product candidates or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47"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In past clinical trials that were conducted by others with non</w:t>
      </w:r>
      <w:r>
        <w:rPr>
          <w:rFonts w:ascii="MS PGothic" w:cs="MS PGothic" w:eastAsia="MS PGothic" w:hAnsi="MS PGothic"/>
          <w:sz w:val="17"/>
          <w:szCs w:val="17"/>
          <w:color w:val="auto"/>
        </w:rPr>
        <w:t>‑</w:t>
      </w:r>
      <w:r>
        <w:rPr>
          <w:rFonts w:ascii="Arial" w:cs="Arial" w:eastAsia="Arial" w:hAnsi="Arial"/>
          <w:sz w:val="17"/>
          <w:szCs w:val="17"/>
          <w:color w:val="auto"/>
        </w:rPr>
        <w:t>AAV vectors, several significant side effects were caused by gene therapy treatments, including reported cases of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our vectors demonstrate a similar adverse effect, or other adverse events, we may be required to halt or delay further clinical development of our product candidates.</w:t>
      </w:r>
    </w:p>
    <w:p>
      <w:pPr>
        <w:spacing w:after="0" w:line="165"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side effects. VY</w:t>
      </w:r>
      <w:r>
        <w:rPr>
          <w:rFonts w:ascii="MS PGothic" w:cs="MS PGothic" w:eastAsia="MS PGothic" w:hAnsi="MS PGothic"/>
          <w:sz w:val="17"/>
          <w:szCs w:val="17"/>
          <w:color w:val="auto"/>
        </w:rPr>
        <w:t>‑</w:t>
      </w:r>
      <w:r>
        <w:rPr>
          <w:rFonts w:ascii="Arial" w:cs="Arial" w:eastAsia="Arial" w:hAnsi="Arial"/>
          <w:sz w:val="17"/>
          <w:szCs w:val="17"/>
          <w:color w:val="auto"/>
        </w:rPr>
        <w:t>AADC01 and VY</w:t>
      </w:r>
      <w:r>
        <w:rPr>
          <w:rFonts w:ascii="MS PGothic" w:cs="MS PGothic" w:eastAsia="MS PGothic" w:hAnsi="MS PGothic"/>
          <w:sz w:val="17"/>
          <w:szCs w:val="17"/>
          <w:color w:val="auto"/>
        </w:rPr>
        <w:t>‑</w:t>
      </w:r>
      <w:r>
        <w:rPr>
          <w:rFonts w:ascii="Arial" w:cs="Arial" w:eastAsia="Arial" w:hAnsi="Arial"/>
          <w:sz w:val="17"/>
          <w:szCs w:val="17"/>
          <w:color w:val="auto"/>
        </w:rPr>
        <w:t>HTT01 will be administered directly to the targeted cells in the brain, requiring the patient to undergo brain surgery. In a previous Phase 1 clinical trial conducted by UCSF, three patients experienced hemorrhages caused by the surgical procedure for administering VY</w:t>
      </w:r>
      <w:r>
        <w:rPr>
          <w:rFonts w:ascii="MS PGothic" w:cs="MS PGothic" w:eastAsia="MS PGothic" w:hAnsi="MS PGothic"/>
          <w:sz w:val="17"/>
          <w:szCs w:val="17"/>
          <w:color w:val="auto"/>
        </w:rPr>
        <w:t>‑</w:t>
      </w:r>
      <w:r>
        <w:rPr>
          <w:rFonts w:ascii="Arial" w:cs="Arial" w:eastAsia="Arial" w:hAnsi="Arial"/>
          <w:sz w:val="17"/>
          <w:szCs w:val="17"/>
          <w:color w:val="auto"/>
        </w:rPr>
        <w:t>AADC01. We are using the ClearPoint System, which has only been used in limited gene therapy neurosurgeries to date, in the ongoing Phase 1b clinical trial of VY</w:t>
      </w:r>
      <w:r>
        <w:rPr>
          <w:rFonts w:ascii="MS PGothic" w:cs="MS PGothic" w:eastAsia="MS PGothic" w:hAnsi="MS PGothic"/>
          <w:sz w:val="17"/>
          <w:szCs w:val="17"/>
          <w:color w:val="auto"/>
        </w:rPr>
        <w:t>‑</w:t>
      </w:r>
      <w:r>
        <w:rPr>
          <w:rFonts w:ascii="Arial" w:cs="Arial" w:eastAsia="Arial" w:hAnsi="Arial"/>
          <w:sz w:val="17"/>
          <w:szCs w:val="17"/>
          <w:color w:val="auto"/>
        </w:rPr>
        <w:t>AADC01 to provide accurate placement of the cannula in the putamen, to allow for real</w:t>
      </w:r>
      <w:r>
        <w:rPr>
          <w:rFonts w:ascii="MS PGothic" w:cs="MS PGothic" w:eastAsia="MS PGothic" w:hAnsi="MS PGothic"/>
          <w:sz w:val="17"/>
          <w:szCs w:val="17"/>
          <w:color w:val="auto"/>
        </w:rPr>
        <w:t>‑</w:t>
      </w:r>
      <w:r>
        <w:rPr>
          <w:rFonts w:ascii="Arial" w:cs="Arial" w:eastAsia="Arial" w:hAnsi="Arial"/>
          <w:sz w:val="17"/>
          <w:szCs w:val="17"/>
          <w:color w:val="auto"/>
        </w:rPr>
        <w:t>time, intra</w:t>
      </w:r>
      <w:r>
        <w:rPr>
          <w:rFonts w:ascii="MS PGothic" w:cs="MS PGothic" w:eastAsia="MS PGothic" w:hAnsi="MS PGothic"/>
          <w:sz w:val="17"/>
          <w:szCs w:val="17"/>
          <w:color w:val="auto"/>
        </w:rPr>
        <w:t>‑</w:t>
      </w:r>
      <w:r>
        <w:rPr>
          <w:rFonts w:ascii="Arial" w:cs="Arial" w:eastAsia="Arial" w:hAnsi="Arial"/>
          <w:sz w:val="17"/>
          <w:szCs w:val="17"/>
          <w:color w:val="auto"/>
        </w:rPr>
        <w:t>operative MRI to assist the physician in visualizing the delivery of VY</w:t>
      </w:r>
      <w:r>
        <w:rPr>
          <w:rFonts w:ascii="MS PGothic" w:cs="MS PGothic" w:eastAsia="MS PGothic" w:hAnsi="MS PGothic"/>
          <w:sz w:val="17"/>
          <w:szCs w:val="17"/>
          <w:color w:val="auto"/>
        </w:rPr>
        <w:t>‑</w:t>
      </w:r>
      <w:r>
        <w:rPr>
          <w:rFonts w:ascii="Arial" w:cs="Arial" w:eastAsia="Arial" w:hAnsi="Arial"/>
          <w:sz w:val="17"/>
          <w:szCs w:val="17"/>
          <w:color w:val="auto"/>
        </w:rPr>
        <w:t>AADC01 to the putamen and to avoid specific blood vessels during the duration of the surgical procedure, with the goal of reducing the risk of hemorrhages. One patient in the ongoing Phase 1b trial at UCSF experienced two serious adverse events, or SAEs, a pulmonary embolism, or blood clot in the lungs, and related heart arrhythmia, or irregular heartbeat, which were determined to be related to the surgical procedure and prolonged immobility, not VY</w:t>
      </w:r>
      <w:r>
        <w:rPr>
          <w:rFonts w:ascii="MS PGothic" w:cs="MS PGothic" w:eastAsia="MS PGothic" w:hAnsi="MS PGothic"/>
          <w:sz w:val="17"/>
          <w:szCs w:val="17"/>
          <w:color w:val="auto"/>
        </w:rPr>
        <w:t>‑</w:t>
      </w:r>
      <w:r>
        <w:rPr>
          <w:rFonts w:ascii="Arial" w:cs="Arial" w:eastAsia="Arial" w:hAnsi="Arial"/>
          <w:sz w:val="17"/>
          <w:szCs w:val="17"/>
          <w:color w:val="auto"/>
        </w:rPr>
        <w:t>AADC01. If other side effects were to occur in connection with the surgical procedure, our clinical trials could be suspended or terminated.</w:t>
      </w:r>
    </w:p>
    <w:p>
      <w:pPr>
        <w:spacing w:after="0" w:line="163"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If in the future we are unable to demonstrate that such side effects were caused by the administration process or related procedures, the FDA, the European Commission, the EMA or other regulatory authorities could order us to cease further development of, or deny approval of, our product candidates for any or all targeted indications. Even if we are able to demonstrate that any future SAEs are not product</w:t>
      </w:r>
      <w:r>
        <w:rPr>
          <w:rFonts w:ascii="MS PGothic" w:cs="MS PGothic" w:eastAsia="MS PGothic" w:hAnsi="MS PGothic"/>
          <w:sz w:val="16"/>
          <w:szCs w:val="16"/>
          <w:color w:val="auto"/>
        </w:rPr>
        <w:t>‑</w:t>
      </w:r>
      <w:r>
        <w:rPr>
          <w:rFonts w:ascii="Arial" w:cs="Arial" w:eastAsia="Arial" w:hAnsi="Arial"/>
          <w:sz w:val="16"/>
          <w:szCs w:val="16"/>
          <w:color w:val="auto"/>
        </w:rPr>
        <w: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68"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REMS to ensure that the benefits outweigh its risks, which may include, among other things, a medication guide outlining the risks of the product for distribution to patients and a communication plan to health care practitioners. Furthermore, if we or others later identify undesirable side effects caused by our product candidate, several potentially significant negative consequences could result, including: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·regulatory authorities may suspend or withdraw approvals of such product candidate;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regulatory authorities may require additional warnings on the label;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be required to change the way a product candidate is administered or conduct additional clinical trials;</w:t>
      </w:r>
    </w:p>
    <w:p>
      <w:pPr>
        <w:spacing w:after="0" w:line="210" w:lineRule="exact"/>
        <w:rPr>
          <w:sz w:val="20"/>
          <w:szCs w:val="20"/>
          <w:color w:val="auto"/>
        </w:rPr>
      </w:pPr>
    </w:p>
    <w:p>
      <w:pPr>
        <w:ind w:left="740" w:hanging="89"/>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98" w:lineRule="exact"/>
        <w:rPr>
          <w:rFonts w:ascii="Arial" w:cs="Arial" w:eastAsia="Arial" w:hAnsi="Arial"/>
          <w:sz w:val="18"/>
          <w:szCs w:val="18"/>
          <w:color w:val="auto"/>
        </w:rPr>
      </w:pPr>
    </w:p>
    <w:p>
      <w:pPr>
        <w:ind w:left="880" w:hanging="22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62" w:lineRule="exact"/>
        <w:rPr>
          <w:sz w:val="20"/>
          <w:szCs w:val="20"/>
          <w:color w:val="auto"/>
        </w:rPr>
      </w:pPr>
    </w:p>
    <w:p>
      <w:pPr>
        <w:ind w:right="260"/>
        <w:spacing w:after="0" w:line="284" w:lineRule="auto"/>
        <w:rPr>
          <w:sz w:val="20"/>
          <w:szCs w:val="20"/>
          <w:color w:val="auto"/>
        </w:rPr>
      </w:pPr>
      <w:r>
        <w:rPr>
          <w:rFonts w:ascii="Arial" w:cs="Arial" w:eastAsia="Arial" w:hAnsi="Arial"/>
          <w:sz w:val="15"/>
          <w:szCs w:val="15"/>
          <w:b w:val="1"/>
          <w:bCs w:val="1"/>
          <w:i w:val="1"/>
          <w:iCs w:val="1"/>
          <w:color w:val="auto"/>
        </w:rPr>
        <w:t>We may be unable to obtain orphan drug designation or exclusivity.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30"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of 1983, the FDA may designate a product candidate as an orphan drug or biological product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or biological product will be recovered from sales in the United States. In the European Union, EMA’s Committee for Orphan Medicinal Products grants orphan drug designation to promote the development of products that are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 affecting not more than five in 10,000 persons in the European Union. Additionally, orphan designation is granted for products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63"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nine months if the biologics license application, or BLA,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69"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We believe that all of our current programs may qualify for orphan drug designation. Even if we obtain orphan drug exclusivity for a product candidate, that exclusivity may not effectively protect the product candidate from competition because different drugs or biological products can be approved for the same condition. In the United States, even after an orphan drug is approved, the FDA may subsequently approve another drug or biological product for the same condition if the FDA concludes that the latter drug or biological product is not the same drug or biological product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163" w:lineRule="exact"/>
        <w:rPr>
          <w:sz w:val="20"/>
          <w:szCs w:val="20"/>
          <w:color w:val="auto"/>
        </w:rPr>
      </w:pPr>
    </w:p>
    <w:p>
      <w:pPr>
        <w:ind w:left="700" w:right="540" w:hanging="53"/>
        <w:spacing w:after="0" w:line="275" w:lineRule="auto"/>
        <w:rPr>
          <w:sz w:val="20"/>
          <w:szCs w:val="20"/>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146" w:lineRule="exact"/>
        <w:rPr>
          <w:sz w:val="20"/>
          <w:szCs w:val="20"/>
          <w:color w:val="auto"/>
        </w:rPr>
      </w:pPr>
    </w:p>
    <w:p>
      <w:pPr>
        <w:ind w:left="700" w:right="320" w:hanging="53"/>
        <w:spacing w:after="0" w:line="246" w:lineRule="auto"/>
        <w:rPr>
          <w:sz w:val="20"/>
          <w:szCs w:val="20"/>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70" w:lineRule="exact"/>
        <w:rPr>
          <w:sz w:val="20"/>
          <w:szCs w:val="20"/>
          <w:color w:val="auto"/>
        </w:rPr>
      </w:pPr>
    </w:p>
    <w:p>
      <w:pPr>
        <w:ind w:left="700" w:right="620" w:hanging="53"/>
        <w:spacing w:after="0" w:line="246" w:lineRule="auto"/>
        <w:rPr>
          <w:sz w:val="20"/>
          <w:szCs w:val="20"/>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b w:val="1"/>
          <w:bCs w:val="1"/>
          <w:i w:val="1"/>
          <w:iCs w:val="1"/>
          <w:color w:val="auto"/>
        </w:rPr>
        <w:t>A potential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or biological product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7"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drugs or biological products no longer meet the conditions for qualification.</w:t>
      </w:r>
    </w:p>
    <w:p>
      <w:pPr>
        <w:spacing w:after="0" w:line="162" w:lineRule="exact"/>
        <w:rPr>
          <w:sz w:val="20"/>
          <w:szCs w:val="20"/>
          <w:color w:val="auto"/>
        </w:rPr>
      </w:pPr>
    </w:p>
    <w:p>
      <w:pPr>
        <w:ind w:right="400"/>
        <w:spacing w:after="0" w:line="324" w:lineRule="auto"/>
        <w:rPr>
          <w:sz w:val="20"/>
          <w:szCs w:val="20"/>
          <w:color w:val="auto"/>
        </w:rPr>
      </w:pPr>
      <w:r>
        <w:rPr>
          <w:rFonts w:ascii="Arial" w:cs="Arial" w:eastAsia="Arial" w:hAnsi="Arial"/>
          <w:sz w:val="15"/>
          <w:szCs w:val="15"/>
          <w:b w:val="1"/>
          <w:bCs w:val="1"/>
          <w:i w:val="1"/>
          <w:iCs w:val="1"/>
          <w:color w:val="auto"/>
        </w:rPr>
        <w:t>Even if we successfully complete the necessary clinical trials, we cannot predict when, or if, we will obtain regulatory approval to commercialize a product candidate and the approval may be for a more narrow indication than we seek.</w:t>
      </w:r>
    </w:p>
    <w:p>
      <w:pPr>
        <w:spacing w:after="0" w:line="102" w:lineRule="exact"/>
        <w:rPr>
          <w:sz w:val="20"/>
          <w:szCs w:val="20"/>
          <w:color w:val="auto"/>
        </w:rPr>
      </w:pPr>
    </w:p>
    <w:p>
      <w:pPr>
        <w:ind w:right="80" w:firstLine="648"/>
        <w:spacing w:after="0" w:line="184" w:lineRule="exact"/>
        <w:rPr>
          <w:sz w:val="20"/>
          <w:szCs w:val="20"/>
          <w:color w:val="auto"/>
        </w:rPr>
      </w:pPr>
      <w:r>
        <w:rPr>
          <w:rFonts w:ascii="Arial" w:cs="Arial" w:eastAsia="Arial" w:hAnsi="Arial"/>
          <w:sz w:val="17"/>
          <w:szCs w:val="17"/>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w:t>
      </w:r>
      <w:r>
        <w:rPr>
          <w:rFonts w:ascii="MS PGothic" w:cs="MS PGothic" w:eastAsia="MS PGothic" w:hAnsi="MS PGothic"/>
          <w:sz w:val="17"/>
          <w:szCs w:val="17"/>
          <w:color w:val="auto"/>
        </w:rPr>
        <w:t>‑</w:t>
      </w:r>
      <w:r>
        <w:rPr>
          <w:rFonts w:ascii="Arial" w:cs="Arial" w:eastAsia="Arial" w:hAnsi="Arial"/>
          <w:sz w:val="17"/>
          <w:szCs w:val="17"/>
          <w:color w:val="auto"/>
        </w:rPr>
        <w:t>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regulatory approval for a product candidate, our products will remain subject to regulatory oversight.</w:t>
      </w:r>
    </w:p>
    <w:p>
      <w:pPr>
        <w:spacing w:after="0" w:line="208"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w:t>
      </w:r>
      <w:r>
        <w:rPr>
          <w:rFonts w:ascii="MS PGothic" w:cs="MS PGothic" w:eastAsia="MS PGothic" w:hAnsi="MS PGothic"/>
          <w:sz w:val="17"/>
          <w:szCs w:val="17"/>
          <w:color w:val="auto"/>
        </w:rPr>
        <w:t>‑</w:t>
      </w:r>
      <w:r>
        <w:rPr>
          <w:rFonts w:ascii="Arial" w:cs="Arial" w:eastAsia="Arial" w:hAnsi="Arial"/>
          <w:sz w:val="17"/>
          <w:szCs w:val="17"/>
          <w:color w:val="auto"/>
        </w:rPr>
        <w:t>keeping and submission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w:t>
      </w:r>
      <w:r>
        <w:rPr>
          <w:rFonts w:ascii="MS PGothic" w:cs="MS PGothic" w:eastAsia="MS PGothic" w:hAnsi="MS PGothic"/>
          <w:sz w:val="17"/>
          <w:szCs w:val="17"/>
          <w:color w:val="auto"/>
        </w:rPr>
        <w:t>‑</w:t>
      </w:r>
      <w:r>
        <w:rPr>
          <w:rFonts w:ascii="Arial" w:cs="Arial" w:eastAsia="Arial" w:hAnsi="Arial"/>
          <w:sz w:val="17"/>
          <w:szCs w:val="17"/>
          <w:color w:val="auto"/>
        </w:rPr>
        <w: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w:t>
      </w:r>
      <w:r>
        <w:rPr>
          <w:rFonts w:ascii="MS PGothic" w:cs="MS PGothic" w:eastAsia="MS PGothic" w:hAnsi="MS PGothic"/>
          <w:sz w:val="17"/>
          <w:szCs w:val="17"/>
          <w:color w:val="auto"/>
        </w:rPr>
        <w:t>‑</w:t>
      </w:r>
      <w:r>
        <w:rPr>
          <w:rFonts w:ascii="Arial" w:cs="Arial" w:eastAsia="Arial" w:hAnsi="Arial"/>
          <w:sz w:val="17"/>
          <w:szCs w:val="17"/>
          <w:color w:val="auto"/>
        </w:rPr>
        <w:t>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3"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39"/>
        <w:spacing w:after="0" w:line="224" w:lineRule="auto"/>
        <w:rPr>
          <w:sz w:val="20"/>
          <w:szCs w:val="20"/>
          <w:color w:val="auto"/>
        </w:rPr>
      </w:pPr>
      <w:r>
        <w:rPr>
          <w:rFonts w:ascii="Arial" w:cs="Arial" w:eastAsia="Arial" w:hAnsi="Arial"/>
          <w:sz w:val="18"/>
          <w:szCs w:val="18"/>
          <w:color w:val="auto"/>
        </w:rPr>
        <w:t>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63" w:lineRule="exact"/>
        <w:rPr>
          <w:sz w:val="20"/>
          <w:szCs w:val="20"/>
          <w:color w:val="auto"/>
        </w:rPr>
      </w:pPr>
    </w:p>
    <w:p>
      <w:pPr>
        <w:ind w:right="79" w:firstLine="648"/>
        <w:spacing w:after="0" w:line="235" w:lineRule="auto"/>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issue a warning letter asserting that we are in violation of the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·seek an injunction or impose administrative, civil or criminal penalties or monetary fines;</w:t>
      </w:r>
    </w:p>
    <w:p>
      <w:pPr>
        <w:spacing w:after="0" w:line="198" w:lineRule="exact"/>
        <w:rPr>
          <w:sz w:val="20"/>
          <w:szCs w:val="20"/>
          <w:color w:val="auto"/>
        </w:rPr>
      </w:pPr>
    </w:p>
    <w:p>
      <w:pPr>
        <w:ind w:left="780" w:hanging="12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98" w:lineRule="exact"/>
        <w:rPr>
          <w:rFonts w:ascii="Arial" w:cs="Arial" w:eastAsia="Arial" w:hAnsi="Arial"/>
          <w:sz w:val="18"/>
          <w:szCs w:val="18"/>
          <w:color w:val="auto"/>
        </w:rPr>
      </w:pPr>
    </w:p>
    <w:p>
      <w:pPr>
        <w:ind w:left="820" w:hanging="169"/>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98" w:lineRule="exact"/>
        <w:rPr>
          <w:sz w:val="20"/>
          <w:szCs w:val="20"/>
          <w:color w:val="auto"/>
        </w:rPr>
      </w:pPr>
    </w:p>
    <w:p>
      <w:pPr>
        <w:ind w:left="700" w:right="579" w:hanging="53"/>
        <w:spacing w:after="0" w:line="246" w:lineRule="auto"/>
        <w:rPr>
          <w:sz w:val="20"/>
          <w:szCs w:val="20"/>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restrict the marketing or manufacturing of the product;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·seize or detain the product or otherwise require the withdrawal of the product from the market;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refuse to permit the import or export of products; 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·refuse to allow us to enter into supply contracts, including government contracts.</w:t>
      </w:r>
    </w:p>
    <w:p>
      <w:pPr>
        <w:spacing w:after="0" w:line="198" w:lineRule="exact"/>
        <w:rPr>
          <w:sz w:val="20"/>
          <w:szCs w:val="20"/>
          <w:color w:val="auto"/>
        </w:rPr>
      </w:pPr>
    </w:p>
    <w:p>
      <w:pPr>
        <w:ind w:right="39" w:firstLine="648"/>
        <w:spacing w:after="0" w:line="21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63" w:lineRule="exact"/>
        <w:rPr>
          <w:sz w:val="20"/>
          <w:szCs w:val="20"/>
          <w:color w:val="auto"/>
        </w:rPr>
      </w:pPr>
    </w:p>
    <w:p>
      <w:pPr>
        <w:ind w:right="99" w:firstLine="648"/>
        <w:spacing w:after="0" w:line="225" w:lineRule="auto"/>
        <w:rPr>
          <w:sz w:val="20"/>
          <w:szCs w:val="20"/>
          <w:color w:val="auto"/>
        </w:rPr>
      </w:pPr>
      <w:r>
        <w:rPr>
          <w:rFonts w:ascii="Arial" w:cs="Arial" w:eastAsia="Arial" w:hAnsi="Arial"/>
          <w:sz w:val="17"/>
          <w:szCs w:val="17"/>
          <w:color w:val="auto"/>
        </w:rPr>
        <w:t>In addition, FDA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financial condition, results of operations and prospects.</w:t>
      </w:r>
    </w:p>
    <w:p>
      <w:pPr>
        <w:spacing w:after="0" w:line="162" w:lineRule="exact"/>
        <w:rPr>
          <w:sz w:val="20"/>
          <w:szCs w:val="20"/>
          <w:color w:val="auto"/>
        </w:rPr>
      </w:pPr>
    </w:p>
    <w:p>
      <w:pPr>
        <w:ind w:right="39"/>
        <w:spacing w:after="0" w:line="21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163" w:lineRule="exact"/>
        <w:rPr>
          <w:sz w:val="20"/>
          <w:szCs w:val="20"/>
          <w:color w:val="auto"/>
        </w:rPr>
      </w:pPr>
    </w:p>
    <w:p>
      <w:pPr>
        <w:ind w:right="359" w:firstLine="648"/>
        <w:spacing w:after="0" w:line="249" w:lineRule="auto"/>
        <w:rPr>
          <w:sz w:val="20"/>
          <w:szCs w:val="20"/>
          <w:color w:val="auto"/>
        </w:rPr>
      </w:pPr>
      <w:r>
        <w:rPr>
          <w:rFonts w:ascii="Arial" w:cs="Arial" w:eastAsia="Arial" w:hAnsi="Arial"/>
          <w:sz w:val="16"/>
          <w:szCs w:val="16"/>
          <w:color w:val="auto"/>
        </w:rPr>
        <w:t>The biotechnology and pharmaceutical industries, including the gene therapy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55" w:lineRule="exact"/>
        <w:rPr>
          <w:sz w:val="20"/>
          <w:szCs w:val="20"/>
          <w:color w:val="auto"/>
        </w:rPr>
      </w:pPr>
    </w:p>
    <w:p>
      <w:pPr>
        <w:ind w:right="79" w:firstLine="648"/>
        <w:spacing w:after="0" w:line="238" w:lineRule="auto"/>
        <w:rPr>
          <w:sz w:val="20"/>
          <w:szCs w:val="20"/>
          <w:color w:val="auto"/>
        </w:rPr>
      </w:pPr>
      <w:r>
        <w:rPr>
          <w:rFonts w:ascii="Arial" w:cs="Arial" w:eastAsia="Arial" w:hAnsi="Arial"/>
          <w:sz w:val="17"/>
          <w:szCs w:val="17"/>
          <w:color w:val="auto"/>
        </w:rPr>
        <w:t>We are aware of several companies focused on developing gene therapies in various indications, including bluebird bio, Inc., Applied Genetic Technologies Corporation, Asklepios BioPharmaceutical, Inc., Audentes Therapeutics, Inc., Avalanche Biotechnologies, Inc., Dimension Therapeutics, Inc., GenSight Biologies SA,</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39"/>
        <w:spacing w:after="0" w:line="238" w:lineRule="auto"/>
        <w:rPr>
          <w:sz w:val="20"/>
          <w:szCs w:val="20"/>
          <w:color w:val="auto"/>
        </w:rPr>
      </w:pPr>
      <w:r>
        <w:rPr>
          <w:rFonts w:ascii="Arial" w:cs="Arial" w:eastAsia="Arial" w:hAnsi="Arial"/>
          <w:sz w:val="17"/>
          <w:szCs w:val="17"/>
          <w:color w:val="auto"/>
        </w:rPr>
        <w:t>NightstaRx Ltd, REGENXBIO Inc., uniQure and Spark Therapeutics, Inc.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main competitors for our specific programs include:</w:t>
      </w:r>
    </w:p>
    <w:p>
      <w:pPr>
        <w:spacing w:after="0" w:line="185" w:lineRule="exact"/>
        <w:rPr>
          <w:sz w:val="20"/>
          <w:szCs w:val="20"/>
          <w:color w:val="auto"/>
        </w:rPr>
      </w:pPr>
    </w:p>
    <w:p>
      <w:pPr>
        <w:ind w:left="700" w:right="259" w:hanging="53"/>
        <w:spacing w:after="0" w:line="197" w:lineRule="exact"/>
        <w:rPr>
          <w:sz w:val="20"/>
          <w:szCs w:val="20"/>
          <w:color w:val="auto"/>
        </w:rPr>
      </w:pPr>
      <w:r>
        <w:rPr>
          <w:rFonts w:ascii="Arial" w:cs="Arial" w:eastAsia="Arial" w:hAnsi="Arial"/>
          <w:sz w:val="18"/>
          <w:szCs w:val="18"/>
          <w:color w:val="auto"/>
        </w:rPr>
        <w:t>·VY</w:t>
      </w:r>
      <w:r>
        <w:rPr>
          <w:rFonts w:ascii="MS PGothic" w:cs="MS PGothic" w:eastAsia="MS PGothic" w:hAnsi="MS PGothic"/>
          <w:sz w:val="18"/>
          <w:szCs w:val="18"/>
          <w:color w:val="auto"/>
        </w:rPr>
        <w:t>‑</w:t>
      </w:r>
      <w:r>
        <w:rPr>
          <w:rFonts w:ascii="Arial" w:cs="Arial" w:eastAsia="Arial" w:hAnsi="Arial"/>
          <w:sz w:val="18"/>
          <w:szCs w:val="18"/>
          <w:color w:val="auto"/>
        </w:rPr>
        <w:t>AADC01 will compete with a variety of therapies currently marketed and in development for advanced Parkinson’s disease, including deep brain simulation marked by Medtronic plc, St. Jude Medical Inc. and other medical device companies, DUOPA/Duodopa marketed by AbbVie Inc., as well as AMT</w:t>
      </w:r>
      <w:r>
        <w:rPr>
          <w:rFonts w:ascii="MS PGothic" w:cs="MS PGothic" w:eastAsia="MS PGothic" w:hAnsi="MS PGothic"/>
          <w:sz w:val="18"/>
          <w:szCs w:val="18"/>
          <w:color w:val="auto"/>
        </w:rPr>
        <w:t>‑</w:t>
      </w:r>
      <w:r>
        <w:rPr>
          <w:rFonts w:ascii="Arial" w:cs="Arial" w:eastAsia="Arial" w:hAnsi="Arial"/>
          <w:sz w:val="18"/>
          <w:szCs w:val="18"/>
          <w:color w:val="auto"/>
        </w:rPr>
        <w:t>090 or AAV</w:t>
      </w:r>
      <w:r>
        <w:rPr>
          <w:rFonts w:ascii="MS PGothic" w:cs="MS PGothic" w:eastAsia="MS PGothic" w:hAnsi="MS PGothic"/>
          <w:sz w:val="18"/>
          <w:szCs w:val="18"/>
          <w:color w:val="auto"/>
        </w:rPr>
        <w:t>‑</w:t>
      </w:r>
      <w:r>
        <w:rPr>
          <w:rFonts w:ascii="Arial" w:cs="Arial" w:eastAsia="Arial" w:hAnsi="Arial"/>
          <w:sz w:val="18"/>
          <w:szCs w:val="18"/>
          <w:color w:val="auto"/>
        </w:rPr>
        <w:t>GDNF in development at uniQure, OXB</w:t>
      </w:r>
      <w:r>
        <w:rPr>
          <w:rFonts w:ascii="MS PGothic" w:cs="MS PGothic" w:eastAsia="MS PGothic" w:hAnsi="MS PGothic"/>
          <w:sz w:val="18"/>
          <w:szCs w:val="18"/>
          <w:color w:val="auto"/>
        </w:rPr>
        <w:t>‑</w:t>
      </w:r>
      <w:r>
        <w:rPr>
          <w:rFonts w:ascii="Arial" w:cs="Arial" w:eastAsia="Arial" w:hAnsi="Arial"/>
          <w:sz w:val="18"/>
          <w:szCs w:val="18"/>
          <w:color w:val="auto"/>
        </w:rPr>
        <w:t>102/Prosavin in development at Oxford Biomedica plc and ND0612H in development at NeuroDerm Ltd.;</w:t>
      </w:r>
    </w:p>
    <w:p>
      <w:pPr>
        <w:spacing w:after="0" w:line="178" w:lineRule="exact"/>
        <w:rPr>
          <w:sz w:val="20"/>
          <w:szCs w:val="20"/>
          <w:color w:val="auto"/>
        </w:rPr>
      </w:pPr>
    </w:p>
    <w:p>
      <w:pPr>
        <w:jc w:val="both"/>
        <w:ind w:left="700" w:right="319" w:hanging="53"/>
        <w:spacing w:after="0" w:line="203" w:lineRule="exact"/>
        <w:rPr>
          <w:sz w:val="20"/>
          <w:szCs w:val="20"/>
          <w:color w:val="auto"/>
        </w:rPr>
      </w:pPr>
      <w:r>
        <w:rPr>
          <w:rFonts w:ascii="Arial" w:cs="Arial" w:eastAsia="Arial" w:hAnsi="Arial"/>
          <w:sz w:val="18"/>
          <w:szCs w:val="18"/>
          <w:color w:val="auto"/>
        </w:rPr>
        <w:t>·VY</w:t>
      </w:r>
      <w:r>
        <w:rPr>
          <w:rFonts w:ascii="MS PGothic" w:cs="MS PGothic" w:eastAsia="MS PGothic" w:hAnsi="MS PGothic"/>
          <w:sz w:val="18"/>
          <w:szCs w:val="18"/>
          <w:color w:val="auto"/>
        </w:rPr>
        <w:t>‑</w:t>
      </w:r>
      <w:r>
        <w:rPr>
          <w:rFonts w:ascii="Arial" w:cs="Arial" w:eastAsia="Arial" w:hAnsi="Arial"/>
          <w:sz w:val="18"/>
          <w:szCs w:val="18"/>
          <w:color w:val="auto"/>
        </w:rPr>
        <w:t>SOD101 for a monogenic form of ALS will potentially compete with ISIS 333611 being developed by Isis Pharmaceuticals, Inc., or Isis, in collaboration with Biogen Idec., or Biogen and Tirasemtiv being developed by Cytokinetics, Inc., or Cytokinetics;</w:t>
      </w:r>
    </w:p>
    <w:p>
      <w:pPr>
        <w:spacing w:after="0" w:line="175" w:lineRule="exact"/>
        <w:rPr>
          <w:sz w:val="20"/>
          <w:szCs w:val="20"/>
          <w:color w:val="auto"/>
        </w:rPr>
      </w:pPr>
    </w:p>
    <w:p>
      <w:pPr>
        <w:ind w:left="700" w:right="79" w:hanging="53"/>
        <w:spacing w:after="0" w:line="200" w:lineRule="exact"/>
        <w:rPr>
          <w:sz w:val="20"/>
          <w:szCs w:val="20"/>
          <w:color w:val="auto"/>
        </w:rPr>
      </w:pPr>
      <w:r>
        <w:rPr>
          <w:rFonts w:ascii="Arial" w:cs="Arial" w:eastAsia="Arial" w:hAnsi="Arial"/>
          <w:sz w:val="18"/>
          <w:szCs w:val="18"/>
          <w:color w:val="auto"/>
        </w:rPr>
        <w:t>·VY</w:t>
      </w:r>
      <w:r>
        <w:rPr>
          <w:rFonts w:ascii="MS PGothic" w:cs="MS PGothic" w:eastAsia="MS PGothic" w:hAnsi="MS PGothic"/>
          <w:sz w:val="18"/>
          <w:szCs w:val="18"/>
          <w:color w:val="auto"/>
        </w:rPr>
        <w:t>‑</w:t>
      </w:r>
      <w:r>
        <w:rPr>
          <w:rFonts w:ascii="Arial" w:cs="Arial" w:eastAsia="Arial" w:hAnsi="Arial"/>
          <w:sz w:val="18"/>
          <w:szCs w:val="18"/>
          <w:color w:val="auto"/>
        </w:rPr>
        <w:t>FXN01 for Friedreich’s ataxia will potentially compete with RG2833 being developed by BioMarin Pharmaceutical Inc., AAV</w:t>
      </w:r>
      <w:r>
        <w:rPr>
          <w:rFonts w:ascii="MS PGothic" w:cs="MS PGothic" w:eastAsia="MS PGothic" w:hAnsi="MS PGothic"/>
          <w:sz w:val="18"/>
          <w:szCs w:val="18"/>
          <w:color w:val="auto"/>
        </w:rPr>
        <w:t>‑</w:t>
      </w:r>
      <w:r>
        <w:rPr>
          <w:rFonts w:ascii="Arial" w:cs="Arial" w:eastAsia="Arial" w:hAnsi="Arial"/>
          <w:sz w:val="18"/>
          <w:szCs w:val="18"/>
          <w:color w:val="auto"/>
        </w:rPr>
        <w:t>FXN being developed by AAVLife, and frataxin targeted gene therapy being developed by Agilis Biotherapeutics, LLC in collaboration with Intrexon Corporation and BB</w:t>
      </w:r>
      <w:r>
        <w:rPr>
          <w:rFonts w:ascii="MS PGothic" w:cs="MS PGothic" w:eastAsia="MS PGothic" w:hAnsi="MS PGothic"/>
          <w:sz w:val="18"/>
          <w:szCs w:val="18"/>
          <w:color w:val="auto"/>
        </w:rPr>
        <w:t>‑</w:t>
      </w:r>
      <w:r>
        <w:rPr>
          <w:rFonts w:ascii="Arial" w:cs="Arial" w:eastAsia="Arial" w:hAnsi="Arial"/>
          <w:sz w:val="18"/>
          <w:szCs w:val="18"/>
          <w:color w:val="auto"/>
        </w:rPr>
        <w:t>FA being developed by BioBlast Pharma Ltd., or BioBlast;</w:t>
      </w:r>
    </w:p>
    <w:p>
      <w:pPr>
        <w:spacing w:after="0" w:line="175" w:lineRule="exact"/>
        <w:rPr>
          <w:sz w:val="20"/>
          <w:szCs w:val="20"/>
          <w:color w:val="auto"/>
        </w:rPr>
      </w:pPr>
    </w:p>
    <w:p>
      <w:pPr>
        <w:ind w:left="700" w:right="459" w:hanging="53"/>
        <w:spacing w:after="0" w:line="203" w:lineRule="exact"/>
        <w:rPr>
          <w:sz w:val="20"/>
          <w:szCs w:val="20"/>
          <w:color w:val="auto"/>
        </w:rPr>
      </w:pPr>
      <w:r>
        <w:rPr>
          <w:rFonts w:ascii="Arial" w:cs="Arial" w:eastAsia="Arial" w:hAnsi="Arial"/>
          <w:sz w:val="16"/>
          <w:szCs w:val="16"/>
          <w:color w:val="auto"/>
        </w:rPr>
        <w:t>·VY</w:t>
      </w:r>
      <w:r>
        <w:rPr>
          <w:rFonts w:ascii="MS PGothic" w:cs="MS PGothic" w:eastAsia="MS PGothic" w:hAnsi="MS PGothic"/>
          <w:sz w:val="16"/>
          <w:szCs w:val="16"/>
          <w:color w:val="auto"/>
        </w:rPr>
        <w:t>‑</w:t>
      </w:r>
      <w:r>
        <w:rPr>
          <w:rFonts w:ascii="Arial" w:cs="Arial" w:eastAsia="Arial" w:hAnsi="Arial"/>
          <w:sz w:val="16"/>
          <w:szCs w:val="16"/>
          <w:color w:val="auto"/>
        </w:rPr>
        <w:t>HTT01 for Huntington’s disease will potentially compete with ISIS</w:t>
      </w:r>
      <w:r>
        <w:rPr>
          <w:rFonts w:ascii="MS PGothic" w:cs="MS PGothic" w:eastAsia="MS PGothic" w:hAnsi="MS PGothic"/>
          <w:sz w:val="16"/>
          <w:szCs w:val="16"/>
          <w:color w:val="auto"/>
        </w:rPr>
        <w:t>‑</w:t>
      </w:r>
      <w:r>
        <w:rPr>
          <w:rFonts w:ascii="Arial" w:cs="Arial" w:eastAsia="Arial" w:hAnsi="Arial"/>
          <w:sz w:val="16"/>
          <w:szCs w:val="16"/>
          <w:color w:val="auto"/>
        </w:rPr>
        <w:t>HTTRx being developed by Isis in collaboration with F. Hoffman</w:t>
      </w:r>
      <w:r>
        <w:rPr>
          <w:rFonts w:ascii="MS PGothic" w:cs="MS PGothic" w:eastAsia="MS PGothic" w:hAnsi="MS PGothic"/>
          <w:sz w:val="16"/>
          <w:szCs w:val="16"/>
          <w:color w:val="auto"/>
        </w:rPr>
        <w:t>‑</w:t>
      </w:r>
      <w:r>
        <w:rPr>
          <w:rFonts w:ascii="Arial" w:cs="Arial" w:eastAsia="Arial" w:hAnsi="Arial"/>
          <w:sz w:val="16"/>
          <w:szCs w:val="16"/>
          <w:color w:val="auto"/>
        </w:rPr>
        <w:t>La Roche Ltd., or Roche, gene editing approach being developed by Sangamo Biosciences, Inc. in collaboration with Shire plc, and another gene therapy being developed by uniQure; and</w:t>
      </w:r>
    </w:p>
    <w:p>
      <w:pPr>
        <w:spacing w:after="0" w:line="176" w:lineRule="exact"/>
        <w:rPr>
          <w:sz w:val="20"/>
          <w:szCs w:val="20"/>
          <w:color w:val="auto"/>
        </w:rPr>
      </w:pPr>
    </w:p>
    <w:p>
      <w:pPr>
        <w:ind w:left="700" w:right="579" w:hanging="53"/>
        <w:spacing w:after="0" w:line="217" w:lineRule="exact"/>
        <w:rPr>
          <w:sz w:val="20"/>
          <w:szCs w:val="20"/>
          <w:color w:val="auto"/>
        </w:rPr>
      </w:pPr>
      <w:r>
        <w:rPr>
          <w:rFonts w:ascii="Arial" w:cs="Arial" w:eastAsia="Arial" w:hAnsi="Arial"/>
          <w:sz w:val="16"/>
          <w:szCs w:val="16"/>
          <w:color w:val="auto"/>
        </w:rPr>
        <w:t>·VY</w:t>
      </w:r>
      <w:r>
        <w:rPr>
          <w:rFonts w:ascii="MS PGothic" w:cs="MS PGothic" w:eastAsia="MS PGothic" w:hAnsi="MS PGothic"/>
          <w:sz w:val="16"/>
          <w:szCs w:val="16"/>
          <w:color w:val="auto"/>
        </w:rPr>
        <w:t>‑</w:t>
      </w:r>
      <w:r>
        <w:rPr>
          <w:rFonts w:ascii="Arial" w:cs="Arial" w:eastAsia="Arial" w:hAnsi="Arial"/>
          <w:sz w:val="16"/>
          <w:szCs w:val="16"/>
          <w:color w:val="auto"/>
        </w:rPr>
        <w:t>SMN101 for spinal muscular atrophy will potentially compete with ChariSMA being developed by AveXis Inc., ISIS</w:t>
      </w:r>
      <w:r>
        <w:rPr>
          <w:rFonts w:ascii="MS PGothic" w:cs="MS PGothic" w:eastAsia="MS PGothic" w:hAnsi="MS PGothic"/>
          <w:sz w:val="16"/>
          <w:szCs w:val="16"/>
          <w:color w:val="auto"/>
        </w:rPr>
        <w:t>‑</w:t>
      </w:r>
      <w:r>
        <w:rPr>
          <w:rFonts w:ascii="Arial" w:cs="Arial" w:eastAsia="Arial" w:hAnsi="Arial"/>
          <w:sz w:val="16"/>
          <w:szCs w:val="16"/>
          <w:color w:val="auto"/>
        </w:rPr>
        <w:t>SMN</w:t>
      </w:r>
      <w:r>
        <w:rPr>
          <w:rFonts w:ascii="Arial" w:cs="Arial" w:eastAsia="Arial" w:hAnsi="Arial"/>
          <w:sz w:val="26"/>
          <w:szCs w:val="26"/>
          <w:color w:val="auto"/>
          <w:vertAlign w:val="subscript"/>
        </w:rPr>
        <w:t>RX</w:t>
      </w:r>
      <w:r>
        <w:rPr>
          <w:rFonts w:ascii="Arial" w:cs="Arial" w:eastAsia="Arial" w:hAnsi="Arial"/>
          <w:sz w:val="16"/>
          <w:szCs w:val="16"/>
          <w:color w:val="auto"/>
        </w:rPr>
        <w:t xml:space="preserve"> being developed by Isis and Biogen, LMI</w:t>
      </w:r>
      <w:r>
        <w:rPr>
          <w:rFonts w:ascii="MS PGothic" w:cs="MS PGothic" w:eastAsia="MS PGothic" w:hAnsi="MS PGothic"/>
          <w:sz w:val="16"/>
          <w:szCs w:val="16"/>
          <w:color w:val="auto"/>
        </w:rPr>
        <w:t>‑</w:t>
      </w:r>
      <w:r>
        <w:rPr>
          <w:rFonts w:ascii="Arial" w:cs="Arial" w:eastAsia="Arial" w:hAnsi="Arial"/>
          <w:sz w:val="16"/>
          <w:szCs w:val="16"/>
          <w:color w:val="auto"/>
        </w:rPr>
        <w:t>070 being developed by Novartis AC,</w:t>
      </w:r>
    </w:p>
    <w:p>
      <w:pPr>
        <w:spacing w:after="0" w:line="2" w:lineRule="exact"/>
        <w:rPr>
          <w:sz w:val="20"/>
          <w:szCs w:val="20"/>
          <w:color w:val="auto"/>
        </w:rPr>
      </w:pPr>
    </w:p>
    <w:p>
      <w:pPr>
        <w:ind w:left="700" w:right="419"/>
        <w:spacing w:after="0" w:line="202" w:lineRule="exact"/>
        <w:rPr>
          <w:sz w:val="20"/>
          <w:szCs w:val="20"/>
          <w:color w:val="auto"/>
        </w:rPr>
      </w:pPr>
      <w:r>
        <w:rPr>
          <w:rFonts w:ascii="Arial" w:cs="Arial" w:eastAsia="Arial" w:hAnsi="Arial"/>
          <w:sz w:val="17"/>
          <w:szCs w:val="17"/>
          <w:color w:val="auto"/>
        </w:rPr>
        <w:t>RO6885247 being developed by PTC Therapeutics, Inc. and Roche, BBrm1 being developed by BioBlast and CK</w:t>
      </w:r>
      <w:r>
        <w:rPr>
          <w:rFonts w:ascii="MS PGothic" w:cs="MS PGothic" w:eastAsia="MS PGothic" w:hAnsi="MS PGothic"/>
          <w:sz w:val="17"/>
          <w:szCs w:val="17"/>
          <w:color w:val="auto"/>
        </w:rPr>
        <w:t>‑</w:t>
      </w:r>
      <w:r>
        <w:rPr>
          <w:rFonts w:ascii="Arial" w:cs="Arial" w:eastAsia="Arial" w:hAnsi="Arial"/>
          <w:sz w:val="17"/>
          <w:szCs w:val="17"/>
          <w:color w:val="auto"/>
        </w:rPr>
        <w:t>2127107 being developed by Cytokinetics in collaboration with Astellas Pharma US, Inc.</w:t>
      </w:r>
    </w:p>
    <w:p>
      <w:pPr>
        <w:spacing w:after="0" w:line="176" w:lineRule="exact"/>
        <w:rPr>
          <w:sz w:val="20"/>
          <w:szCs w:val="20"/>
          <w:color w:val="auto"/>
        </w:rPr>
      </w:pPr>
    </w:p>
    <w:p>
      <w:pPr>
        <w:ind w:right="39" w:firstLine="648"/>
        <w:spacing w:after="0" w:line="222"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us,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spacing w:after="0" w:line="164" w:lineRule="exact"/>
        <w:rPr>
          <w:sz w:val="20"/>
          <w:szCs w:val="20"/>
          <w:color w:val="auto"/>
        </w:rPr>
      </w:pPr>
    </w:p>
    <w:p>
      <w:pPr>
        <w:ind w:right="219" w:firstLine="648"/>
        <w:spacing w:after="0" w:line="216"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 scope of patents relating to our competitors’ products. The availability of our competitors’ products could limit the demand, and the price we are able to charge, for any products that we may develop and commercialize. If we are not able to compete effectively against potential competitors, our business will not grow and our financial condition and operations will be harmed.</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the FDA, we may never obtain approval for our product candidates outside of the United States, which would limit our market opportunities and adversely affect our business.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Approval of a product candidate in the United States by the FDA does not ensure approval of such product</w:t>
      </w:r>
    </w:p>
    <w:p>
      <w:pPr>
        <w:spacing w:after="0" w:line="229" w:lineRule="auto"/>
        <w:rPr>
          <w:sz w:val="20"/>
          <w:szCs w:val="20"/>
          <w:color w:val="auto"/>
        </w:rPr>
      </w:pPr>
      <w:r>
        <w:rPr>
          <w:rFonts w:ascii="Arial" w:cs="Arial" w:eastAsia="Arial" w:hAnsi="Arial"/>
          <w:sz w:val="16"/>
          <w:szCs w:val="16"/>
          <w:color w:val="auto"/>
        </w:rPr>
        <w:t>candidate by regulatory authorities in other countries or jurisdictions, and approval by one foreign regulatory authority does</w:t>
      </w:r>
    </w:p>
    <w:p>
      <w:pPr>
        <w:spacing w:after="0" w:line="215" w:lineRule="auto"/>
        <w:rPr>
          <w:sz w:val="20"/>
          <w:szCs w:val="20"/>
          <w:color w:val="auto"/>
        </w:rPr>
      </w:pPr>
      <w:r>
        <w:rPr>
          <w:rFonts w:ascii="Arial" w:cs="Arial" w:eastAsia="Arial" w:hAnsi="Arial"/>
          <w:sz w:val="17"/>
          <w:szCs w:val="17"/>
          <w:color w:val="auto"/>
        </w:rPr>
        <w:t>not ensure approval by regulatory authorities in other foreign countries or by the FDA. Sales of our product candidates</w:t>
      </w:r>
    </w:p>
    <w:p>
      <w:pPr>
        <w:spacing w:after="0" w:line="216" w:lineRule="auto"/>
        <w:rPr>
          <w:sz w:val="20"/>
          <w:szCs w:val="20"/>
          <w:color w:val="auto"/>
        </w:rPr>
      </w:pPr>
      <w:r>
        <w:rPr>
          <w:rFonts w:ascii="Arial" w:cs="Arial" w:eastAsia="Arial" w:hAnsi="Arial"/>
          <w:sz w:val="17"/>
          <w:szCs w:val="17"/>
          <w:color w:val="auto"/>
        </w:rPr>
        <w:t>outside of the United States will be subject to foreign regulatory requirements governing clinical trials and marketing</w:t>
      </w:r>
    </w:p>
    <w:p>
      <w:pPr>
        <w:spacing w:after="0" w:line="229" w:lineRule="auto"/>
        <w:rPr>
          <w:sz w:val="20"/>
          <w:szCs w:val="20"/>
          <w:color w:val="auto"/>
        </w:rPr>
      </w:pPr>
      <w:r>
        <w:rPr>
          <w:rFonts w:ascii="Arial" w:cs="Arial" w:eastAsia="Arial" w:hAnsi="Arial"/>
          <w:sz w:val="16"/>
          <w:szCs w:val="16"/>
          <w:color w:val="auto"/>
        </w:rPr>
        <w:t>approval. Even if the FDA grants marketing approval for a product candidate, comparable regulatory authorities of foreign</w:t>
      </w:r>
    </w:p>
    <w:p>
      <w:pPr>
        <w:spacing w:after="0" w:line="215" w:lineRule="auto"/>
        <w:rPr>
          <w:sz w:val="20"/>
          <w:szCs w:val="20"/>
          <w:color w:val="auto"/>
        </w:rPr>
      </w:pPr>
      <w:r>
        <w:rPr>
          <w:rFonts w:ascii="Arial" w:cs="Arial" w:eastAsia="Arial" w:hAnsi="Arial"/>
          <w:sz w:val="17"/>
          <w:szCs w:val="17"/>
          <w:color w:val="auto"/>
        </w:rPr>
        <w:t>countries also must approve the manufacturing and marketing of the product candidates in those countries. Approval</w:t>
      </w:r>
    </w:p>
    <w:p>
      <w:pPr>
        <w:spacing w:after="0" w:line="216" w:lineRule="auto"/>
        <w:rPr>
          <w:sz w:val="20"/>
          <w:szCs w:val="20"/>
          <w:color w:val="auto"/>
        </w:rPr>
      </w:pPr>
      <w:r>
        <w:rPr>
          <w:rFonts w:ascii="Arial" w:cs="Arial" w:eastAsia="Arial" w:hAnsi="Arial"/>
          <w:sz w:val="17"/>
          <w:szCs w:val="17"/>
          <w:color w:val="auto"/>
        </w:rPr>
        <w:t>procedures vary among jurisdictions and can involve requirements and administrative review periods different from, and</w:t>
      </w:r>
    </w:p>
    <w:p>
      <w:pPr>
        <w:spacing w:after="0" w:line="215" w:lineRule="auto"/>
        <w:rPr>
          <w:sz w:val="20"/>
          <w:szCs w:val="20"/>
          <w:color w:val="auto"/>
        </w:rPr>
      </w:pPr>
      <w:r>
        <w:rPr>
          <w:rFonts w:ascii="Arial" w:cs="Arial" w:eastAsia="Arial" w:hAnsi="Arial"/>
          <w:sz w:val="17"/>
          <w:szCs w:val="17"/>
          <w:color w:val="auto"/>
        </w:rPr>
        <w:t>more onerous than, those in the United States, including additional preclinical studies or clinical trials. In many countries</w:t>
      </w:r>
    </w:p>
    <w:p>
      <w:pPr>
        <w:spacing w:after="0" w:line="229" w:lineRule="auto"/>
        <w:rPr>
          <w:sz w:val="20"/>
          <w:szCs w:val="20"/>
          <w:color w:val="auto"/>
        </w:rPr>
      </w:pPr>
      <w:r>
        <w:rPr>
          <w:rFonts w:ascii="Arial" w:cs="Arial" w:eastAsia="Arial" w:hAnsi="Arial"/>
          <w:sz w:val="16"/>
          <w:szCs w:val="16"/>
          <w:color w:val="auto"/>
        </w:rPr>
        <w:t>outside the United States, a product candidate must be approved for reimbursement before it can be approved for sale in that</w:t>
      </w:r>
    </w:p>
    <w:p>
      <w:pPr>
        <w:spacing w:after="0" w:line="229" w:lineRule="auto"/>
        <w:rPr>
          <w:sz w:val="20"/>
          <w:szCs w:val="20"/>
          <w:color w:val="auto"/>
        </w:rPr>
      </w:pPr>
      <w:r>
        <w:rPr>
          <w:rFonts w:ascii="Arial" w:cs="Arial" w:eastAsia="Arial" w:hAnsi="Arial"/>
          <w:sz w:val="16"/>
          <w:szCs w:val="16"/>
          <w:color w:val="auto"/>
        </w:rPr>
        <w:t>country. In some cases, the price that we intend to charge for our products, if approved, is also subject to approval. We intend</w:t>
      </w:r>
    </w:p>
    <w:p>
      <w:pPr>
        <w:spacing w:after="0" w:line="229" w:lineRule="auto"/>
        <w:rPr>
          <w:sz w:val="20"/>
          <w:szCs w:val="20"/>
          <w:color w:val="auto"/>
        </w:rPr>
      </w:pPr>
      <w:r>
        <w:rPr>
          <w:rFonts w:ascii="Arial" w:cs="Arial" w:eastAsia="Arial" w:hAnsi="Arial"/>
          <w:sz w:val="16"/>
          <w:szCs w:val="16"/>
          <w:color w:val="auto"/>
        </w:rPr>
        <w:t>to submit a marketing authorization application to EMA for approval of our product candidates in the European Union, but</w:t>
      </w:r>
    </w:p>
    <w:p>
      <w:pPr>
        <w:spacing w:after="0" w:line="229" w:lineRule="auto"/>
        <w:rPr>
          <w:sz w:val="20"/>
          <w:szCs w:val="20"/>
          <w:color w:val="auto"/>
        </w:rPr>
      </w:pPr>
      <w:r>
        <w:rPr>
          <w:rFonts w:ascii="Arial" w:cs="Arial" w:eastAsia="Arial" w:hAnsi="Arial"/>
          <w:sz w:val="16"/>
          <w:szCs w:val="16"/>
          <w:color w:val="auto"/>
        </w:rPr>
        <w:t>obtaining such approval from the European Commission following the opinion of EMA is a lengthy and expensive process.</w:t>
      </w:r>
    </w:p>
    <w:p>
      <w:pPr>
        <w:spacing w:after="0" w:line="229" w:lineRule="auto"/>
        <w:rPr>
          <w:sz w:val="20"/>
          <w:szCs w:val="20"/>
          <w:color w:val="auto"/>
        </w:rPr>
      </w:pPr>
      <w:r>
        <w:rPr>
          <w:rFonts w:ascii="Arial" w:cs="Arial" w:eastAsia="Arial" w:hAnsi="Arial"/>
          <w:sz w:val="16"/>
          <w:szCs w:val="16"/>
          <w:color w:val="auto"/>
        </w:rPr>
        <w:t>Even if a product candidate is approved, the FDA or the European Commission, as the case may be, may limit the indications</w:t>
      </w:r>
    </w:p>
    <w:p>
      <w:pPr>
        <w:spacing w:after="0" w:line="216" w:lineRule="auto"/>
        <w:rPr>
          <w:sz w:val="20"/>
          <w:szCs w:val="20"/>
          <w:color w:val="auto"/>
        </w:rPr>
      </w:pPr>
      <w:r>
        <w:rPr>
          <w:rFonts w:ascii="Arial" w:cs="Arial" w:eastAsia="Arial" w:hAnsi="Arial"/>
          <w:sz w:val="17"/>
          <w:szCs w:val="17"/>
          <w:color w:val="auto"/>
        </w:rPr>
        <w:t>for which the product may be marketed, require extensive warnings on the product labeling or require expensive and</w:t>
      </w:r>
    </w:p>
    <w:p>
      <w:pPr>
        <w:spacing w:after="0" w:line="176" w:lineRule="exact"/>
        <w:rPr>
          <w:sz w:val="20"/>
          <w:szCs w:val="20"/>
          <w:color w:val="auto"/>
        </w:rPr>
      </w:pPr>
      <w:r>
        <w:rPr>
          <w:rFonts w:ascii="Arial" w:cs="Arial" w:eastAsia="Arial" w:hAnsi="Arial"/>
          <w:sz w:val="16"/>
          <w:szCs w:val="16"/>
          <w:color w:val="auto"/>
        </w:rPr>
        <w:t>time</w:t>
      </w:r>
      <w:r>
        <w:rPr>
          <w:rFonts w:ascii="MS PGothic" w:cs="MS PGothic" w:eastAsia="MS PGothic" w:hAnsi="MS PGothic"/>
          <w:sz w:val="16"/>
          <w:szCs w:val="16"/>
          <w:color w:val="auto"/>
        </w:rPr>
        <w:t>‑</w:t>
      </w:r>
      <w:r>
        <w:rPr>
          <w:rFonts w:ascii="Arial" w:cs="Arial" w:eastAsia="Arial" w:hAnsi="Arial"/>
          <w:sz w:val="16"/>
          <w:szCs w:val="16"/>
          <w:color w:val="auto"/>
        </w:rPr>
        <w:t>consuming additional clinical trials or reporting as conditions of approval. Regulatory authorities in countries outside of</w:t>
      </w:r>
    </w:p>
    <w:p>
      <w:pPr>
        <w:spacing w:after="0" w:line="229" w:lineRule="auto"/>
        <w:rPr>
          <w:sz w:val="20"/>
          <w:szCs w:val="20"/>
          <w:color w:val="auto"/>
        </w:rPr>
      </w:pPr>
      <w:r>
        <w:rPr>
          <w:rFonts w:ascii="Arial" w:cs="Arial" w:eastAsia="Arial" w:hAnsi="Arial"/>
          <w:sz w:val="16"/>
          <w:szCs w:val="16"/>
          <w:color w:val="auto"/>
        </w:rPr>
        <w:t>the United States and the European Union also have requirements for approval of product candidates with which we must</w:t>
      </w:r>
    </w:p>
    <w:p>
      <w:pPr>
        <w:spacing w:after="0" w:line="229" w:lineRule="auto"/>
        <w:rPr>
          <w:sz w:val="20"/>
          <w:szCs w:val="20"/>
          <w:color w:val="auto"/>
        </w:rPr>
      </w:pPr>
      <w:r>
        <w:rPr>
          <w:rFonts w:ascii="Arial" w:cs="Arial" w:eastAsia="Arial" w:hAnsi="Arial"/>
          <w:sz w:val="16"/>
          <w:szCs w:val="16"/>
          <w:color w:val="auto"/>
        </w:rPr>
        <w:t>comply prior to marketing in those countries. Obtaining foreign regulatory approvals and compliance with foreign regulatory</w:t>
      </w:r>
    </w:p>
    <w:p>
      <w:pPr>
        <w:spacing w:after="0" w:line="229" w:lineRule="auto"/>
        <w:rPr>
          <w:sz w:val="20"/>
          <w:szCs w:val="20"/>
          <w:color w:val="auto"/>
        </w:rPr>
      </w:pPr>
      <w:r>
        <w:rPr>
          <w:rFonts w:ascii="Arial" w:cs="Arial" w:eastAsia="Arial" w:hAnsi="Arial"/>
          <w:sz w:val="16"/>
          <w:szCs w:val="16"/>
          <w:color w:val="auto"/>
        </w:rPr>
        <w:t>requirements could result in significant delays, difficulties and costs for us and could delay or prevent the introduction of our</w:t>
      </w:r>
    </w:p>
    <w:p>
      <w:pPr>
        <w:spacing w:after="0"/>
        <w:rPr>
          <w:sz w:val="20"/>
          <w:szCs w:val="20"/>
          <w:color w:val="auto"/>
        </w:rPr>
      </w:pPr>
      <w:r>
        <w:rPr>
          <w:rFonts w:ascii="Arial" w:cs="Arial" w:eastAsia="Arial" w:hAnsi="Arial"/>
          <w:sz w:val="18"/>
          <w:szCs w:val="18"/>
          <w:color w:val="auto"/>
        </w:rPr>
        <w:t>product candidates in certain countries.</w:t>
      </w:r>
    </w:p>
    <w:p>
      <w:pPr>
        <w:spacing w:after="0" w:line="88"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21" w:lineRule="exact"/>
        <w:rPr>
          <w:sz w:val="20"/>
          <w:szCs w:val="20"/>
          <w:color w:val="auto"/>
        </w:rPr>
      </w:pPr>
    </w:p>
    <w:p>
      <w:pPr>
        <w:ind w:right="280"/>
        <w:spacing w:after="0" w:line="324" w:lineRule="auto"/>
        <w:rPr>
          <w:sz w:val="20"/>
          <w:szCs w:val="20"/>
          <w:color w:val="auto"/>
        </w:rPr>
      </w:pPr>
      <w:r>
        <w:rPr>
          <w:rFonts w:ascii="Arial" w:cs="Arial" w:eastAsia="Arial" w:hAnsi="Arial"/>
          <w:sz w:val="15"/>
          <w:szCs w:val="15"/>
          <w:b w:val="1"/>
          <w:bCs w:val="1"/>
          <w:i w:val="1"/>
          <w:iCs w:val="1"/>
          <w:color w:val="auto"/>
        </w:rPr>
        <w:t>To date, all of our revenue has been derived from our collaboration with Genzyme, and if this collaboration agreement were to be terminated, our business financial condition, results of operations and prospects would be harmed.</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2015, we entered into a collaboration agreement with Genzyme to leverage our combined expertise and</w:t>
      </w:r>
    </w:p>
    <w:p>
      <w:pPr>
        <w:spacing w:after="0" w:line="224" w:lineRule="auto"/>
        <w:rPr>
          <w:sz w:val="20"/>
          <w:szCs w:val="20"/>
          <w:color w:val="auto"/>
        </w:rPr>
      </w:pPr>
      <w:r>
        <w:rPr>
          <w:rFonts w:ascii="Arial" w:cs="Arial" w:eastAsia="Arial" w:hAnsi="Arial"/>
          <w:sz w:val="17"/>
          <w:szCs w:val="17"/>
          <w:color w:val="auto"/>
        </w:rPr>
        <w:t>assets in gene therapy for CNS diseases. Under the agreement, we received an upfront commitment of approximately</w:t>
      </w:r>
    </w:p>
    <w:p>
      <w:pPr>
        <w:spacing w:after="0" w:line="229" w:lineRule="auto"/>
        <w:rPr>
          <w:sz w:val="20"/>
          <w:szCs w:val="20"/>
          <w:color w:val="auto"/>
        </w:rPr>
      </w:pPr>
      <w:r>
        <w:rPr>
          <w:rFonts w:ascii="Arial" w:cs="Arial" w:eastAsia="Arial" w:hAnsi="Arial"/>
          <w:sz w:val="16"/>
          <w:szCs w:val="16"/>
          <w:color w:val="auto"/>
        </w:rPr>
        <w:t>$100 million. Pursuant to the agreement, we granted Genzyme an exclusive option to license, develop and commercialize</w:t>
      </w:r>
    </w:p>
    <w:p>
      <w:pPr>
        <w:spacing w:after="0" w:line="1" w:lineRule="exact"/>
        <w:rPr>
          <w:sz w:val="20"/>
          <w:szCs w:val="20"/>
          <w:color w:val="auto"/>
        </w:rPr>
      </w:pPr>
    </w:p>
    <w:p>
      <w:pPr>
        <w:ind w:firstLine="3"/>
        <w:spacing w:after="0" w:line="181" w:lineRule="exact"/>
        <w:tabs>
          <w:tab w:leader="none" w:pos="2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w:t>
      </w:r>
      <w:r>
        <w:rPr>
          <w:rFonts w:ascii="MS PGothic" w:cs="MS PGothic" w:eastAsia="MS PGothic" w:hAnsi="MS PGothic"/>
          <w:sz w:val="16"/>
          <w:szCs w:val="16"/>
          <w:color w:val="auto"/>
        </w:rPr>
        <w:t>‑</w:t>
      </w:r>
      <w:r>
        <w:rPr>
          <w:rFonts w:ascii="Arial" w:cs="Arial" w:eastAsia="Arial" w:hAnsi="Arial"/>
          <w:sz w:val="16"/>
          <w:szCs w:val="16"/>
          <w:color w:val="auto"/>
        </w:rPr>
        <w:t>U.S. rights to our advanced Parkinson’s disease, Friedreich’s ataxia and Huntington’s disease programs and a future program, or the Split Territory Programs, with an incremental option to co</w:t>
      </w:r>
      <w:r>
        <w:rPr>
          <w:rFonts w:ascii="MS PGothic" w:cs="MS PGothic" w:eastAsia="MS PGothic" w:hAnsi="MS PGothic"/>
          <w:sz w:val="16"/>
          <w:szCs w:val="16"/>
          <w:color w:val="auto"/>
        </w:rPr>
        <w:t>‑</w:t>
      </w:r>
      <w:r>
        <w:rPr>
          <w:rFonts w:ascii="Arial" w:cs="Arial" w:eastAsia="Arial" w:hAnsi="Arial"/>
          <w:sz w:val="16"/>
          <w:szCs w:val="16"/>
          <w:color w:val="auto"/>
        </w:rPr>
        <w:t>commercialize the product candidate from our Huntington’s disease program in the United States and (ii) worldwide rights to our SMA program. If Genzyme exercises an option for a Split Territory Program, except for our advanced Parkinson’s disease program, it is required to make an option exercise payment to us. Furthermore, Genzyme shall pay up to $645 million in the aggregate upon the achievement of specified regulatory and commercial milestones, and will pay us tiered royalty payments based on a percentage of net sales of product candidates from the programs for which it is exercised its option, or the Optioned Programs.</w:t>
      </w:r>
    </w:p>
    <w:p>
      <w:pPr>
        <w:spacing w:after="0" w:line="95"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color w:val="auto"/>
        </w:rPr>
        <w:t>Following Genzyme’s exercise of an option for a program, Genzyme will have sole responsibility for the development and commercialization of the product candidates from such program in the applicable territory. Genzyme will have the sole discretion to determine and direct its efforts and resources, including the ability to discontinue all efforts and resources, it applies to the development and, if approval is obtained, commercialization and marketing of the product candidates covered by the Optioned Programs in the applicable territories. Genzyme may not be effective in obtaining approvals for the product candidates developed from the Optioned Programs or in marketing, or arranging for necessary supply, manufacturing or distribution relationships for, any approved products. Furthermore, Genzyme may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change its strategic focus or pursue alternative technologies in a manner that results in reduced, delayed or no revenue to us. Genzyme has a variety of marketed products and product candidates under collaboration with other companies, including some of our competitors, and its own corporate objectives may not be consistent with our best interests. If Genzyme fails to develop, obtain regulatory approval for or ultimately commercialize any product candidate from the Optioned Programs in the applicable territories, or if Genzyme terminates our collaboration, our business, financial condition, results of operations and prospects would be harmed. In addition, any dispute or litigation proceedings we may have with Genzyme in the future could delay development programs, create uncertainty as to ownership of or access to intellectual property rights, distract management from other business activities and generate substantial expense.</w:t>
      </w:r>
    </w:p>
    <w:p>
      <w:pPr>
        <w:spacing w:after="0" w:line="10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b w:val="1"/>
          <w:bCs w:val="1"/>
          <w:i w:val="1"/>
          <w:iCs w:val="1"/>
          <w:color w:val="auto"/>
        </w:rPr>
        <w:t>We expect to rely on the ClearPoint System for the foreseeable future for the delivery of our product candidates that are injected directly into targeted regions of the brain. If there are any issues with the ClearPoint System or the manufacturer of the ClearPoint System, our business could be adversely affected.</w:t>
      </w:r>
    </w:p>
    <w:p>
      <w:pPr>
        <w:spacing w:after="0" w:line="157"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The ClearPoint System is being used in the ongoing Phase 1b clinical trial of VY</w:t>
      </w:r>
      <w:r>
        <w:rPr>
          <w:rFonts w:ascii="MS PGothic" w:cs="MS PGothic" w:eastAsia="MS PGothic" w:hAnsi="MS PGothic"/>
          <w:sz w:val="17"/>
          <w:szCs w:val="17"/>
          <w:color w:val="auto"/>
        </w:rPr>
        <w:t>‑</w:t>
      </w:r>
      <w:r>
        <w:rPr>
          <w:rFonts w:ascii="Arial" w:cs="Arial" w:eastAsia="Arial" w:hAnsi="Arial"/>
          <w:sz w:val="17"/>
          <w:szCs w:val="17"/>
          <w:color w:val="auto"/>
        </w:rPr>
        <w:t>AADC01 as a treatment for</w:t>
      </w:r>
    </w:p>
    <w:p>
      <w:pPr>
        <w:spacing w:after="0" w:line="203" w:lineRule="auto"/>
        <w:rPr>
          <w:sz w:val="20"/>
          <w:szCs w:val="20"/>
          <w:color w:val="auto"/>
        </w:rPr>
      </w:pPr>
      <w:r>
        <w:rPr>
          <w:rFonts w:ascii="Arial" w:cs="Arial" w:eastAsia="Arial" w:hAnsi="Arial"/>
          <w:sz w:val="18"/>
          <w:szCs w:val="18"/>
          <w:color w:val="auto"/>
        </w:rPr>
        <w:t>advanced Parkinson’s disease, and we expect to continue to use the ClearPoint System in future clinical trials of</w:t>
      </w:r>
    </w:p>
    <w:p>
      <w:pPr>
        <w:spacing w:after="0" w:line="176" w:lineRule="exact"/>
        <w:rPr>
          <w:sz w:val="20"/>
          <w:szCs w:val="20"/>
          <w:color w:val="auto"/>
        </w:rPr>
      </w:pPr>
      <w:r>
        <w:rPr>
          <w:rFonts w:ascii="Arial" w:cs="Arial" w:eastAsia="Arial" w:hAnsi="Arial"/>
          <w:sz w:val="16"/>
          <w:szCs w:val="16"/>
          <w:color w:val="auto"/>
        </w:rPr>
        <w:t>VY</w:t>
      </w:r>
      <w:r>
        <w:rPr>
          <w:rFonts w:ascii="MS PGothic" w:cs="MS PGothic" w:eastAsia="MS PGothic" w:hAnsi="MS PGothic"/>
          <w:sz w:val="16"/>
          <w:szCs w:val="16"/>
          <w:color w:val="auto"/>
        </w:rPr>
        <w:t>‑</w:t>
      </w:r>
      <w:r>
        <w:rPr>
          <w:rFonts w:ascii="Arial" w:cs="Arial" w:eastAsia="Arial" w:hAnsi="Arial"/>
          <w:sz w:val="16"/>
          <w:szCs w:val="16"/>
          <w:color w:val="auto"/>
        </w:rPr>
        <w:t>AADC01 and any other of our product candidates that are injected directly into the brain. Therefore, any issues with the</w:t>
      </w:r>
    </w:p>
    <w:p>
      <w:pPr>
        <w:spacing w:after="0" w:line="229" w:lineRule="auto"/>
        <w:rPr>
          <w:sz w:val="20"/>
          <w:szCs w:val="20"/>
          <w:color w:val="auto"/>
        </w:rPr>
      </w:pPr>
      <w:r>
        <w:rPr>
          <w:rFonts w:ascii="Arial" w:cs="Arial" w:eastAsia="Arial" w:hAnsi="Arial"/>
          <w:sz w:val="16"/>
          <w:szCs w:val="16"/>
          <w:color w:val="auto"/>
        </w:rPr>
        <w:t>ClearPoint System, such as a finding that use of the ClearPoint System causes adverse events or a product recall, or the</w:t>
      </w:r>
    </w:p>
    <w:p>
      <w:pPr>
        <w:spacing w:after="0" w:line="216" w:lineRule="auto"/>
        <w:rPr>
          <w:sz w:val="20"/>
          <w:szCs w:val="20"/>
          <w:color w:val="auto"/>
        </w:rPr>
      </w:pPr>
      <w:r>
        <w:rPr>
          <w:rFonts w:ascii="Arial" w:cs="Arial" w:eastAsia="Arial" w:hAnsi="Arial"/>
          <w:sz w:val="17"/>
          <w:szCs w:val="17"/>
          <w:color w:val="auto"/>
        </w:rPr>
        <w:t>manufacturer of the ClearPoint System, such as bankruptcy or a decision to stop production of the system due to lack of</w:t>
      </w:r>
    </w:p>
    <w:p>
      <w:pPr>
        <w:spacing w:after="0" w:line="229" w:lineRule="auto"/>
        <w:rPr>
          <w:sz w:val="20"/>
          <w:szCs w:val="20"/>
          <w:color w:val="auto"/>
        </w:rPr>
      </w:pPr>
      <w:r>
        <w:rPr>
          <w:rFonts w:ascii="Arial" w:cs="Arial" w:eastAsia="Arial" w:hAnsi="Arial"/>
          <w:sz w:val="16"/>
          <w:szCs w:val="16"/>
          <w:color w:val="auto"/>
        </w:rPr>
        <w:t>profitability, could delay the development or commercialization of certain of our product candidates, which would have an</w:t>
      </w:r>
    </w:p>
    <w:p>
      <w:pPr>
        <w:spacing w:after="0"/>
        <w:rPr>
          <w:sz w:val="20"/>
          <w:szCs w:val="20"/>
          <w:color w:val="auto"/>
        </w:rPr>
      </w:pPr>
      <w:r>
        <w:rPr>
          <w:rFonts w:ascii="Arial" w:cs="Arial" w:eastAsia="Arial" w:hAnsi="Arial"/>
          <w:sz w:val="18"/>
          <w:szCs w:val="18"/>
          <w:color w:val="auto"/>
        </w:rPr>
        <w:t>adverse effect on our business and results of operations.</w:t>
      </w:r>
    </w:p>
    <w:p>
      <w:pPr>
        <w:spacing w:after="0" w:line="16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We may enter into collaborations in the future with other third parties. If these collaborations are not successful, our business could be adversely affected.</w:t>
      </w:r>
    </w:p>
    <w:p>
      <w:pPr>
        <w:spacing w:after="0" w:line="162" w:lineRule="exact"/>
        <w:rPr>
          <w:sz w:val="20"/>
          <w:szCs w:val="20"/>
          <w:color w:val="auto"/>
        </w:rPr>
      </w:pPr>
    </w:p>
    <w:p>
      <w:pPr>
        <w:ind w:right="200" w:firstLine="648"/>
        <w:spacing w:after="0" w:line="229" w:lineRule="auto"/>
        <w:rPr>
          <w:sz w:val="20"/>
          <w:szCs w:val="20"/>
          <w:color w:val="auto"/>
        </w:rPr>
      </w:pPr>
      <w:r>
        <w:rPr>
          <w:rFonts w:ascii="Arial" w:cs="Arial" w:eastAsia="Arial" w:hAnsi="Arial"/>
          <w:sz w:val="17"/>
          <w:szCs w:val="17"/>
          <w:color w:val="auto"/>
        </w:rPr>
        <w:t>We may enter into additional collaborations in the future. Our ability to generate revenues from our collaborations will depend on our and our collaborators’ abilities to successfully perform the functions assigned to each of us in these arrangements. In addition, our collaborators have the ability to abandon research or development projects and terminate applicable agreements. Moreover, an unsuccessful outcome in any clinical trial for which our collaborator is responsible could be harmful to the public perception and prospects of our gene therapy platform.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relationship with any future collaborations may pose several risks, including the following:</w:t>
      </w:r>
    </w:p>
    <w:p>
      <w:pPr>
        <w:spacing w:after="0" w:line="185" w:lineRule="exact"/>
        <w:rPr>
          <w:sz w:val="20"/>
          <w:szCs w:val="20"/>
          <w:color w:val="auto"/>
        </w:rPr>
      </w:pPr>
    </w:p>
    <w:p>
      <w:pPr>
        <w:ind w:left="700" w:right="520" w:hanging="53"/>
        <w:spacing w:after="0" w:line="246" w:lineRule="auto"/>
        <w:rPr>
          <w:sz w:val="20"/>
          <w:szCs w:val="20"/>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collaborators may not perform their obligations as expected;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clinical trials conducted as part of these collaborations may not be successful;</w:t>
      </w:r>
    </w:p>
    <w:p>
      <w:pPr>
        <w:spacing w:after="0" w:line="198" w:lineRule="exact"/>
        <w:rPr>
          <w:sz w:val="20"/>
          <w:szCs w:val="20"/>
          <w:color w:val="auto"/>
        </w:rPr>
      </w:pPr>
    </w:p>
    <w:p>
      <w:pPr>
        <w:ind w:left="700" w:hanging="53"/>
        <w:spacing w:after="0" w:line="231" w:lineRule="auto"/>
        <w:rPr>
          <w:sz w:val="20"/>
          <w:szCs w:val="20"/>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sz w:val="20"/>
          <w:szCs w:val="20"/>
          <w:color w:val="auto"/>
        </w:rPr>
      </w:pPr>
    </w:p>
    <w:p>
      <w:pPr>
        <w:ind w:left="700" w:right="40" w:hanging="53"/>
        <w:spacing w:after="0" w:line="235" w:lineRule="auto"/>
        <w:rPr>
          <w:sz w:val="20"/>
          <w:szCs w:val="20"/>
          <w:color w:val="auto"/>
        </w:rPr>
      </w:pPr>
      <w:r>
        <w:rPr>
          <w:rFonts w:ascii="Arial" w:cs="Arial" w:eastAsia="Arial" w:hAnsi="Arial"/>
          <w:sz w:val="18"/>
          <w:szCs w:val="18"/>
          <w:color w:val="auto"/>
        </w:rPr>
        <w:t>·collaborators may delay clinical trials, provide insufficient funding for clinical trials, stop a clinical trial or abandon a product candidate, repeat or conduct new clinical trials or require a new formulation of a product candidate for clinical trials;</w:t>
      </w:r>
    </w:p>
    <w:p>
      <w:pPr>
        <w:spacing w:after="0" w:line="175" w:lineRule="exact"/>
        <w:rPr>
          <w:sz w:val="20"/>
          <w:szCs w:val="20"/>
          <w:color w:val="auto"/>
        </w:rPr>
      </w:pPr>
    </w:p>
    <w:p>
      <w:pPr>
        <w:ind w:left="700" w:right="20" w:hanging="53"/>
        <w:spacing w:after="0" w:line="235" w:lineRule="auto"/>
        <w:rPr>
          <w:sz w:val="20"/>
          <w:szCs w:val="20"/>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700" w:right="240" w:hanging="53"/>
        <w:spacing w:after="0" w:line="276" w:lineRule="auto"/>
        <w:rPr>
          <w:sz w:val="20"/>
          <w:szCs w:val="20"/>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49" w:lineRule="exact"/>
        <w:rPr>
          <w:sz w:val="20"/>
          <w:szCs w:val="20"/>
          <w:color w:val="auto"/>
        </w:rPr>
      </w:pPr>
    </w:p>
    <w:p>
      <w:pPr>
        <w:ind w:left="700" w:hanging="53"/>
        <w:spacing w:after="0" w:line="235" w:lineRule="auto"/>
        <w:rPr>
          <w:sz w:val="20"/>
          <w:szCs w:val="20"/>
          <w:color w:val="auto"/>
        </w:rPr>
      </w:pPr>
      <w:r>
        <w:rPr>
          <w:rFonts w:ascii="Arial" w:cs="Arial" w:eastAsia="Arial" w:hAnsi="Arial"/>
          <w:sz w:val="18"/>
          <w:szCs w:val="18"/>
          <w:color w:val="auto"/>
        </w:rPr>
        <w:t>·product candidates developed in collaboration with us may be viewed by our collaborators as competitive with their own product candidates or products, which may cause collaborators to cease to devote resources to the commercialization of our product candidates;</w:t>
      </w:r>
    </w:p>
    <w:p>
      <w:pPr>
        <w:spacing w:after="0" w:line="175" w:lineRule="exact"/>
        <w:rPr>
          <w:sz w:val="20"/>
          <w:szCs w:val="20"/>
          <w:color w:val="auto"/>
        </w:rPr>
      </w:pPr>
    </w:p>
    <w:p>
      <w:pPr>
        <w:ind w:left="700" w:right="400" w:hanging="53"/>
        <w:spacing w:after="0" w:line="235" w:lineRule="auto"/>
        <w:rPr>
          <w:sz w:val="20"/>
          <w:szCs w:val="20"/>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75" w:lineRule="exact"/>
        <w:rPr>
          <w:sz w:val="20"/>
          <w:szCs w:val="20"/>
          <w:color w:val="auto"/>
        </w:rPr>
      </w:pPr>
    </w:p>
    <w:p>
      <w:pPr>
        <w:ind w:left="700" w:right="60" w:hanging="53"/>
        <w:spacing w:after="0" w:line="197" w:lineRule="exact"/>
        <w:rPr>
          <w:sz w:val="20"/>
          <w:szCs w:val="20"/>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w:t>
      </w:r>
      <w:r>
        <w:rPr>
          <w:rFonts w:ascii="MS PGothic" w:cs="MS PGothic" w:eastAsia="MS PGothic" w:hAnsi="MS PGothic"/>
          <w:sz w:val="18"/>
          <w:szCs w:val="18"/>
          <w:color w:val="auto"/>
        </w:rPr>
        <w:t>‑</w:t>
      </w:r>
      <w:r>
        <w:rPr>
          <w:rFonts w:ascii="Arial" w:cs="Arial" w:eastAsia="Arial" w:hAnsi="Arial"/>
          <w:sz w:val="18"/>
          <w:szCs w:val="18"/>
          <w:color w:val="auto"/>
        </w:rPr>
        <w:t>consuming and expensive;</w:t>
      </w:r>
    </w:p>
    <w:p>
      <w:pPr>
        <w:spacing w:after="0" w:line="111" w:lineRule="exact"/>
        <w:rPr>
          <w:sz w:val="20"/>
          <w:szCs w:val="20"/>
          <w:color w:val="auto"/>
        </w:rPr>
      </w:pPr>
    </w:p>
    <w:p>
      <w:pPr>
        <w:jc w:val="both"/>
        <w:ind w:left="700" w:right="460" w:hanging="53"/>
        <w:spacing w:after="0" w:line="235" w:lineRule="auto"/>
        <w:rPr>
          <w:sz w:val="20"/>
          <w:szCs w:val="20"/>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08" w:lineRule="exact"/>
        <w:rPr>
          <w:sz w:val="20"/>
          <w:szCs w:val="20"/>
          <w:color w:val="auto"/>
        </w:rPr>
      </w:pPr>
    </w:p>
    <w:p>
      <w:pPr>
        <w:ind w:left="700" w:right="100" w:hanging="53"/>
        <w:spacing w:after="0" w:line="246" w:lineRule="auto"/>
        <w:rPr>
          <w:sz w:val="20"/>
          <w:szCs w:val="20"/>
          <w:color w:val="auto"/>
        </w:rPr>
      </w:pPr>
      <w:r>
        <w:rPr>
          <w:rFonts w:ascii="Arial" w:cs="Arial" w:eastAsia="Arial" w:hAnsi="Arial"/>
          <w:sz w:val="18"/>
          <w:szCs w:val="18"/>
          <w:color w:val="auto"/>
        </w:rPr>
        <w:t>·disputes may arise with respect to the ownership or inventorship of intellectual property developed pursuant to our collaborations;</w:t>
      </w:r>
    </w:p>
    <w:p>
      <w:pPr>
        <w:spacing w:after="0" w:line="102" w:lineRule="exact"/>
        <w:rPr>
          <w:sz w:val="20"/>
          <w:szCs w:val="20"/>
          <w:color w:val="auto"/>
        </w:rPr>
      </w:pPr>
    </w:p>
    <w:p>
      <w:pPr>
        <w:ind w:left="700" w:right="300" w:hanging="53"/>
        <w:spacing w:after="0" w:line="246" w:lineRule="auto"/>
        <w:rPr>
          <w:sz w:val="20"/>
          <w:szCs w:val="20"/>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02" w:lineRule="exact"/>
        <w:rPr>
          <w:sz w:val="20"/>
          <w:szCs w:val="20"/>
          <w:color w:val="auto"/>
        </w:rPr>
      </w:pPr>
    </w:p>
    <w:p>
      <w:pPr>
        <w:ind w:left="700" w:right="300" w:hanging="53"/>
        <w:spacing w:after="0" w:line="246" w:lineRule="auto"/>
        <w:rPr>
          <w:sz w:val="20"/>
          <w:szCs w:val="20"/>
          <w:color w:val="auto"/>
        </w:rPr>
      </w:pPr>
      <w:r>
        <w:rPr>
          <w:rFonts w:ascii="Arial" w:cs="Arial" w:eastAsia="Arial" w:hAnsi="Arial"/>
          <w:sz w:val="18"/>
          <w:szCs w:val="18"/>
          <w:color w:val="auto"/>
        </w:rPr>
        <w:t>·the terms of our collaboration agreement may restrict us from entering into certain relationships with other third parties, thereby limiting our options; and</w:t>
      </w:r>
    </w:p>
    <w:p>
      <w:pPr>
        <w:spacing w:after="0" w:line="102" w:lineRule="exact"/>
        <w:rPr>
          <w:sz w:val="20"/>
          <w:szCs w:val="20"/>
          <w:color w:val="auto"/>
        </w:rPr>
      </w:pPr>
    </w:p>
    <w:p>
      <w:pPr>
        <w:ind w:left="700" w:hanging="53"/>
        <w:spacing w:after="0" w:line="307" w:lineRule="auto"/>
        <w:rPr>
          <w:sz w:val="20"/>
          <w:szCs w:val="20"/>
          <w:color w:val="auto"/>
        </w:rPr>
      </w:pPr>
      <w:r>
        <w:rPr>
          <w:rFonts w:ascii="Arial" w:cs="Arial" w:eastAsia="Arial" w:hAnsi="Arial"/>
          <w:sz w:val="16"/>
          <w:szCs w:val="16"/>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56"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our product candidates. In addition,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Quarterly Report apply to the activities of our collaborators.</w:t>
      </w:r>
    </w:p>
    <w:p>
      <w:pPr>
        <w:spacing w:after="0" w:line="97"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If we decide to enter into future collaborations, we could face significant competition in seeking appropriate collaborators and the negotiation process is time</w:t>
      </w:r>
      <w:r>
        <w:rPr>
          <w:rFonts w:ascii="MS PGothic" w:cs="MS PGothic" w:eastAsia="MS PGothic" w:hAnsi="MS PGothic"/>
          <w:sz w:val="17"/>
          <w:szCs w:val="17"/>
          <w:color w:val="auto"/>
        </w:rPr>
        <w:t>‑</w:t>
      </w:r>
      <w:r>
        <w:rPr>
          <w:rFonts w:ascii="Arial" w:cs="Arial" w:eastAsia="Arial" w:hAnsi="Arial"/>
          <w:sz w:val="17"/>
          <w:szCs w:val="17"/>
          <w:color w:val="auto"/>
        </w:rPr>
        <w:t>consuming and complex. Our ability to reach a definitive collaboration agreement with any future collaborators will depend, among other things, upon our assessment of the collaborator’s resources and expertise, the terms and conditions of the proposed collaboration and the proposed collaborator’s evaluation of several factors. If we license rights to product candidates, we may not be able to realize the benefit of such transactions if we are unable to successfully integrate them with our existing operations and company culture.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We expect to rely on third parties to conduct, supervise and monitor our clinical trials, and if these third parties perform in an unsatisfactory manner, our business could be harmed.</w:t>
      </w:r>
    </w:p>
    <w:p>
      <w:pPr>
        <w:spacing w:after="0" w:line="94"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We expect to rely on CROs and clinical trial sites to ensure our clinical trials are conducted properly and on time. While we will have agreements governing their activities, we will have limited influence over their actual performance. We will control only certain aspects of our CROs’ activities. Nevertheless, we will be responsible for ensuring that each of our clinical studies is conducted in accordance with the applicable protocol, legal, regulatory and scientific standards, and our reliance on the CROs does not relieve us of our regulatory responsibilities. For example, the only clinical trial of any of our product candidates or programs is being conducted by UCSF. If UCSF terminated the clinical trial of VY</w:t>
      </w:r>
      <w:r>
        <w:rPr>
          <w:rFonts w:ascii="MS PGothic" w:cs="MS PGothic" w:eastAsia="MS PGothic" w:hAnsi="MS PGothic"/>
          <w:sz w:val="16"/>
          <w:szCs w:val="16"/>
          <w:color w:val="auto"/>
        </w:rPr>
        <w:t>‑</w:t>
      </w:r>
      <w:r>
        <w:rPr>
          <w:rFonts w:ascii="Arial" w:cs="Arial" w:eastAsia="Arial" w:hAnsi="Arial"/>
          <w:sz w:val="16"/>
          <w:szCs w:val="16"/>
          <w:color w:val="auto"/>
        </w:rPr>
        <w:t>AADC01, we would be required to find another party to conduct any new trials. We may be unable to find a new party to conduct new trials of our product candidates or obtain clinical supply of our product candidates or AAV vectors for such trials.</w:t>
      </w:r>
    </w:p>
    <w:p>
      <w:pPr>
        <w:spacing w:after="0" w:line="86"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and our CROs are required to comply with the FDA’s GCPs for conducting, recording and reporting the results of IND</w:t>
      </w:r>
      <w:r>
        <w:rPr>
          <w:rFonts w:ascii="MS PGothic" w:cs="MS PGothic" w:eastAsia="MS PGothic" w:hAnsi="MS PGothic"/>
          <w:sz w:val="17"/>
          <w:szCs w:val="17"/>
          <w:color w:val="auto"/>
        </w:rPr>
        <w:t>‑</w:t>
      </w:r>
      <w:r>
        <w:rPr>
          <w:rFonts w:ascii="Arial" w:cs="Arial" w:eastAsia="Arial" w:hAnsi="Arial"/>
          <w:sz w:val="17"/>
          <w:szCs w:val="17"/>
          <w:color w:val="auto"/>
        </w:rPr>
        <w:t>enabling studies and clinical studies to assure that the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future clinical trials may be deemed unreliable and the FDA may require us to perform additional clinical trials before approving any marketing applications. Upon inspection, the FDA may determine that our clinical trials did not comply with GCPs. In addition, our future clinical trials will require a sufficient number of patients to evaluate the safety and effectiveness of our product candidates. Accordingly, if our CROs fail to comply with these regulations or fail to recruit a sufficient number of patients, we may be required to repeat such clinical trials, which would delay the regulatory approval process.</w:t>
      </w:r>
    </w:p>
    <w:p>
      <w:pPr>
        <w:spacing w:after="0" w:line="96" w:lineRule="exact"/>
        <w:rPr>
          <w:sz w:val="20"/>
          <w:szCs w:val="20"/>
          <w:color w:val="auto"/>
        </w:rPr>
      </w:pPr>
    </w:p>
    <w:p>
      <w:pPr>
        <w:ind w:right="140" w:firstLine="648"/>
        <w:spacing w:after="0" w:line="236" w:lineRule="auto"/>
        <w:rPr>
          <w:sz w:val="20"/>
          <w:szCs w:val="20"/>
          <w:color w:val="auto"/>
        </w:rPr>
      </w:pPr>
      <w:r>
        <w:rPr>
          <w:rFonts w:ascii="Arial" w:cs="Arial" w:eastAsia="Arial" w:hAnsi="Arial"/>
          <w:sz w:val="16"/>
          <w:szCs w:val="16"/>
          <w:color w:val="auto"/>
        </w:rPr>
        <w:t>Our CROs are not our employees, and we are therefore unable to directly monitor whether or not they devote sufficient time and resources to our clinical and nonclinical programs. These CROs may also have relationships with other commercial entities, including our competitors, for whom they may also be conducting clinical trials or other drug development activities that could harm our competitive position.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our product candidates would be harmed, our costs could increase, and our ability to generate revenues could be delayed.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8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124"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manufacturing process used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 and collaborators.</w:t>
      </w:r>
    </w:p>
    <w:p>
      <w:pPr>
        <w:spacing w:after="0" w:line="163" w:lineRule="exact"/>
        <w:rPr>
          <w:sz w:val="20"/>
          <w:szCs w:val="20"/>
          <w:color w:val="auto"/>
        </w:rPr>
      </w:pPr>
    </w:p>
    <w:p>
      <w:pPr>
        <w:ind w:right="40" w:firstLine="648"/>
        <w:spacing w:after="0" w:line="181" w:lineRule="exact"/>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collaborators employ multiple steps to control the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or our collaborators may encounter problems achieving adequate quantities and quality of clinical</w:t>
      </w:r>
      <w:r>
        <w:rPr>
          <w:rFonts w:ascii="MS PGothic" w:cs="MS PGothic" w:eastAsia="MS PGothic" w:hAnsi="MS PGothic"/>
          <w:sz w:val="17"/>
          <w:szCs w:val="17"/>
          <w:color w:val="auto"/>
        </w:rPr>
        <w:t>‑</w:t>
      </w:r>
      <w:r>
        <w:rPr>
          <w:rFonts w:ascii="Arial" w:cs="Arial" w:eastAsia="Arial" w:hAnsi="Arial"/>
          <w:sz w:val="17"/>
          <w:szCs w:val="17"/>
          <w:color w:val="auto"/>
        </w:rPr>
        <w:t>grade materials that meet the FDA, EMA or other applicable standards or specifications with consistent and acceptable production yields and costs.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addition, the FDA, EMA and other foreign regulatory authorities may require us to submit samples of any lot of any approved product together with the protocols showing the results of applicable tests at any time. Under some circumstances, the FDA, EMA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62" w:lineRule="exact"/>
        <w:rPr>
          <w:sz w:val="20"/>
          <w:szCs w:val="20"/>
          <w:color w:val="auto"/>
        </w:rPr>
      </w:pPr>
    </w:p>
    <w:p>
      <w:pPr>
        <w:ind w:right="40" w:firstLine="648"/>
        <w:spacing w:after="0" w:line="194" w:lineRule="exact"/>
        <w:rPr>
          <w:sz w:val="20"/>
          <w:szCs w:val="20"/>
          <w:color w:val="auto"/>
        </w:rPr>
      </w:pPr>
      <w:r>
        <w:rPr>
          <w:rFonts w:ascii="Arial" w:cs="Arial" w:eastAsia="Arial" w:hAnsi="Arial"/>
          <w:sz w:val="18"/>
          <w:szCs w:val="18"/>
          <w:color w:val="auto"/>
        </w:rPr>
        <w:t>We or our collaborators also may encounter problems hiring and retaining the experienced scientific, quality</w:t>
      </w:r>
      <w:r>
        <w:rPr>
          <w:rFonts w:ascii="MS PGothic" w:cs="MS PGothic" w:eastAsia="MS PGothic" w:hAnsi="MS PGothic"/>
          <w:sz w:val="18"/>
          <w:szCs w:val="18"/>
          <w:color w:val="auto"/>
        </w:rPr>
        <w:t>‑</w:t>
      </w:r>
      <w:r>
        <w:rPr>
          <w:rFonts w:ascii="Arial" w:cs="Arial" w:eastAsia="Arial" w:hAnsi="Arial"/>
          <w:sz w:val="18"/>
          <w:szCs w:val="18"/>
          <w:color w:val="auto"/>
        </w:rPr>
        <w:t>control and manufacturing personnel needed to operate our manufacturing processes, which could result in delays in production or difficulties in maintaining compliance with applicable regulatory requirements.</w:t>
      </w:r>
    </w:p>
    <w:p>
      <w:pPr>
        <w:spacing w:after="0" w:line="163" w:lineRule="exact"/>
        <w:rPr>
          <w:sz w:val="20"/>
          <w:szCs w:val="20"/>
          <w:color w:val="auto"/>
        </w:rPr>
      </w:pPr>
    </w:p>
    <w:p>
      <w:pPr>
        <w:ind w:right="260" w:firstLine="648"/>
        <w:spacing w:after="0" w:line="232" w:lineRule="auto"/>
        <w:rPr>
          <w:sz w:val="20"/>
          <w:szCs w:val="20"/>
          <w:color w:val="auto"/>
        </w:rPr>
      </w:pPr>
      <w:r>
        <w:rPr>
          <w:rFonts w:ascii="Arial" w:cs="Arial" w:eastAsia="Arial" w:hAnsi="Arial"/>
          <w:sz w:val="17"/>
          <w:szCs w:val="17"/>
          <w:color w:val="auto"/>
        </w:rPr>
        <w:t>Any problems in our or our collaborators’ manufacturing process or facilities could make us a less attractive collaborator for potential partners, including larger pharmaceutical companies and academic research institutions, which could limit our access to additional attractive development programs. Problems in our or our collaborators’ manufacturing process could restrict our ability to meet market demand for our products.</w:t>
      </w:r>
    </w:p>
    <w:p>
      <w:pPr>
        <w:spacing w:after="0" w:line="163"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b w:val="1"/>
          <w:bCs w:val="1"/>
          <w:i w:val="1"/>
          <w:iCs w:val="1"/>
          <w:color w:val="auto"/>
        </w:rPr>
        <w:t>Delays in obtaining regulatory approval of our or our collaborators’ manufacturing process and facility or disruptions in our manufacturing process may delay or disrupt our commercialization efforts. To date, no cGMP gene therapy manufacturing facility in the United States has received approval from the FDA for the manufacture of an approved gene therapy product.</w:t>
      </w:r>
    </w:p>
    <w:p>
      <w:pPr>
        <w:spacing w:after="0" w:line="163"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Before we can begin to commercially manufacture our product candidates in our own facility, or the facility of a collaborator, we must obtain regulatory approval from the FDA for our manufacturing process and our collaborator’s facility. A manufacturing authorization must also be obtained from the appropriate European Union regulatory authorities. To date, no cGMP gene therapy manufacturing facility in the United States has received approval from the FDA for the manufacture of an approved gene therapy product and, therefore, the timeframe required for us to obtain such approval is uncertain. In addition, we must pass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of our or our collaborator’s manufacturing facility by the FDA before any of our product candidates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03" w:lineRule="exact"/>
        <w:rPr>
          <w:sz w:val="20"/>
          <w:szCs w:val="20"/>
          <w:color w:val="auto"/>
        </w:rPr>
      </w:pPr>
    </w:p>
    <w:p>
      <w:pPr>
        <w:ind w:right="260"/>
        <w:spacing w:after="0" w:line="203" w:lineRule="exact"/>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consuming remedial measures.</w:t>
      </w:r>
    </w:p>
    <w:p>
      <w:pPr>
        <w:spacing w:after="0" w:line="81"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w:t>
      </w:r>
      <w:r>
        <w:rPr>
          <w:rFonts w:ascii="MS PGothic" w:cs="MS PGothic" w:eastAsia="MS PGothic" w:hAnsi="MS PGothic"/>
          <w:sz w:val="17"/>
          <w:szCs w:val="17"/>
          <w:color w:val="auto"/>
        </w:rPr>
        <w:t>‑</w:t>
      </w:r>
      <w:r>
        <w:rPr>
          <w:rFonts w:ascii="Arial" w:cs="Arial" w:eastAsia="Arial" w:hAnsi="Arial"/>
          <w:sz w:val="17"/>
          <w:szCs w:val="17"/>
          <w:color w:val="auto"/>
        </w:rPr>
        <w:t>consuming to implement and that may include the temporary or permanent suspension of a clinical trial or commercial sales or the temporary or permanent closure of a manufacturing facility. Any such remedial measures imposed upon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us could harm our business, financial condition, results of operations and prospects.</w:t>
      </w:r>
    </w:p>
    <w:p>
      <w:pPr>
        <w:spacing w:after="0" w:line="9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we fail to comply with applicable cGMP regulations, FDA and foreign regulatory authorities can impose regulatory sanctions including, among other things, refusal to approve a pending application for a new product candidate or suspension or revocation of a pre</w:t>
      </w:r>
      <w:r>
        <w:rPr>
          <w:rFonts w:ascii="MS PGothic" w:cs="MS PGothic" w:eastAsia="MS PGothic" w:hAnsi="MS PGothic"/>
          <w:sz w:val="18"/>
          <w:szCs w:val="18"/>
          <w:color w:val="auto"/>
        </w:rPr>
        <w:t>‑</w:t>
      </w:r>
      <w:r>
        <w:rPr>
          <w:rFonts w:ascii="Arial" w:cs="Arial" w:eastAsia="Arial" w:hAnsi="Arial"/>
          <w:sz w:val="18"/>
          <w:szCs w:val="18"/>
          <w:color w:val="auto"/>
        </w:rPr>
        <w:t>existing approval. Such an occurrence may cause our business, financial condition, results of operations and prospects could be harmed.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Additionally, if supply from any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is delayed or interrupted, there could be a significant disruption in the supply of our clinical or commercial material. We have an agreement in place with MassBiologics pursuant to which we are collaborating to establish scalable processes for manufacturing recombinant AAV vector products using cGMP, but we do not have any agreement in place with MassBiologics or any other party to manufacture clinical or commercial material. Therefore, if we are unable to enter into an agreement with MassBiologics or another manufacturer to manufacture clinical or commercial material, or if our agreement with MassBiologics were terminated, we would have to find suitable alternative manufacturers. This could delay our or our collaborators’ ability to conduct clinical trials or commercialize our current and future product candidates. The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96" w:lineRule="exact"/>
        <w:rPr>
          <w:sz w:val="20"/>
          <w:szCs w:val="20"/>
          <w:color w:val="auto"/>
        </w:rPr>
      </w:pPr>
    </w:p>
    <w:p>
      <w:pPr>
        <w:ind w:right="40"/>
        <w:spacing w:after="0" w:line="324" w:lineRule="auto"/>
        <w:rPr>
          <w:sz w:val="20"/>
          <w:szCs w:val="20"/>
          <w:color w:val="auto"/>
        </w:rPr>
      </w:pPr>
      <w:r>
        <w:rPr>
          <w:rFonts w:ascii="Arial" w:cs="Arial" w:eastAsia="Arial" w:hAnsi="Arial"/>
          <w:sz w:val="15"/>
          <w:szCs w:val="15"/>
          <w:b w:val="1"/>
          <w:bCs w:val="1"/>
          <w:i w:val="1"/>
          <w:iCs w:val="1"/>
          <w:color w:val="auto"/>
        </w:rPr>
        <w:t>Any contamination in the manufacturing process for our products, shortages of raw materials or failure of any of our key suppliers to deliver necessary components could result in delays in our clinical development or marketing schedules.</w:t>
      </w:r>
    </w:p>
    <w:p>
      <w:pPr>
        <w:spacing w:after="0" w:line="20"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color w:val="auto"/>
        </w:rPr>
        <w:t>Given the nature of biologics manufacturing, there is a risk of contamination. Any contamination could adversely affect our ability to produce product candidates on schedule and could, therefore, harm our results of operations and cause reputational damage.</w:t>
      </w:r>
    </w:p>
    <w:p>
      <w:pPr>
        <w:spacing w:after="0" w:line="96"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94"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Interruptions in the supply of product candidates or inventory loss may harm our operating results and financial condition.</w:t>
      </w:r>
    </w:p>
    <w:p>
      <w:pPr>
        <w:spacing w:after="0" w:line="8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product candidates are manufactured using technically complex processes requiring specialized facilities, highly specific raw materials and other production constraints. The complexity of these processes, as well as strict government standards for the manufacture and storage of our product candidates, subjects us to manufacturing risks. While product candidate batches released for use in clinical trials or for commercialization undergo sample testing, some defects may only be identified following product release. In addition, process deviations or unanticipated effects of approved process changes may result in these intermediate products not complying with stability requirements or specifications. Our product candidates must be stored and transported at temperatures within a certain range. If these environmental conditions deviate, our product candidates’ remaining shelf</w:t>
      </w:r>
      <w:r>
        <w:rPr>
          <w:rFonts w:ascii="MS PGothic" w:cs="MS PGothic" w:eastAsia="MS PGothic" w:hAnsi="MS PGothic"/>
          <w:sz w:val="17"/>
          <w:szCs w:val="17"/>
          <w:color w:val="auto"/>
        </w:rPr>
        <w:t>‑</w:t>
      </w:r>
      <w:r>
        <w:rPr>
          <w:rFonts w:ascii="Arial" w:cs="Arial" w:eastAsia="Arial" w:hAnsi="Arial"/>
          <w:sz w:val="17"/>
          <w:szCs w:val="17"/>
          <w:color w:val="auto"/>
        </w:rPr>
        <w:t>lives could be impaired or their efficacy and safety could be negatively impacted, making them no longer suitable for use.</w:t>
      </w:r>
    </w:p>
    <w:p>
      <w:pPr>
        <w:spacing w:after="0" w:line="94"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The occurrence, or suspected occurrence, of manufacturing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Any interruption in the supply of finished products or the loss thereof could hinder our ability to timely distribute our products and satisfy customer demand. Any unforeseen failure in the storage of the product or loss in supply could delay our clinical trials and, if our product candidates are approved, result in a loss of our market share and negatively affect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63" w:lineRule="exact"/>
        <w:rPr>
          <w:sz w:val="20"/>
          <w:szCs w:val="20"/>
          <w:color w:val="auto"/>
        </w:rPr>
      </w:pPr>
    </w:p>
    <w:p>
      <w:pPr>
        <w:ind w:right="40" w:firstLine="648"/>
        <w:spacing w:after="0" w:line="189" w:lineRule="exact"/>
        <w:rPr>
          <w:sz w:val="20"/>
          <w:szCs w:val="20"/>
          <w:color w:val="auto"/>
        </w:rPr>
      </w:pPr>
      <w:r>
        <w:rPr>
          <w:rFonts w:ascii="Arial" w:cs="Arial" w:eastAsia="Arial" w:hAnsi="Arial"/>
          <w:sz w:val="16"/>
          <w:szCs w:val="16"/>
          <w:color w:val="auto"/>
        </w:rPr>
        <w:t>The success of our business depends upon our ability to identify, develop and commercialize product candidates generated through our product engine. Research programs to identify new product candidates require substantial technical, financial and human resources. Although VY</w:t>
      </w:r>
      <w:r>
        <w:rPr>
          <w:rFonts w:ascii="MS PGothic" w:cs="MS PGothic" w:eastAsia="MS PGothic" w:hAnsi="MS PGothic"/>
          <w:sz w:val="16"/>
          <w:szCs w:val="16"/>
          <w:color w:val="auto"/>
        </w:rPr>
        <w:t>‑</w:t>
      </w:r>
      <w:r>
        <w:rPr>
          <w:rFonts w:ascii="Arial" w:cs="Arial" w:eastAsia="Arial" w:hAnsi="Arial"/>
          <w:sz w:val="16"/>
          <w:szCs w:val="16"/>
          <w:color w:val="auto"/>
        </w:rPr>
        <w:t>AADC01 is currently in clinical development and our other product candidates are in preclinical development, we may fail to identify other potential product candidates for clinical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63"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68" w:lineRule="exact"/>
        <w:rPr>
          <w:sz w:val="20"/>
          <w:szCs w:val="20"/>
          <w:color w:val="auto"/>
        </w:rPr>
      </w:pPr>
    </w:p>
    <w:p>
      <w:pPr>
        <w:jc w:val="both"/>
        <w:ind w:right="380" w:firstLine="648"/>
        <w:spacing w:after="0" w:line="224" w:lineRule="auto"/>
        <w:rPr>
          <w:sz w:val="20"/>
          <w:szCs w:val="20"/>
          <w:color w:val="auto"/>
        </w:rPr>
      </w:pPr>
      <w:r>
        <w:rPr>
          <w:rFonts w:ascii="Arial" w:cs="Arial" w:eastAsia="Arial" w:hAnsi="Arial"/>
          <w:sz w:val="18"/>
          <w:szCs w:val="18"/>
          <w:color w:val="auto"/>
        </w:rPr>
        <w:t>If any of these events occur, we may be forced to abandon our development efforts with respect to a particular product candidate or fail to develop a potentially successful product candidate, which could harm our business, financial condition, results of operations and prospects.</w:t>
      </w:r>
    </w:p>
    <w:p>
      <w:pPr>
        <w:spacing w:after="0" w:line="163"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Our future success depends on our ability to retain key members of our management team, and to attract, retain and motivate qualified personnel.</w:t>
      </w:r>
    </w:p>
    <w:p>
      <w:pPr>
        <w:spacing w:after="0" w:line="162" w:lineRule="exact"/>
        <w:rPr>
          <w:sz w:val="20"/>
          <w:szCs w:val="20"/>
          <w:color w:val="auto"/>
        </w:rPr>
      </w:pPr>
    </w:p>
    <w:p>
      <w:pPr>
        <w:ind w:right="200" w:firstLine="648"/>
        <w:spacing w:after="0" w:line="226" w:lineRule="auto"/>
        <w:rPr>
          <w:sz w:val="20"/>
          <w:szCs w:val="20"/>
          <w:color w:val="auto"/>
        </w:rPr>
      </w:pPr>
      <w:r>
        <w:rPr>
          <w:rFonts w:ascii="Arial" w:cs="Arial" w:eastAsia="Arial" w:hAnsi="Arial"/>
          <w:sz w:val="17"/>
          <w:szCs w:val="17"/>
          <w:color w:val="auto"/>
        </w:rPr>
        <w:t>We are highly dependent on Steven M. Paul, M.D., our President and Chief Executive Officer as well as other members of our management team, the loss of whose services may adversely impact the achievement of our objectives. While we have entered into employment agreements or offer letters with each of our executive officers, any of them could leave our employment at any time, as all of our employees are “at will” employees. We currently do not have “key person” insurance on any of our employees. The loss of the services of one or more of our current employees might impede the achievement of our research, development and commercialization objectives.</w:t>
      </w:r>
    </w:p>
    <w:p>
      <w:pPr>
        <w:spacing w:after="0" w:line="165" w:lineRule="exact"/>
        <w:rPr>
          <w:sz w:val="20"/>
          <w:szCs w:val="20"/>
          <w:color w:val="auto"/>
        </w:rPr>
      </w:pPr>
    </w:p>
    <w:p>
      <w:pPr>
        <w:ind w:right="140" w:firstLine="648"/>
        <w:spacing w:after="0" w:line="222" w:lineRule="auto"/>
        <w:rPr>
          <w:sz w:val="20"/>
          <w:szCs w:val="20"/>
          <w:color w:val="auto"/>
        </w:rPr>
      </w:pPr>
      <w:r>
        <w:rPr>
          <w:rFonts w:ascii="Arial" w:cs="Arial" w:eastAsia="Arial" w:hAnsi="Arial"/>
          <w:sz w:val="17"/>
          <w:szCs w:val="17"/>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could harm our business, financial condition, results of operations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manage expected growth in the scale and complexity of our operations, our performance may suffer.</w:t>
      </w:r>
    </w:p>
    <w:p>
      <w:pPr>
        <w:spacing w:after="0" w:line="219"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We can provide no assurances that we will have sufficient resources in the future to manage all of our planned programs.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700"/>
        <w:spacing w:after="0" w:line="203" w:lineRule="exact"/>
        <w:rPr>
          <w:sz w:val="20"/>
          <w:szCs w:val="20"/>
          <w:color w:val="auto"/>
        </w:rPr>
      </w:pPr>
      <w:r>
        <w:rPr>
          <w:rFonts w:ascii="Arial" w:cs="Arial" w:eastAsia="Arial" w:hAnsi="Arial"/>
          <w:sz w:val="15"/>
          <w:szCs w:val="15"/>
          <w:b w:val="1"/>
          <w:bCs w:val="1"/>
          <w:i w:val="1"/>
          <w:iCs w:val="1"/>
          <w:color w:val="auto"/>
        </w:rPr>
        <w:t>Our employees, principal investigators, consultants and commercial partners may engage in misconduct or other improper activities, including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compliance with regulatory standards and requirements and insider trading.</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7"/>
          <w:szCs w:val="17"/>
          <w:color w:val="auto"/>
        </w:rPr>
        <w:t>‑</w:t>
      </w:r>
      <w:r>
        <w:rPr>
          <w:rFonts w:ascii="Arial" w:cs="Arial" w:eastAsia="Arial" w:hAnsi="Arial"/>
          <w:sz w:val="17"/>
          <w:szCs w:val="17"/>
          <w:color w:val="auto"/>
        </w:rPr>
        <w:t>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intend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harm our business and results of operations.</w:t>
      </w:r>
    </w:p>
    <w:p>
      <w:pPr>
        <w:spacing w:after="0" w:line="185"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In the United States, there have been, and continue to be, several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the government and private insurers, and significantly impacts the U.S. pharmaceutical industry. The Affordable Care Act, among other things: (i) imposes a new methodology by which rebates owed by manufacturers under the Medicaid Drug Rebate Program are calculated for drugs that are inhaled, infused, instilled, implanted or injected; (ii) increases the minimum Medicaid rebates owed by manufacturers under the Medicaid Drug Rebate Program; (iii) extends manufacturers’ Medicaid rebate liability to covered drugs dispensed to individuals enrolled in Medicaid managed care organizations; (iv) establishes an annual, nondeductible fee on any entity that manufactures or imports certain branded prescription drugs and biologic agents; (v) expands the availability of lower pricing under the 340B drug pricing program by expanding the types of entities eligible to participate in the program; and (vi) establishes a new Medicare Part D coverage gap discount program, in which manufacturers must agree to offer 50% point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sale discounts off negotiated prices of applicable brand drugs to eligible beneficiaries during their coverage gap period, as a condition for the manufacturer’s outpatient drugs to be covered under Medicare Part D; (vii) expands entities eligible for discounts under the Public Health Services pharmaceutical pricing program; and (viii) initiates a new Patient Centered Outcomes Research Institute to oversee, identify priorities in, and conduct comparative clinical effectiveness research, along with funding for such research. Additionally, in the United States, the Biologics Price Competition and Innovation Act of 2009 created an abbreviated approval pathway for biologic products that are demonstrated to be “highly similar” or “biosimilar or interchangeable” with an FDA</w:t>
      </w:r>
      <w:r>
        <w:rPr>
          <w:rFonts w:ascii="MS PGothic" w:cs="MS PGothic" w:eastAsia="MS PGothic" w:hAnsi="MS PGothic"/>
          <w:sz w:val="16"/>
          <w:szCs w:val="16"/>
          <w:color w:val="auto"/>
        </w:rPr>
        <w:t>‑</w:t>
      </w:r>
      <w:r>
        <w:rPr>
          <w:rFonts w:ascii="Arial" w:cs="Arial" w:eastAsia="Arial" w:hAnsi="Arial"/>
          <w:sz w:val="16"/>
          <w:szCs w:val="16"/>
          <w:color w:val="auto"/>
        </w:rPr>
        <w:t>approved biologic product. This new pathway could allow competitors to reference data from biologic products already approved after 12 years from the time of approval. This could expose us to potential competition by lower</w:t>
      </w:r>
      <w:r>
        <w:rPr>
          <w:rFonts w:ascii="MS PGothic" w:cs="MS PGothic" w:eastAsia="MS PGothic" w:hAnsi="MS PGothic"/>
          <w:sz w:val="16"/>
          <w:szCs w:val="16"/>
          <w:color w:val="auto"/>
        </w:rPr>
        <w:t>‑</w:t>
      </w:r>
      <w:r>
        <w:rPr>
          <w:rFonts w:ascii="Arial" w:cs="Arial" w:eastAsia="Arial" w:hAnsi="Arial"/>
          <w:sz w:val="16"/>
          <w:szCs w:val="16"/>
          <w:color w:val="auto"/>
        </w:rPr>
        <w:t>cost biosimilars even if we commercialize a product candidate faster than our competitors.</w:t>
      </w:r>
    </w:p>
    <w:p>
      <w:pPr>
        <w:spacing w:after="0" w:line="223"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Other legislative changes have been adopted since the Affordable Care Act was enacted, including aggregate reductions to Medicare payments to providers of up to 2% per fiscal year effective April 1, 2013. These reductions will stay in effect through 2024 unless additional congressional action is taken. Additionally, 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Further, as part of the proposed 2016 budget, President Obama has sought to reduce the current 12</w:t>
      </w:r>
      <w:r>
        <w:rPr>
          <w:rFonts w:ascii="MS PGothic" w:cs="MS PGothic" w:eastAsia="MS PGothic" w:hAnsi="MS PGothic"/>
          <w:sz w:val="16"/>
          <w:szCs w:val="16"/>
          <w:color w:val="auto"/>
        </w:rPr>
        <w:t>‑</w:t>
      </w:r>
      <w:r>
        <w:rPr>
          <w:rFonts w:ascii="Arial" w:cs="Arial" w:eastAsia="Arial" w:hAnsi="Arial"/>
          <w:sz w:val="16"/>
          <w:szCs w:val="16"/>
          <w:color w:val="auto"/>
        </w:rPr>
        <w:t>year exclusivity period that a reference biologic is granted to a seven</w:t>
      </w:r>
      <w:r>
        <w:rPr>
          <w:rFonts w:ascii="MS PGothic" w:cs="MS PGothic" w:eastAsia="MS PGothic" w:hAnsi="MS PGothic"/>
          <w:sz w:val="16"/>
          <w:szCs w:val="16"/>
          <w:color w:val="auto"/>
        </w:rPr>
        <w:t>‑</w:t>
      </w:r>
      <w:r>
        <w:rPr>
          <w:rFonts w:ascii="Arial" w:cs="Arial" w:eastAsia="Arial" w:hAnsi="Arial"/>
          <w:sz w:val="16"/>
          <w:szCs w:val="16"/>
          <w:color w:val="auto"/>
        </w:rPr>
        <w:t>year exclusivity period.</w:t>
      </w:r>
    </w:p>
    <w:p>
      <w:pPr>
        <w:spacing w:after="0" w:line="98" w:lineRule="exact"/>
        <w:rPr>
          <w:sz w:val="20"/>
          <w:szCs w:val="20"/>
          <w:color w:val="auto"/>
        </w:rPr>
      </w:pPr>
    </w:p>
    <w:p>
      <w:pPr>
        <w:ind w:right="160" w:firstLine="648"/>
        <w:spacing w:after="0" w:line="212" w:lineRule="auto"/>
        <w:rPr>
          <w:sz w:val="20"/>
          <w:szCs w:val="20"/>
          <w:color w:val="auto"/>
        </w:rPr>
      </w:pPr>
      <w:r>
        <w:rPr>
          <w:rFonts w:ascii="Arial" w:cs="Arial" w:eastAsia="Arial" w:hAnsi="Arial"/>
          <w:sz w:val="18"/>
          <w:szCs w:val="18"/>
          <w:color w:val="auto"/>
        </w:rPr>
        <w:t>For each state that does not choose to expand its Medicaid program, there may be fewer insured patients overall, which could impact the sales, business and financial condition of manufacturers of branded prescription drugs. Where patients receive insurance coverage under any of the new options made available through the Affordable Care Act, the possibility exists that manufacturers may be required to pay Medicaid rebates on that resulting drug utilization, a decision that could impact manufacturer revenues. The U.S. federal government also has announced delays in the implementation of key provisions of the Affordable Care Act. The implications of these delays for our and our partners’ business and financial condition, if any, are not yet clear.</w:t>
      </w:r>
    </w:p>
    <w:p>
      <w:pPr>
        <w:spacing w:after="0" w:line="84" w:lineRule="exact"/>
        <w:rPr>
          <w:sz w:val="20"/>
          <w:szCs w:val="20"/>
          <w:color w:val="auto"/>
        </w:rPr>
      </w:pPr>
    </w:p>
    <w:p>
      <w:pPr>
        <w:ind w:right="120" w:firstLine="648"/>
        <w:spacing w:after="0" w:line="239"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95"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b w:val="1"/>
          <w:bCs w:val="1"/>
          <w:i w:val="1"/>
          <w:iCs w:val="1"/>
          <w:color w:val="auto"/>
        </w:rPr>
        <w:t>We may be subject, directly or indirectly, to federal, state, and foreign healthcare laws and regulations, including fraud and abuse laws, false claims laws and health information privacy and security laws. If we are unable to comply, or have not fully complied, with such laws, we could face substantial penalties.</w:t>
      </w:r>
    </w:p>
    <w:p>
      <w:pPr>
        <w:spacing w:after="0" w:line="94"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will be directly, or indirectly through our prescribers, customers and purchasers, subject to various federal and state laws and regulations, including, without limitation,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 civil and criminal False Claims Act, and the Physician Payments Sunshine Act and regulations. These laws will impact, among other things, our proposed sales, marketing and educational programs. In addition, we may be subject to data privacy laws by both the federal government and the states in which we conduct our business. Such laws that may constrain the business or financial arrangements and relationships through which we conduct our operations include, but are not limited to:</w:t>
      </w:r>
    </w:p>
    <w:p>
      <w:pPr>
        <w:spacing w:after="0" w:line="81"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which prohibits, among other things, persons and entities from knowingly and</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willfully soliciting, receiving, offering or paying any remuneration (including any kickback, bribe or rebate),</w:t>
      </w:r>
    </w:p>
    <w:p>
      <w:pPr>
        <w:ind w:left="700"/>
        <w:spacing w:after="0" w:line="232" w:lineRule="auto"/>
        <w:rPr>
          <w:sz w:val="20"/>
          <w:szCs w:val="20"/>
          <w:color w:val="auto"/>
        </w:rPr>
      </w:pPr>
      <w:r>
        <w:rPr>
          <w:rFonts w:ascii="Arial" w:cs="Arial" w:eastAsia="Arial" w:hAnsi="Arial"/>
          <w:sz w:val="17"/>
          <w:szCs w:val="17"/>
          <w:color w:val="auto"/>
        </w:rPr>
        <w:t>directly or indirectly, overtly or covertly, in cash or in kind, to induce or in return for either the referral of an</w:t>
      </w:r>
    </w:p>
    <w:p>
      <w:pPr>
        <w:ind w:left="700"/>
        <w:spacing w:after="0"/>
        <w:rPr>
          <w:sz w:val="20"/>
          <w:szCs w:val="20"/>
          <w:color w:val="auto"/>
        </w:rPr>
      </w:pPr>
      <w:r>
        <w:rPr>
          <w:rFonts w:ascii="Arial" w:cs="Arial" w:eastAsia="Arial" w:hAnsi="Arial"/>
          <w:sz w:val="16"/>
          <w:szCs w:val="16"/>
          <w:color w:val="auto"/>
        </w:rPr>
        <w:t>individual for, or the purchase, recommendation, leasing or furnishing of, an item or service reimbursable under a</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federal healthcare program, such as the Medicare and Medicaid programs. This statute has been interpreted to apply</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arrangements between pharmaceutical manufacturers on the one hand, and prescribers, purchasers and formulary</w:t>
      </w:r>
    </w:p>
    <w:p>
      <w:pPr>
        <w:ind w:left="700"/>
        <w:spacing w:after="0" w:line="225" w:lineRule="auto"/>
        <w:rPr>
          <w:sz w:val="20"/>
          <w:szCs w:val="20"/>
          <w:color w:val="auto"/>
        </w:rPr>
      </w:pPr>
      <w:r>
        <w:rPr>
          <w:rFonts w:ascii="Arial" w:cs="Arial" w:eastAsia="Arial" w:hAnsi="Arial"/>
          <w:sz w:val="18"/>
          <w:szCs w:val="18"/>
          <w:color w:val="auto"/>
        </w:rPr>
        <w:t>managers on the other. Further, the Affordable Care Act amends the intent requirement of the federal</w:t>
      </w:r>
    </w:p>
    <w:p>
      <w:pPr>
        <w:ind w:left="700"/>
        <w:spacing w:after="0" w:line="184"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Kickback Statute. A person or entity no longer needs to have actual knowledge of this statute or specific intent</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violate it;</w:t>
      </w:r>
    </w:p>
    <w:p>
      <w:pPr>
        <w:spacing w:after="0" w:line="115" w:lineRule="exact"/>
        <w:rPr>
          <w:sz w:val="20"/>
          <w:szCs w:val="20"/>
          <w:color w:val="auto"/>
        </w:rPr>
      </w:pPr>
    </w:p>
    <w:p>
      <w:pPr>
        <w:ind w:left="700" w:right="200" w:hanging="53"/>
        <w:spacing w:after="0" w:line="195" w:lineRule="exact"/>
        <w:rPr>
          <w:sz w:val="20"/>
          <w:szCs w:val="20"/>
          <w:color w:val="auto"/>
        </w:rPr>
      </w:pPr>
      <w:r>
        <w:rPr>
          <w:rFonts w:ascii="Arial" w:cs="Arial" w:eastAsia="Arial" w:hAnsi="Arial"/>
          <w:sz w:val="16"/>
          <w:szCs w:val="16"/>
          <w:color w:val="auto"/>
        </w:rPr>
        <w:t>·the federal civil and criminal false claims laws and civil monetary penalty laws, including the civil False Claims Act,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and medical device manufacturers support the view that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violations and certain marketing practices, including off</w:t>
      </w:r>
      <w:r>
        <w:rPr>
          <w:rFonts w:ascii="MS PGothic" w:cs="MS PGothic" w:eastAsia="MS PGothic" w:hAnsi="MS PGothic"/>
          <w:sz w:val="16"/>
          <w:szCs w:val="16"/>
          <w:color w:val="auto"/>
        </w:rPr>
        <w:t>‑</w:t>
      </w:r>
      <w:r>
        <w:rPr>
          <w:rFonts w:ascii="Arial" w:cs="Arial" w:eastAsia="Arial" w:hAnsi="Arial"/>
          <w:sz w:val="16"/>
          <w:szCs w:val="16"/>
          <w:color w:val="auto"/>
        </w:rPr>
        <w:t>label promotion, may implicate the civil False Claims Act;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700" w:right="120" w:hanging="53"/>
        <w:spacing w:after="0" w:line="231" w:lineRule="auto"/>
        <w:rPr>
          <w:sz w:val="20"/>
          <w:szCs w:val="20"/>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 person from knowingly and willfully executing or attempting to execute a scheme or from making false or fraudulent statements to defraud any healthcare benefit program, regardless of the payor (e.g., public or private);</w:t>
      </w:r>
    </w:p>
    <w:p>
      <w:pPr>
        <w:spacing w:after="0" w:line="175" w:lineRule="exact"/>
        <w:rPr>
          <w:sz w:val="20"/>
          <w:szCs w:val="20"/>
          <w:color w:val="auto"/>
        </w:rPr>
      </w:pPr>
    </w:p>
    <w:p>
      <w:pPr>
        <w:ind w:left="700" w:hanging="53"/>
        <w:spacing w:after="0" w:line="226"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75" w:lineRule="exact"/>
        <w:rPr>
          <w:sz w:val="20"/>
          <w:szCs w:val="20"/>
          <w:color w:val="auto"/>
        </w:rPr>
      </w:pPr>
    </w:p>
    <w:p>
      <w:pPr>
        <w:ind w:left="700" w:right="200" w:hanging="53"/>
        <w:spacing w:after="0" w:line="256" w:lineRule="auto"/>
        <w:rPr>
          <w:sz w:val="20"/>
          <w:szCs w:val="20"/>
          <w:color w:val="auto"/>
        </w:rPr>
      </w:pPr>
      <w:r>
        <w:rPr>
          <w:rFonts w:ascii="Arial" w:cs="Arial" w:eastAsia="Arial" w:hAnsi="Arial"/>
          <w:sz w:val="16"/>
          <w:szCs w:val="16"/>
          <w:color w:val="auto"/>
        </w:rPr>
        <w:t>·federal transparency laws, including the federal Physician Payments Sunshine Act, that requires certain manufacturers of drugs, devices, biologics and medical supplies for which payment is available under Medicare, Medicaid, or the Children’s Health Insurance Program, with specific exceptions, to report annually to CMS information related to payments and other transfers of value provided to physicians and teaching hospitals, and ownership and investment interests held by physicians and other healthcare providers and their immediate family members and applicable group purchasing organizations, by the 90</w:t>
      </w:r>
      <w:r>
        <w:rPr>
          <w:rFonts w:ascii="Arial" w:cs="Arial" w:eastAsia="Arial" w:hAnsi="Arial"/>
          <w:sz w:val="7"/>
          <w:szCs w:val="7"/>
          <w:color w:val="auto"/>
        </w:rPr>
        <w:t>th</w:t>
      </w:r>
      <w:r>
        <w:rPr>
          <w:rFonts w:ascii="Arial" w:cs="Arial" w:eastAsia="Arial" w:hAnsi="Arial"/>
          <w:sz w:val="16"/>
          <w:szCs w:val="16"/>
          <w:color w:val="auto"/>
        </w:rPr>
        <w:t xml:space="preserve"> day of each subsequent calendar year, and disclosure of such information is made by CMS on a publicly available website; and</w:t>
      </w:r>
    </w:p>
    <w:p>
      <w:pPr>
        <w:spacing w:after="0" w:line="166"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·state and/or foreign law equivalents of each of the above federal laws, such as state anti</w:t>
      </w:r>
      <w:r>
        <w:rPr>
          <w:rFonts w:ascii="MS PGothic" w:cs="MS PGothic" w:eastAsia="MS PGothic" w:hAnsi="MS PGothic"/>
          <w:sz w:val="16"/>
          <w:szCs w:val="16"/>
          <w:color w:val="auto"/>
        </w:rPr>
        <w:t>‑</w:t>
      </w:r>
      <w:r>
        <w:rPr>
          <w:rFonts w:ascii="Arial" w:cs="Arial" w:eastAsia="Arial" w:hAnsi="Arial"/>
          <w:sz w:val="16"/>
          <w:szCs w:val="16"/>
          <w:color w:val="auto"/>
        </w:rPr>
        <w:t>kickback and false claims</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laws that may apply to arrangements and claims involving health care items or services reimbursed by</w:t>
      </w:r>
    </w:p>
    <w:p>
      <w:pPr>
        <w:ind w:left="700"/>
        <w:spacing w:after="0" w:line="189"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governmental third party payors; state laws that require drug manufacturers to report information related to</w:t>
      </w:r>
    </w:p>
    <w:p>
      <w:pPr>
        <w:ind w:left="700"/>
        <w:spacing w:after="0"/>
        <w:rPr>
          <w:sz w:val="20"/>
          <w:szCs w:val="20"/>
          <w:color w:val="auto"/>
        </w:rPr>
      </w:pPr>
      <w:r>
        <w:rPr>
          <w:rFonts w:ascii="Arial" w:cs="Arial" w:eastAsia="Arial" w:hAnsi="Arial"/>
          <w:sz w:val="16"/>
          <w:szCs w:val="16"/>
          <w:color w:val="auto"/>
        </w:rPr>
        <w:t>payments and other transfers of value to physicians and other healthcare providers or marketing expenditures; state</w:t>
      </w:r>
    </w:p>
    <w:p>
      <w:pPr>
        <w:ind w:left="700"/>
        <w:spacing w:after="0" w:line="238" w:lineRule="auto"/>
        <w:rPr>
          <w:sz w:val="20"/>
          <w:szCs w:val="20"/>
          <w:color w:val="auto"/>
        </w:rPr>
      </w:pPr>
      <w:r>
        <w:rPr>
          <w:rFonts w:ascii="Arial" w:cs="Arial" w:eastAsia="Arial" w:hAnsi="Arial"/>
          <w:sz w:val="17"/>
          <w:szCs w:val="17"/>
          <w:color w:val="auto"/>
        </w:rPr>
        <w:t>laws that require pharmaceutical companies to comply with the pharmaceutical industry’s voluntary compliance</w:t>
      </w:r>
    </w:p>
    <w:p>
      <w:pPr>
        <w:ind w:left="700"/>
        <w:spacing w:after="0"/>
        <w:rPr>
          <w:sz w:val="20"/>
          <w:szCs w:val="20"/>
          <w:color w:val="auto"/>
        </w:rPr>
      </w:pPr>
      <w:r>
        <w:rPr>
          <w:rFonts w:ascii="Arial" w:cs="Arial" w:eastAsia="Arial" w:hAnsi="Arial"/>
          <w:sz w:val="16"/>
          <w:szCs w:val="16"/>
          <w:color w:val="auto"/>
        </w:rPr>
        <w:t>guidelines and the relevant compliance guidance promulgated by the federal government; and state and foreign</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laws governing the privacy and security of health information in certain circumstances, many of which differ from</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each other in significant ways and may not have the same effect, thus complicating compliance efforts in certain</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circumstances, such as specific disease states.</w:t>
      </w:r>
    </w:p>
    <w:p>
      <w:pPr>
        <w:spacing w:after="0" w:line="182"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disgorgement, contractual damages, reputational harm, diminished profits and future earnings, imprisonment and the curtailment or restructuring of our operations, any of which could adversely affect our ability to operate our business and our results of operations.</w:t>
      </w:r>
    </w:p>
    <w:p>
      <w:pPr>
        <w:spacing w:after="0" w:line="163" w:lineRule="exact"/>
        <w:rPr>
          <w:sz w:val="20"/>
          <w:szCs w:val="20"/>
          <w:color w:val="auto"/>
        </w:rPr>
      </w:pPr>
    </w:p>
    <w:p>
      <w:pPr>
        <w:ind w:right="260" w:firstLine="648"/>
        <w:spacing w:after="0" w:line="189" w:lineRule="exact"/>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w:t>
      </w:r>
      <w:r>
        <w:rPr>
          <w:rFonts w:ascii="MS PGothic" w:cs="MS PGothic" w:eastAsia="MS PGothic" w:hAnsi="MS PGothic"/>
          <w:sz w:val="16"/>
          <w:szCs w:val="16"/>
          <w:color w:val="auto"/>
        </w:rPr>
        <w:t>‑</w:t>
      </w:r>
      <w:r>
        <w:rPr>
          <w:rFonts w:ascii="Arial" w:cs="Arial" w:eastAsia="Arial" w:hAnsi="Arial"/>
          <w:sz w:val="16"/>
          <w:szCs w:val="16"/>
          <w:color w:val="auto"/>
        </w:rPr>
        <w:t>bribery laws of European Union Member States, such as the UK Bribery Act 2010. Infringement of these laws could result in substantial fines and imprisonment.</w:t>
      </w:r>
    </w:p>
    <w:p>
      <w:pPr>
        <w:spacing w:after="0" w:line="164" w:lineRule="exact"/>
        <w:rPr>
          <w:sz w:val="20"/>
          <w:szCs w:val="20"/>
          <w:color w:val="auto"/>
        </w:rPr>
      </w:pPr>
    </w:p>
    <w:p>
      <w:pPr>
        <w:ind w:right="160" w:firstLine="648"/>
        <w:spacing w:after="0" w:line="226" w:lineRule="auto"/>
        <w:rPr>
          <w:sz w:val="20"/>
          <w:szCs w:val="20"/>
          <w:color w:val="auto"/>
        </w:rPr>
      </w:pPr>
      <w:r>
        <w:rPr>
          <w:rFonts w:ascii="Arial" w:cs="Arial" w:eastAsia="Arial" w:hAnsi="Arial"/>
          <w:sz w:val="17"/>
          <w:szCs w:val="17"/>
          <w:color w:val="auto"/>
        </w:rPr>
        <w:t>Payments made to physicians in certain European Union Member States must be publically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collection and use of personal health data in the European Union is governed by the provisions of the Data Protection Directive.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also imposes strict rules on the transfer of personal data out of the European Union to the United States. Failure to comply with the requirements of the Data Protection Directive and the related national data protection laws of the European Union Member States may result in fines and other administrative penalties. The draft Data Protection Regulation currently going through the adoption process is expected to introduce new data protection requirements in the European Union and substantial fines for breaches of the data protection rules. If the draft Data Protection Regulation is adopted in its current form it may increase our responsibility and liability in relation to personal data that we process and we may be required to put in place additional mechanisms ensuring compliance with the new data protection rules. This may be onerous and adversely affect our business, financial condition, results of operations and prospects.</w:t>
      </w:r>
    </w:p>
    <w:p>
      <w:pPr>
        <w:spacing w:after="0" w:line="170"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62"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We will face an inherent risk of product liability exposure related to the testing of our product candidates in clinical trials and may face an even greater risk if we commercialize any products that we may develop. If we cannot successfully defend ourselves against claims that our product candidates caused injuries, we could incur substantial liabilities. Regardless of merit or eventual outcome, liability claims may result in:</w:t>
      </w:r>
    </w:p>
    <w:p>
      <w:pPr>
        <w:spacing w:after="0" w:line="163" w:lineRule="exact"/>
        <w:rPr>
          <w:sz w:val="20"/>
          <w:szCs w:val="20"/>
          <w:color w:val="auto"/>
        </w:rPr>
      </w:pPr>
    </w:p>
    <w:p>
      <w:pPr>
        <w:ind w:left="740" w:hanging="89"/>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198" w:lineRule="exact"/>
        <w:rPr>
          <w:rFonts w:ascii="Arial" w:cs="Arial" w:eastAsia="Arial" w:hAnsi="Arial"/>
          <w:sz w:val="18"/>
          <w:szCs w:val="18"/>
          <w:color w:val="auto"/>
        </w:rPr>
      </w:pPr>
    </w:p>
    <w:p>
      <w:pPr>
        <w:ind w:left="1020" w:hanging="369"/>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98" w:lineRule="exact"/>
        <w:rPr>
          <w:rFonts w:ascii="Arial" w:cs="Arial" w:eastAsia="Arial" w:hAnsi="Arial"/>
          <w:sz w:val="18"/>
          <w:szCs w:val="18"/>
          <w:color w:val="auto"/>
        </w:rPr>
      </w:pPr>
    </w:p>
    <w:p>
      <w:pPr>
        <w:ind w:left="800" w:hanging="149"/>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inability to commercialize any product candidates that we may develop; and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injury to our reputation and significant negative media attention.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Although we maintain product liability insurance coverage in the amount of $5.0 million per occurrence and</w:t>
      </w:r>
    </w:p>
    <w:p>
      <w:pPr>
        <w:jc w:val="both"/>
        <w:spacing w:after="0" w:line="227" w:lineRule="auto"/>
        <w:rPr>
          <w:sz w:val="20"/>
          <w:szCs w:val="20"/>
          <w:color w:val="auto"/>
        </w:rPr>
      </w:pPr>
      <w:r>
        <w:rPr>
          <w:rFonts w:ascii="Arial" w:cs="Arial" w:eastAsia="Arial" w:hAnsi="Arial"/>
          <w:sz w:val="17"/>
          <w:szCs w:val="17"/>
          <w:color w:val="auto"/>
        </w:rPr>
        <w:t>$5.0 million in the aggregate, this insurance may not be adequate to cover all liabilities that we may incur. We anticipate that we will need to increase our insurance coverage each time we commence a clinical trial and if we successfully commercialize any product candidate. Insurance coverage is increasingly expensive. We may not be able to maintain insurance coverage at a reasonable cost or in an amount adequate to satisfy any liability that may arise.</w:t>
      </w:r>
    </w:p>
    <w:p>
      <w:pPr>
        <w:spacing w:after="0" w:line="163"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62"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resulting damages, and any liability could exceed our resources. We also could incur significant costs associated with civil or criminal fines and penalties.</w:t>
      </w:r>
    </w:p>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Although we maintain workers’ compensation insurance for certain costs and expenses we may incur due to injuries to our employees resulting from the use of hazardous materials or other work 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63" w:lineRule="exact"/>
        <w:rPr>
          <w:sz w:val="20"/>
          <w:szCs w:val="20"/>
          <w:color w:val="auto"/>
        </w:rPr>
      </w:pPr>
    </w:p>
    <w:p>
      <w:pPr>
        <w:ind w:right="240" w:firstLine="648"/>
        <w:spacing w:after="0" w:line="216"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harm our business, financial condition, results of operations and prospects.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This is particularly true in the European Union, which is undergoing a continued severe economic crisis. A weak or declining economy could strain our suppliers, possibly resulting in supply disruption, or cause delays in payments for our services by third</w:t>
      </w:r>
      <w:r>
        <w:rPr>
          <w:rFonts w:ascii="MS PGothic" w:cs="MS PGothic" w:eastAsia="MS PGothic" w:hAnsi="MS PGothic"/>
          <w:sz w:val="17"/>
          <w:szCs w:val="17"/>
          <w:color w:val="auto"/>
        </w:rPr>
        <w:t>‑</w:t>
      </w:r>
      <w:r>
        <w:rPr>
          <w:rFonts w:ascii="Arial" w:cs="Arial" w:eastAsia="Arial" w:hAnsi="Arial"/>
          <w:sz w:val="17"/>
          <w:szCs w:val="17"/>
          <w:color w:val="auto"/>
        </w:rPr>
        <w:t>party payors or our collaborators. Any of the foregoing could harm our business and we cannot anticipate all of the ways in which the current economic climate and financial market conditions could adversely impact our business.</w:t>
      </w:r>
    </w:p>
    <w:p>
      <w:pPr>
        <w:spacing w:after="0" w:line="162"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The affected populations for our product candidates may be smaller than we or third parties currently project, which may affect the addressable markets for our product candidates.</w:t>
      </w:r>
    </w:p>
    <w:p>
      <w:pPr>
        <w:spacing w:after="0" w:line="162"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6"/>
          <w:szCs w:val="16"/>
          <w:color w:val="auto"/>
        </w:rPr>
        <w:t>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Prevalence estimates are frequently based on information and assumptions that are not exact and may not be appropriate, and the methodology is forward</w:t>
      </w:r>
      <w:r>
        <w:rPr>
          <w:rFonts w:ascii="MS PGothic" w:cs="MS PGothic" w:eastAsia="MS PGothic" w:hAnsi="MS PGothic"/>
          <w:sz w:val="16"/>
          <w:szCs w:val="16"/>
          <w:color w:val="auto"/>
        </w:rPr>
        <w:t>‑</w:t>
      </w:r>
      <w:r>
        <w:rPr>
          <w:rFonts w:ascii="Arial" w:cs="Arial" w:eastAsia="Arial" w:hAnsi="Arial"/>
          <w:sz w:val="16"/>
          <w:szCs w:val="16"/>
          <w:color w:val="auto"/>
        </w:rPr>
        <w:t>looking and speculative. The process we have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60"/>
        <w:spacing w:after="0" w:line="216" w:lineRule="auto"/>
        <w:rPr>
          <w:sz w:val="20"/>
          <w:szCs w:val="20"/>
          <w:color w:val="auto"/>
        </w:rPr>
      </w:pPr>
      <w:r>
        <w:rPr>
          <w:rFonts w:ascii="Arial" w:cs="Arial" w:eastAsia="Arial" w:hAnsi="Arial"/>
          <w:sz w:val="18"/>
          <w:szCs w:val="18"/>
          <w:color w:val="auto"/>
        </w:rPr>
        <w:t>used in developing an estimated prevalence range for the indications we are targeting has involved collating limited data from multiple sources. Accordingly, the prevalence estimates included in this Quarterly Report should be viewed with caution. Further, the data and statistical information used in this Quarterly Report, including estimates derived from them, may differ from information and estimates made by our competitors or from current or future studies conducted by independent sources.</w:t>
      </w:r>
    </w:p>
    <w:p>
      <w:pPr>
        <w:spacing w:after="0" w:line="162"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The use of such data involves risks and uncertainties and is subject to change based on various factors. Our estimates may prove to be incorrect and new studies may change the estimated incidence or prevalence of the diseases we seek to address. The number of patients with the diseases we are targeting in the United States, the European Union and elsewhere may turn out to be lower than expected or may not be otherwise amenable to treatment with our products, or new patients may become increasingly difficult to identify or access, all of which would harm our results of operations and our business.</w:t>
      </w:r>
    </w:p>
    <w:p>
      <w:pPr>
        <w:spacing w:after="0" w:line="162"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b w:val="1"/>
          <w:bCs w:val="1"/>
          <w:i w:val="1"/>
          <w:iCs w:val="1"/>
          <w:color w:val="auto"/>
        </w:rPr>
        <w:t>If we are unable to establish sales, medical affairs and marketing capabilities or enter into agreements with third parties to market and sell our product candidates, we may be unable to generate any product revenue.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have no sales and marketing organization. To successfully commercialize any products that may result</w:t>
      </w:r>
    </w:p>
    <w:p>
      <w:pPr>
        <w:spacing w:after="0"/>
        <w:rPr>
          <w:sz w:val="20"/>
          <w:szCs w:val="20"/>
          <w:color w:val="auto"/>
        </w:rPr>
      </w:pPr>
      <w:r>
        <w:rPr>
          <w:rFonts w:ascii="Arial" w:cs="Arial" w:eastAsia="Arial" w:hAnsi="Arial"/>
          <w:sz w:val="16"/>
          <w:szCs w:val="16"/>
          <w:color w:val="auto"/>
        </w:rPr>
        <w:t>from our clinical development programs, we will need to develop these capabilities, either on our own or with others. The</w:t>
      </w:r>
    </w:p>
    <w:p>
      <w:pPr>
        <w:spacing w:after="0" w:line="229" w:lineRule="auto"/>
        <w:rPr>
          <w:sz w:val="20"/>
          <w:szCs w:val="20"/>
          <w:color w:val="auto"/>
        </w:rPr>
      </w:pPr>
      <w:r>
        <w:rPr>
          <w:rFonts w:ascii="Arial" w:cs="Arial" w:eastAsia="Arial" w:hAnsi="Arial"/>
          <w:sz w:val="16"/>
          <w:szCs w:val="16"/>
          <w:color w:val="auto"/>
        </w:rPr>
        <w:t>establishment and development of our own commercial team or the establishment of a contract sales force to market any</w:t>
      </w:r>
    </w:p>
    <w:p>
      <w:pPr>
        <w:spacing w:after="0" w:line="176" w:lineRule="exact"/>
        <w:rPr>
          <w:sz w:val="20"/>
          <w:szCs w:val="20"/>
          <w:color w:val="auto"/>
        </w:rPr>
      </w:pPr>
      <w:r>
        <w:rPr>
          <w:rFonts w:ascii="Arial" w:cs="Arial" w:eastAsia="Arial" w:hAnsi="Arial"/>
          <w:sz w:val="16"/>
          <w:szCs w:val="16"/>
          <w:color w:val="auto"/>
        </w:rPr>
        <w:t>products we may develop will be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could delay any product launch. Moreover, we cannot</w:t>
      </w:r>
    </w:p>
    <w:p>
      <w:pPr>
        <w:spacing w:after="0" w:line="229" w:lineRule="auto"/>
        <w:rPr>
          <w:sz w:val="20"/>
          <w:szCs w:val="20"/>
          <w:color w:val="auto"/>
        </w:rPr>
      </w:pPr>
      <w:r>
        <w:rPr>
          <w:rFonts w:ascii="Arial" w:cs="Arial" w:eastAsia="Arial" w:hAnsi="Arial"/>
          <w:sz w:val="16"/>
          <w:szCs w:val="16"/>
          <w:color w:val="auto"/>
        </w:rPr>
        <w:t>be certain that we will be able to successfully develop this capability. Under our collaboration agreement with Genzyme, we</w:t>
      </w:r>
    </w:p>
    <w:p>
      <w:pPr>
        <w:spacing w:after="0" w:line="176" w:lineRule="exact"/>
        <w:rPr>
          <w:sz w:val="20"/>
          <w:szCs w:val="20"/>
          <w:color w:val="auto"/>
        </w:rPr>
      </w:pPr>
      <w:r>
        <w:rPr>
          <w:rFonts w:ascii="Arial" w:cs="Arial" w:eastAsia="Arial" w:hAnsi="Arial"/>
          <w:sz w:val="16"/>
          <w:szCs w:val="16"/>
          <w:color w:val="auto"/>
        </w:rPr>
        <w:t>have granted Genzyme an exclusive option to license, develop and commercialize ex</w:t>
      </w:r>
      <w:r>
        <w:rPr>
          <w:rFonts w:ascii="MS PGothic" w:cs="MS PGothic" w:eastAsia="MS PGothic" w:hAnsi="MS PGothic"/>
          <w:sz w:val="16"/>
          <w:szCs w:val="16"/>
          <w:color w:val="auto"/>
        </w:rPr>
        <w:t>‑</w:t>
      </w:r>
      <w:r>
        <w:rPr>
          <w:rFonts w:ascii="Arial" w:cs="Arial" w:eastAsia="Arial" w:hAnsi="Arial"/>
          <w:sz w:val="16"/>
          <w:szCs w:val="16"/>
          <w:color w:val="auto"/>
        </w:rPr>
        <w:t>U.S. rights to our advanced Parkinson’s</w:t>
      </w:r>
    </w:p>
    <w:p>
      <w:pPr>
        <w:spacing w:after="0" w:line="215" w:lineRule="auto"/>
        <w:rPr>
          <w:sz w:val="20"/>
          <w:szCs w:val="20"/>
          <w:color w:val="auto"/>
        </w:rPr>
      </w:pPr>
      <w:r>
        <w:rPr>
          <w:rFonts w:ascii="Arial" w:cs="Arial" w:eastAsia="Arial" w:hAnsi="Arial"/>
          <w:sz w:val="17"/>
          <w:szCs w:val="17"/>
          <w:color w:val="auto"/>
        </w:rPr>
        <w:t>disease program, our Friedreich’s ataxia program, a future program to be designated by Genzyme and our Huntington’s</w:t>
      </w:r>
    </w:p>
    <w:p>
      <w:pPr>
        <w:spacing w:after="0" w:line="176" w:lineRule="exact"/>
        <w:rPr>
          <w:sz w:val="20"/>
          <w:szCs w:val="20"/>
          <w:color w:val="auto"/>
        </w:rPr>
      </w:pPr>
      <w:r>
        <w:rPr>
          <w:rFonts w:ascii="Arial" w:cs="Arial" w:eastAsia="Arial" w:hAnsi="Arial"/>
          <w:sz w:val="17"/>
          <w:szCs w:val="17"/>
          <w:color w:val="auto"/>
        </w:rPr>
        <w:t>disease program. Additionally, we have granted Genzyme an incremental option to co</w:t>
      </w:r>
      <w:r>
        <w:rPr>
          <w:rFonts w:ascii="MS PGothic" w:cs="MS PGothic" w:eastAsia="MS PGothic" w:hAnsi="MS PGothic"/>
          <w:sz w:val="17"/>
          <w:szCs w:val="17"/>
          <w:color w:val="auto"/>
        </w:rPr>
        <w:t>‑</w:t>
      </w:r>
      <w:r>
        <w:rPr>
          <w:rFonts w:ascii="Arial" w:cs="Arial" w:eastAsia="Arial" w:hAnsi="Arial"/>
          <w:sz w:val="17"/>
          <w:szCs w:val="17"/>
          <w:color w:val="auto"/>
        </w:rPr>
        <w:t>commercialize our Huntington’s</w:t>
      </w:r>
    </w:p>
    <w:p>
      <w:pPr>
        <w:spacing w:after="0" w:line="229" w:lineRule="auto"/>
        <w:rPr>
          <w:sz w:val="20"/>
          <w:szCs w:val="20"/>
          <w:color w:val="auto"/>
        </w:rPr>
      </w:pPr>
      <w:r>
        <w:rPr>
          <w:rFonts w:ascii="Arial" w:cs="Arial" w:eastAsia="Arial" w:hAnsi="Arial"/>
          <w:sz w:val="16"/>
          <w:szCs w:val="16"/>
          <w:color w:val="auto"/>
        </w:rPr>
        <w:t>disease program in the United States and to worldwide rights to our spinal muscular atrophy program. If Genzyme exercises</w:t>
      </w:r>
    </w:p>
    <w:p>
      <w:pPr>
        <w:spacing w:after="0" w:line="229" w:lineRule="auto"/>
        <w:rPr>
          <w:sz w:val="20"/>
          <w:szCs w:val="20"/>
          <w:color w:val="auto"/>
        </w:rPr>
      </w:pPr>
      <w:r>
        <w:rPr>
          <w:rFonts w:ascii="Arial" w:cs="Arial" w:eastAsia="Arial" w:hAnsi="Arial"/>
          <w:sz w:val="16"/>
          <w:szCs w:val="16"/>
          <w:color w:val="auto"/>
        </w:rPr>
        <w:t>any of these options, except for our advanced Parkinson’s disease program, we would be eligible to receive specified option</w:t>
      </w:r>
    </w:p>
    <w:p>
      <w:pPr>
        <w:spacing w:after="0" w:line="215" w:lineRule="auto"/>
        <w:rPr>
          <w:sz w:val="20"/>
          <w:szCs w:val="20"/>
          <w:color w:val="auto"/>
        </w:rPr>
      </w:pPr>
      <w:r>
        <w:rPr>
          <w:rFonts w:ascii="Arial" w:cs="Arial" w:eastAsia="Arial" w:hAnsi="Arial"/>
          <w:sz w:val="17"/>
          <w:szCs w:val="17"/>
          <w:color w:val="auto"/>
        </w:rPr>
        <w:t>fees. In addition we would be eligible to receive specified milestone payments and royalties for any product developed in</w:t>
      </w:r>
    </w:p>
    <w:p>
      <w:pPr>
        <w:spacing w:after="0" w:line="229" w:lineRule="auto"/>
        <w:rPr>
          <w:sz w:val="20"/>
          <w:szCs w:val="20"/>
          <w:color w:val="auto"/>
        </w:rPr>
      </w:pPr>
      <w:r>
        <w:rPr>
          <w:rFonts w:ascii="Arial" w:cs="Arial" w:eastAsia="Arial" w:hAnsi="Arial"/>
          <w:sz w:val="16"/>
          <w:szCs w:val="16"/>
          <w:color w:val="auto"/>
        </w:rPr>
        <w:t>such programs. In the future, we may enter into collaborations regarding other of our product candidates with other entities to</w:t>
      </w:r>
    </w:p>
    <w:p>
      <w:pPr>
        <w:spacing w:after="0" w:line="216" w:lineRule="auto"/>
        <w:rPr>
          <w:sz w:val="20"/>
          <w:szCs w:val="20"/>
          <w:color w:val="auto"/>
        </w:rPr>
      </w:pPr>
      <w:r>
        <w:rPr>
          <w:rFonts w:ascii="Arial" w:cs="Arial" w:eastAsia="Arial" w:hAnsi="Arial"/>
          <w:sz w:val="17"/>
          <w:szCs w:val="17"/>
          <w:color w:val="auto"/>
        </w:rPr>
        <w:t>utilize their established marketing and distribution capabilities, but we may be unable to enter into such agreements on</w:t>
      </w:r>
    </w:p>
    <w:p>
      <w:pPr>
        <w:spacing w:after="0" w:line="215" w:lineRule="auto"/>
        <w:rPr>
          <w:sz w:val="20"/>
          <w:szCs w:val="20"/>
          <w:color w:val="auto"/>
        </w:rPr>
      </w:pPr>
      <w:r>
        <w:rPr>
          <w:rFonts w:ascii="Arial" w:cs="Arial" w:eastAsia="Arial" w:hAnsi="Arial"/>
          <w:sz w:val="17"/>
          <w:szCs w:val="17"/>
          <w:color w:val="auto"/>
        </w:rPr>
        <w:t>favorable terms, if at all. If any current or future collaborators do not commit sufficient resources to commercialize our</w:t>
      </w:r>
    </w:p>
    <w:p>
      <w:pPr>
        <w:spacing w:after="0" w:line="230" w:lineRule="auto"/>
        <w:rPr>
          <w:sz w:val="20"/>
          <w:szCs w:val="20"/>
          <w:color w:val="auto"/>
        </w:rPr>
      </w:pPr>
      <w:r>
        <w:rPr>
          <w:rFonts w:ascii="Arial" w:cs="Arial" w:eastAsia="Arial" w:hAnsi="Arial"/>
          <w:sz w:val="16"/>
          <w:szCs w:val="16"/>
          <w:color w:val="auto"/>
        </w:rPr>
        <w:t>products, or we are unable to develop the necessary capabilities on our own, we will be unable to generate sufficient product</w:t>
      </w:r>
    </w:p>
    <w:p>
      <w:pPr>
        <w:spacing w:after="0" w:line="215" w:lineRule="auto"/>
        <w:rPr>
          <w:sz w:val="20"/>
          <w:szCs w:val="20"/>
          <w:color w:val="auto"/>
        </w:rPr>
      </w:pPr>
      <w:r>
        <w:rPr>
          <w:rFonts w:ascii="Arial" w:cs="Arial" w:eastAsia="Arial" w:hAnsi="Arial"/>
          <w:sz w:val="17"/>
          <w:szCs w:val="17"/>
          <w:color w:val="auto"/>
        </w:rPr>
        <w:t>revenue to sustain our business. We compete with many companies that currently have extensive, experienced and</w:t>
      </w:r>
    </w:p>
    <w:p>
      <w:pPr>
        <w:spacing w:after="0" w:line="176" w:lineRule="exact"/>
        <w:rPr>
          <w:sz w:val="20"/>
          <w:szCs w:val="20"/>
          <w:color w:val="auto"/>
        </w:rPr>
      </w:pPr>
      <w:r>
        <w:rPr>
          <w:rFonts w:ascii="Arial" w:cs="Arial" w:eastAsia="Arial" w:hAnsi="Arial"/>
          <w:sz w:val="16"/>
          <w:szCs w:val="16"/>
          <w:color w:val="auto"/>
        </w:rPr>
        <w:t>well</w:t>
      </w:r>
      <w:r>
        <w:rPr>
          <w:rFonts w:ascii="MS PGothic" w:cs="MS PGothic" w:eastAsia="MS PGothic" w:hAnsi="MS PGothic"/>
          <w:sz w:val="16"/>
          <w:szCs w:val="16"/>
          <w:color w:val="auto"/>
        </w:rPr>
        <w:t>‑</w:t>
      </w:r>
      <w:r>
        <w:rPr>
          <w:rFonts w:ascii="Arial" w:cs="Arial" w:eastAsia="Arial" w:hAnsi="Arial"/>
          <w:sz w:val="16"/>
          <w:szCs w:val="16"/>
          <w:color w:val="auto"/>
        </w:rPr>
        <w:t>funded medical affairs, marketing and sales operations to recruit, hire, train and retain marketing and sales personnel.</w:t>
      </w:r>
    </w:p>
    <w:p>
      <w:pPr>
        <w:spacing w:after="0" w:line="216" w:lineRule="auto"/>
        <w:rPr>
          <w:sz w:val="20"/>
          <w:szCs w:val="20"/>
          <w:color w:val="auto"/>
        </w:rPr>
      </w:pPr>
      <w:r>
        <w:rPr>
          <w:rFonts w:ascii="Arial" w:cs="Arial" w:eastAsia="Arial" w:hAnsi="Arial"/>
          <w:sz w:val="17"/>
          <w:szCs w:val="17"/>
          <w:color w:val="auto"/>
        </w:rPr>
        <w:t>We also face competition in our search for third parties to assist us with the sales and marketing efforts of our product</w:t>
      </w:r>
    </w:p>
    <w:p>
      <w:pPr>
        <w:spacing w:after="0" w:line="176" w:lineRule="exact"/>
        <w:rPr>
          <w:sz w:val="20"/>
          <w:szCs w:val="20"/>
          <w:color w:val="auto"/>
        </w:rPr>
      </w:pPr>
      <w:r>
        <w:rPr>
          <w:rFonts w:ascii="Arial" w:cs="Arial" w:eastAsia="Arial" w:hAnsi="Arial"/>
          <w:sz w:val="17"/>
          <w:szCs w:val="17"/>
          <w:color w:val="auto"/>
        </w:rPr>
        <w:t>candidates. Without an internal team or the support of a third</w:t>
      </w:r>
      <w:r>
        <w:rPr>
          <w:rFonts w:ascii="MS PGothic" w:cs="MS PGothic" w:eastAsia="MS PGothic" w:hAnsi="MS PGothic"/>
          <w:sz w:val="17"/>
          <w:szCs w:val="17"/>
          <w:color w:val="auto"/>
        </w:rPr>
        <w:t>‑</w:t>
      </w:r>
      <w:r>
        <w:rPr>
          <w:rFonts w:ascii="Arial" w:cs="Arial" w:eastAsia="Arial" w:hAnsi="Arial"/>
          <w:sz w:val="17"/>
          <w:szCs w:val="17"/>
          <w:color w:val="auto"/>
        </w:rPr>
        <w:t>party to perform marketing and sales functions, we may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unable to compete successfully against these more established companies.</w:t>
      </w:r>
    </w:p>
    <w:p>
      <w:pPr>
        <w:spacing w:after="0" w:line="128" w:lineRule="exact"/>
        <w:rPr>
          <w:sz w:val="20"/>
          <w:szCs w:val="20"/>
          <w:color w:val="auto"/>
        </w:rPr>
      </w:pPr>
    </w:p>
    <w:p>
      <w:pPr>
        <w:ind w:right="80" w:firstLine="648"/>
        <w:spacing w:after="0" w:line="185" w:lineRule="exact"/>
        <w:rPr>
          <w:sz w:val="20"/>
          <w:szCs w:val="20"/>
          <w:color w:val="auto"/>
        </w:rPr>
      </w:pPr>
      <w:r>
        <w:rPr>
          <w:rFonts w:ascii="Arial" w:cs="Arial" w:eastAsia="Arial" w:hAnsi="Arial"/>
          <w:sz w:val="18"/>
          <w:szCs w:val="18"/>
          <w:color w:val="auto"/>
        </w:rPr>
        <w:t>Our efforts to educate the medical community and third</w:t>
      </w:r>
      <w:r>
        <w:rPr>
          <w:rFonts w:ascii="MS PGothic" w:cs="MS PGothic" w:eastAsia="MS PGothic" w:hAnsi="MS PGothic"/>
          <w:sz w:val="18"/>
          <w:szCs w:val="18"/>
          <w:color w:val="auto"/>
        </w:rPr>
        <w:t>‑</w:t>
      </w:r>
      <w:r>
        <w:rPr>
          <w:rFonts w:ascii="Arial" w:cs="Arial" w:eastAsia="Arial" w:hAnsi="Arial"/>
          <w:sz w:val="18"/>
          <w:szCs w:val="18"/>
          <w:color w:val="auto"/>
        </w:rPr>
        <w:t>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w:t>
      </w:r>
      <w:r>
        <w:rPr>
          <w:rFonts w:ascii="MS PGothic" w:cs="MS PGothic" w:eastAsia="MS PGothic" w:hAnsi="MS PGothic"/>
          <w:sz w:val="18"/>
          <w:szCs w:val="18"/>
          <w:color w:val="auto"/>
        </w:rPr>
        <w:t>‑</w:t>
      </w:r>
      <w:r>
        <w:rPr>
          <w:rFonts w:ascii="Arial" w:cs="Arial" w:eastAsia="Arial" w:hAnsi="Arial"/>
          <w:sz w:val="18"/>
          <w:szCs w:val="18"/>
          <w:color w:val="auto"/>
        </w:rPr>
        <w:t>party payors, we will not be able to generate significant revenues from such product, which could harm our business, financial condition, results of operations and prospects.</w:t>
      </w:r>
    </w:p>
    <w:p>
      <w:pPr>
        <w:spacing w:after="0" w:line="135" w:lineRule="exact"/>
        <w:rPr>
          <w:sz w:val="20"/>
          <w:szCs w:val="20"/>
          <w:color w:val="auto"/>
        </w:rPr>
      </w:pPr>
    </w:p>
    <w:p>
      <w:pPr>
        <w:spacing w:after="0" w:line="194" w:lineRule="exact"/>
        <w:rPr>
          <w:sz w:val="20"/>
          <w:szCs w:val="20"/>
          <w:color w:val="auto"/>
        </w:rPr>
      </w:pPr>
      <w:r>
        <w:rPr>
          <w:rFonts w:ascii="Arial" w:cs="Arial" w:eastAsia="Arial" w:hAnsi="Arial"/>
          <w:sz w:val="18"/>
          <w:szCs w:val="18"/>
          <w:b w:val="1"/>
          <w:bCs w:val="1"/>
          <w:i w:val="1"/>
          <w:iCs w:val="1"/>
          <w:color w:val="auto"/>
        </w:rPr>
        <w:t>The insurance coverage and reimbursement status of newly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approved products is uncertain. Failure to obtain or maintain adequate coverage and reimbursement for our product candidates, if approved, could limit our ability to market those products and decrease our ability to generate product revenue.</w:t>
      </w:r>
    </w:p>
    <w:p>
      <w:pPr>
        <w:spacing w:after="0" w:line="123"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expect the cost of a single administration of gene therapy products, such as those we are developing,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80"/>
        <w:spacing w:after="0" w:line="203" w:lineRule="exact"/>
        <w:rPr>
          <w:sz w:val="20"/>
          <w:szCs w:val="20"/>
          <w:color w:val="auto"/>
        </w:rPr>
      </w:pPr>
      <w:r>
        <w:rPr>
          <w:rFonts w:ascii="Arial" w:cs="Arial" w:eastAsia="Arial" w:hAnsi="Arial"/>
          <w:sz w:val="18"/>
          <w:szCs w:val="18"/>
          <w:color w:val="auto"/>
        </w:rPr>
        <w:t>third</w:t>
      </w:r>
      <w:r>
        <w:rPr>
          <w:rFonts w:ascii="MS PGothic" w:cs="MS PGothic" w:eastAsia="MS PGothic" w:hAnsi="MS PGothic"/>
          <w:sz w:val="18"/>
          <w:szCs w:val="18"/>
          <w:color w:val="auto"/>
        </w:rPr>
        <w:t>‑</w:t>
      </w:r>
      <w:r>
        <w:rPr>
          <w:rFonts w:ascii="Arial" w:cs="Arial" w:eastAsia="Arial" w:hAnsi="Arial"/>
          <w:sz w:val="18"/>
          <w:szCs w:val="18"/>
          <w:color w:val="auto"/>
        </w:rPr>
        <w:t>party payors. Coverage and reimbursement by a third</w:t>
      </w:r>
      <w:r>
        <w:rPr>
          <w:rFonts w:ascii="MS PGothic" w:cs="MS PGothic" w:eastAsia="MS PGothic" w:hAnsi="MS PGothic"/>
          <w:sz w:val="18"/>
          <w:szCs w:val="18"/>
          <w:color w:val="auto"/>
        </w:rPr>
        <w:t>‑</w:t>
      </w:r>
      <w:r>
        <w:rPr>
          <w:rFonts w:ascii="Arial" w:cs="Arial" w:eastAsia="Arial" w:hAnsi="Arial"/>
          <w:sz w:val="18"/>
          <w:szCs w:val="18"/>
          <w:color w:val="auto"/>
        </w:rPr>
        <w:t>party payor may depend upon several factors, including the third</w:t>
      </w:r>
      <w:r>
        <w:rPr>
          <w:rFonts w:ascii="MS PGothic" w:cs="MS PGothic" w:eastAsia="MS PGothic" w:hAnsi="MS PGothic"/>
          <w:sz w:val="18"/>
          <w:szCs w:val="18"/>
          <w:color w:val="auto"/>
        </w:rPr>
        <w:t>‑</w:t>
      </w:r>
      <w:r>
        <w:rPr>
          <w:rFonts w:ascii="Arial" w:cs="Arial" w:eastAsia="Arial" w:hAnsi="Arial"/>
          <w:sz w:val="18"/>
          <w:szCs w:val="18"/>
          <w:color w:val="auto"/>
        </w:rPr>
        <w:t>party payor’s determination that use of a product is:</w:t>
      </w:r>
    </w:p>
    <w:p>
      <w:pPr>
        <w:spacing w:after="0" w:line="121" w:lineRule="exact"/>
        <w:rPr>
          <w:sz w:val="20"/>
          <w:szCs w:val="20"/>
          <w:color w:val="auto"/>
        </w:rPr>
      </w:pPr>
    </w:p>
    <w:p>
      <w:pPr>
        <w:ind w:left="800" w:hanging="149"/>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57" w:lineRule="exact"/>
        <w:rPr>
          <w:rFonts w:ascii="Arial" w:cs="Arial" w:eastAsia="Arial" w:hAnsi="Arial"/>
          <w:sz w:val="18"/>
          <w:szCs w:val="18"/>
          <w:color w:val="auto"/>
        </w:rPr>
      </w:pPr>
    </w:p>
    <w:p>
      <w:pPr>
        <w:ind w:left="800" w:hanging="149"/>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57" w:lineRule="exact"/>
        <w:rPr>
          <w:rFonts w:ascii="Arial" w:cs="Arial" w:eastAsia="Arial" w:hAnsi="Arial"/>
          <w:sz w:val="18"/>
          <w:szCs w:val="18"/>
          <w:color w:val="auto"/>
        </w:rPr>
      </w:pPr>
    </w:p>
    <w:p>
      <w:pPr>
        <w:ind w:left="820" w:hanging="169"/>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57"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157" w:lineRule="exact"/>
        <w:rPr>
          <w:rFonts w:ascii="Arial" w:cs="Arial" w:eastAsia="Arial" w:hAnsi="Arial"/>
          <w:sz w:val="18"/>
          <w:szCs w:val="18"/>
          <w:color w:val="auto"/>
        </w:rPr>
      </w:pPr>
    </w:p>
    <w:p>
      <w:pPr>
        <w:ind w:left="800" w:hanging="149"/>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58"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No uniform policy requirement for coverage and reimbursement for drug products exists among third</w:t>
      </w:r>
      <w:r>
        <w:rPr>
          <w:rFonts w:ascii="MS PGothic" w:cs="MS PGothic" w:eastAsia="MS PGothic" w:hAnsi="MS PGothic"/>
          <w:sz w:val="16"/>
          <w:szCs w:val="16"/>
          <w:color w:val="auto"/>
        </w:rPr>
        <w:t>‑</w:t>
      </w:r>
      <w:r>
        <w:rPr>
          <w:rFonts w:ascii="Arial" w:cs="Arial" w:eastAsia="Arial" w:hAnsi="Arial"/>
          <w:sz w:val="16"/>
          <w:szCs w:val="16"/>
          <w:color w:val="auto"/>
        </w:rPr>
        <w:t>party payors. Therefore, coverage and reimbursement for drug products can differ significantly from payor to payor. As a result, obtaining coverage and reimbursement for a product from third</w:t>
      </w:r>
      <w:r>
        <w:rPr>
          <w:rFonts w:ascii="MS PGothic" w:cs="MS PGothic" w:eastAsia="MS PGothic" w:hAnsi="MS PGothic"/>
          <w:sz w:val="16"/>
          <w:szCs w:val="16"/>
          <w:color w:val="auto"/>
        </w:rPr>
        <w:t>‑</w:t>
      </w:r>
      <w:r>
        <w:rPr>
          <w:rFonts w:ascii="Arial" w:cs="Arial" w:eastAsia="Arial" w:hAnsi="Arial"/>
          <w:sz w:val="16"/>
          <w:szCs w:val="16"/>
          <w:color w:val="auto"/>
        </w:rPr>
        <w:t>party payors is a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process that could require us to provide to each different payor supporting scientific, clinical and cost</w:t>
      </w:r>
      <w:r>
        <w:rPr>
          <w:rFonts w:ascii="MS PGothic" w:cs="MS PGothic" w:eastAsia="MS PGothic" w:hAnsi="MS PGothic"/>
          <w:sz w:val="16"/>
          <w:szCs w:val="16"/>
          <w:color w:val="auto"/>
        </w:rPr>
        <w:t>‑</w:t>
      </w:r>
      <w:r>
        <w:rPr>
          <w:rFonts w:ascii="Arial" w:cs="Arial" w:eastAsia="Arial" w:hAnsi="Arial"/>
          <w:sz w:val="16"/>
          <w:szCs w:val="16"/>
          <w:color w:val="auto"/>
        </w:rPr>
        <w: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Assuming we obtain coverage for a given product by a third</w:t>
      </w:r>
      <w:r>
        <w:rPr>
          <w:rFonts w:ascii="MS PGothic" w:cs="MS PGothic" w:eastAsia="MS PGothic" w:hAnsi="MS PGothic"/>
          <w:sz w:val="16"/>
          <w:szCs w:val="16"/>
          <w:color w:val="auto"/>
        </w:rPr>
        <w:t>‑</w:t>
      </w:r>
      <w:r>
        <w:rPr>
          <w:rFonts w:ascii="Arial" w:cs="Arial" w:eastAsia="Arial" w:hAnsi="Arial"/>
          <w:sz w:val="16"/>
          <w:szCs w:val="16"/>
          <w:color w:val="auto"/>
        </w:rPr>
        <w:t>party payor, the resulting reimbursement payment rates may not be adequate or may require co</w:t>
      </w:r>
      <w:r>
        <w:rPr>
          <w:rFonts w:ascii="MS PGothic" w:cs="MS PGothic" w:eastAsia="MS PGothic" w:hAnsi="MS PGothic"/>
          <w:sz w:val="16"/>
          <w:szCs w:val="16"/>
          <w:color w:val="auto"/>
        </w:rPr>
        <w:t>‑</w:t>
      </w:r>
      <w:r>
        <w:rPr>
          <w:rFonts w:ascii="Arial" w:cs="Arial" w:eastAsia="Arial" w:hAnsi="Arial"/>
          <w:sz w:val="16"/>
          <w:szCs w:val="16"/>
          <w:color w:val="auto"/>
        </w:rPr>
        <w:t>payments that patients find unacceptably high. Patients who are prescribed medications for the treatment of their conditions, and their prescribing physicians, generally rely on third</w:t>
      </w:r>
      <w:r>
        <w:rPr>
          <w:rFonts w:ascii="MS PGothic" w:cs="MS PGothic" w:eastAsia="MS PGothic" w:hAnsi="MS PGothic"/>
          <w:sz w:val="16"/>
          <w:szCs w:val="16"/>
          <w:color w:val="auto"/>
        </w:rPr>
        <w:t>‑</w:t>
      </w:r>
      <w:r>
        <w:rPr>
          <w:rFonts w:ascii="Arial" w:cs="Arial" w:eastAsia="Arial" w:hAnsi="Arial"/>
          <w:sz w:val="16"/>
          <w:szCs w:val="16"/>
          <w:color w:val="auto"/>
        </w:rPr>
        <w:t>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Additionally, there may be significant delays in obtaining coverage and reimbursement for newly approved drugs and biologics, and coverage may be more limited than the purposes for which the drug is approved by the FDA or comparable foreign regulatory authorities.</w:t>
      </w:r>
    </w:p>
    <w:p>
      <w:pPr>
        <w:spacing w:after="0" w:line="14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There is significant uncertainty related to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of newly approved products. In the United States,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Currently, no gene therapy product has been approved for coverage and reimbursement by the Centers for Medicare &amp; Medicaid Services, or CMS, the agency responsible for administering the Medicare program. It is difficult to predict what CMS will decide with respect to coverage and reimbursement for fundamentally novel products such as ours, as there is no body of established practices and precedents for these types of products.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w:t>
      </w:r>
      <w:r>
        <w:rPr>
          <w:rFonts w:ascii="MS PGothic" w:cs="MS PGothic" w:eastAsia="MS PGothic" w:hAnsi="MS PGothic"/>
          <w:sz w:val="17"/>
          <w:szCs w:val="17"/>
          <w:color w:val="auto"/>
        </w:rPr>
        <w:t>‑</w:t>
      </w:r>
      <w:r>
        <w:rPr>
          <w:rFonts w:ascii="Arial" w:cs="Arial" w:eastAsia="Arial" w:hAnsi="Arial"/>
          <w:sz w:val="17"/>
          <w:szCs w:val="17"/>
          <w:color w:val="auto"/>
        </w:rPr>
        <w:t>party payors will decide with respect to the coverage and reimbursement for our product candidates, especially given that the cost of our product candidates is likely to be very high and pricing of such products is highly uncertain.</w:t>
      </w:r>
    </w:p>
    <w:p>
      <w:pPr>
        <w:spacing w:after="0" w:line="169"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7"/>
          <w:szCs w:val="17"/>
          <w:color w:val="auto"/>
        </w:rPr>
        <w:t>Outside the United States, international operations generally are subject to extensive government price controls and other market regulations, and increasing emphasis on cost</w:t>
      </w:r>
      <w:r>
        <w:rPr>
          <w:rFonts w:ascii="MS PGothic" w:cs="MS PGothic" w:eastAsia="MS PGothic" w:hAnsi="MS PGothic"/>
          <w:sz w:val="17"/>
          <w:szCs w:val="17"/>
          <w:color w:val="auto"/>
        </w:rPr>
        <w:t>‑</w:t>
      </w:r>
      <w:r>
        <w:rPr>
          <w:rFonts w:ascii="Arial" w:cs="Arial" w:eastAsia="Arial" w:hAnsi="Arial"/>
          <w:sz w:val="17"/>
          <w:szCs w:val="17"/>
          <w:color w:val="auto"/>
        </w:rPr>
        <w:t>containment initiatives in the European Union, Canada and other countries may put pricing pressure on us. For example, one gene therapy product was approved in the European Union in 2012 but is yet to be widely available commercially.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Moreover, increasing efforts by government and third</w:t>
      </w:r>
      <w:r>
        <w:rPr>
          <w:rFonts w:ascii="MS PGothic" w:cs="MS PGothic" w:eastAsia="MS PGothic" w:hAnsi="MS PGothic"/>
          <w:sz w:val="17"/>
          <w:szCs w:val="17"/>
          <w:color w:val="auto"/>
        </w:rPr>
        <w:t>‑</w:t>
      </w:r>
      <w:r>
        <w:rPr>
          <w:rFonts w:ascii="Arial" w:cs="Arial" w:eastAsia="Arial" w:hAnsi="Arial"/>
          <w:sz w:val="17"/>
          <w:szCs w:val="17"/>
          <w:color w:val="auto"/>
        </w:rPr>
        <w:t>party payors in the United States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165" w:lineRule="exact"/>
        <w:rPr>
          <w:sz w:val="20"/>
          <w:szCs w:val="20"/>
          <w:color w:val="auto"/>
        </w:rPr>
      </w:pPr>
    </w:p>
    <w:p>
      <w:pPr>
        <w:ind w:right="20"/>
        <w:spacing w:after="0" w:line="203" w:lineRule="exact"/>
        <w:rPr>
          <w:sz w:val="20"/>
          <w:szCs w:val="20"/>
          <w:color w:val="auto"/>
        </w:rPr>
      </w:pPr>
      <w:r>
        <w:rPr>
          <w:rFonts w:ascii="Arial" w:cs="Arial" w:eastAsia="Arial" w:hAnsi="Arial"/>
          <w:sz w:val="18"/>
          <w:szCs w:val="18"/>
          <w:b w:val="1"/>
          <w:bCs w:val="1"/>
          <w:i w:val="1"/>
          <w:iCs w:val="1"/>
          <w:color w:val="auto"/>
        </w:rPr>
        <w:t>The commercial success of any of our product candidates will depend upon its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w:t>
      </w:r>
    </w:p>
    <w:p>
      <w:pPr>
        <w:spacing w:after="0" w:line="162"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7"/>
          <w:szCs w:val="17"/>
          <w:color w:val="auto"/>
        </w:rPr>
        <w:t>Ethical, social and legal concerns about gene therapy could result in additional regulations restricting or prohibiting our products. Even with the requisite approvals from the FDA in the United States, EMA in the European Union and other regulatory authorities internationally, the commercial success of our product candidates will depend, in part, on the acceptance of physicians, patients and health care payors of gene therapy products in general, and our product candidates in particular, as medically necessary, cost</w:t>
      </w:r>
      <w:r>
        <w:rPr>
          <w:rFonts w:ascii="MS PGothic" w:cs="MS PGothic" w:eastAsia="MS PGothic" w:hAnsi="MS PGothic"/>
          <w:sz w:val="17"/>
          <w:szCs w:val="17"/>
          <w:color w:val="auto"/>
        </w:rPr>
        <w:t>‑</w:t>
      </w:r>
      <w:r>
        <w:rPr>
          <w:rFonts w:ascii="Arial" w:cs="Arial" w:eastAsia="Arial" w:hAnsi="Arial"/>
          <w:sz w:val="17"/>
          <w:szCs w:val="17"/>
          <w:color w:val="auto"/>
        </w:rPr>
        <w: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gene therapy products and, in particular, our product candidates, if approved for commercial sale, will depend on several factors, including: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efficacy and safety of such product candidates as demonstrated in clinical trials;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potential and perceived advantages of product candidates over alternative treatments;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cost of treatment relative to alternative treatments;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clinical indications for which the product candidate is approved by the FDA or the European Commission;</w:t>
      </w:r>
    </w:p>
    <w:p>
      <w:pPr>
        <w:spacing w:after="0" w:line="210" w:lineRule="exact"/>
        <w:rPr>
          <w:sz w:val="20"/>
          <w:szCs w:val="20"/>
          <w:color w:val="auto"/>
        </w:rPr>
      </w:pPr>
    </w:p>
    <w:p>
      <w:pPr>
        <w:ind w:left="740" w:hanging="89"/>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 awareness of, and willingness to seek, genotyping;</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98" w:lineRule="exact"/>
        <w:rPr>
          <w:sz w:val="20"/>
          <w:szCs w:val="20"/>
          <w:color w:val="auto"/>
        </w:rPr>
      </w:pPr>
    </w:p>
    <w:p>
      <w:pPr>
        <w:ind w:left="700" w:right="740" w:hanging="53"/>
        <w:spacing w:after="0" w:line="246" w:lineRule="auto"/>
        <w:rPr>
          <w:sz w:val="20"/>
          <w:szCs w:val="20"/>
          <w:color w:val="auto"/>
        </w:rPr>
      </w:pPr>
      <w:r>
        <w:rPr>
          <w:rFonts w:ascii="Arial" w:cs="Arial" w:eastAsia="Arial" w:hAnsi="Arial"/>
          <w:sz w:val="18"/>
          <w:szCs w:val="18"/>
          <w:color w:val="auto"/>
        </w:rPr>
        <w:t>·the willingness of physicians to undergo specialized training with respect to administration of our product candidates;</w:t>
      </w:r>
    </w:p>
    <w:p>
      <w:pPr>
        <w:spacing w:after="0" w:line="170" w:lineRule="exact"/>
        <w:rPr>
          <w:sz w:val="20"/>
          <w:szCs w:val="20"/>
          <w:color w:val="auto"/>
        </w:rPr>
      </w:pPr>
    </w:p>
    <w:p>
      <w:pPr>
        <w:ind w:left="740" w:hanging="89"/>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98" w:lineRule="exact"/>
        <w:rPr>
          <w:sz w:val="20"/>
          <w:szCs w:val="20"/>
          <w:color w:val="auto"/>
        </w:rPr>
      </w:pPr>
    </w:p>
    <w:p>
      <w:pPr>
        <w:ind w:left="700" w:right="340" w:hanging="53"/>
        <w:spacing w:after="0" w:line="246" w:lineRule="auto"/>
        <w:rPr>
          <w:sz w:val="20"/>
          <w:szCs w:val="20"/>
          <w:color w:val="auto"/>
        </w:rPr>
      </w:pPr>
      <w:r>
        <w:rPr>
          <w:rFonts w:ascii="Arial" w:cs="Arial" w:eastAsia="Arial" w:hAnsi="Arial"/>
          <w:sz w:val="18"/>
          <w:szCs w:val="18"/>
          <w:color w:val="auto"/>
        </w:rPr>
        <w:t>·product labeling or product insert requirements of the FDA, EMA or other regulatory authorities, including any limitations or warnings contained in a product’s approved labeling;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relative convenience and ease of administration;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780" w:hanging="12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·publicity concerning our products or competing products and treatments; and</w:t>
      </w:r>
    </w:p>
    <w:p>
      <w:pPr>
        <w:spacing w:after="0" w:line="19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sufficient third</w:t>
      </w:r>
      <w:r>
        <w:rPr>
          <w:rFonts w:ascii="MS PGothic" w:cs="MS PGothic" w:eastAsia="MS PGothic" w:hAnsi="MS PGothic"/>
          <w:sz w:val="18"/>
          <w:szCs w:val="18"/>
          <w:color w:val="auto"/>
        </w:rPr>
        <w:t>‑</w:t>
      </w:r>
      <w:r>
        <w:rPr>
          <w:rFonts w:ascii="Arial" w:cs="Arial" w:eastAsia="Arial" w:hAnsi="Arial"/>
          <w:sz w:val="18"/>
          <w:szCs w:val="18"/>
          <w:color w:val="auto"/>
        </w:rPr>
        <w:t>party payor coverage and reimbursement.</w:t>
      </w:r>
    </w:p>
    <w:p>
      <w:pPr>
        <w:spacing w:after="0" w:line="198"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62"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Gene therapy remains a novel technology, with no gene therapy product approved to date in the United States and only one gene therapy product approved to date in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w:t>
      </w:r>
      <w:r>
        <w:rPr>
          <w:rFonts w:ascii="MS PGothic" w:cs="MS PGothic" w:eastAsia="MS PGothic" w:hAnsi="MS PGothic"/>
          <w:sz w:val="16"/>
          <w:szCs w:val="16"/>
          <w:color w:val="auto"/>
        </w:rPr>
        <w:t>‑</w:t>
      </w:r>
      <w:r>
        <w:rPr>
          <w:rFonts w:ascii="Arial" w:cs="Arial" w:eastAsia="Arial" w:hAnsi="Arial"/>
          <w:sz w:val="16"/>
          <w:szCs w:val="16"/>
          <w:color w:val="auto"/>
        </w:rPr>
        <w:t>publicized adverse events, including cases of leukemia and death seen in other trials using non-AAV vectors.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6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If we obtain approval to commercialize our product candidates outside of the United States, in particular in the European Union, a variety of risks associated with international operations could harm our business.</w:t>
      </w:r>
    </w:p>
    <w:p>
      <w:pPr>
        <w:spacing w:after="0" w:line="147"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We expect that we will be subject to additional risks in commercializing our product candidates outside the United States, including: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·different regulatory requirements for approval of drugs and biologics in foreign countries;</w:t>
      </w:r>
    </w:p>
    <w:p>
      <w:pPr>
        <w:spacing w:after="0" w:line="198" w:lineRule="exact"/>
        <w:rPr>
          <w:sz w:val="20"/>
          <w:szCs w:val="20"/>
          <w:color w:val="auto"/>
        </w:rPr>
      </w:pPr>
    </w:p>
    <w:p>
      <w:pPr>
        <w:ind w:left="780" w:hanging="12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98" w:lineRule="exact"/>
        <w:rPr>
          <w:sz w:val="20"/>
          <w:szCs w:val="20"/>
          <w:color w:val="auto"/>
        </w:rPr>
      </w:pPr>
    </w:p>
    <w:p>
      <w:pPr>
        <w:ind w:left="660" w:right="560"/>
        <w:spacing w:after="0" w:line="528" w:lineRule="auto"/>
        <w:rPr>
          <w:sz w:val="20"/>
          <w:szCs w:val="20"/>
          <w:color w:val="auto"/>
        </w:rPr>
      </w:pPr>
      <w:r>
        <w:rPr>
          <w:rFonts w:ascii="Arial" w:cs="Arial" w:eastAsia="Arial" w:hAnsi="Arial"/>
          <w:sz w:val="16"/>
          <w:szCs w:val="16"/>
          <w:color w:val="auto"/>
        </w:rPr>
        <w:t>·economic weakness, including inflation, or political instability in particular foreign economies and markets; ·compliance with tax, employment, immigration and labor laws for employees living or traveling abroad;</w:t>
      </w:r>
    </w:p>
    <w:p>
      <w:pPr>
        <w:spacing w:after="0" w:line="1" w:lineRule="exact"/>
        <w:rPr>
          <w:sz w:val="20"/>
          <w:szCs w:val="20"/>
          <w:color w:val="auto"/>
        </w:rPr>
      </w:pPr>
    </w:p>
    <w:p>
      <w:pPr>
        <w:ind w:left="700" w:right="120" w:hanging="53"/>
        <w:spacing w:after="0" w:line="246" w:lineRule="auto"/>
        <w:rPr>
          <w:sz w:val="20"/>
          <w:szCs w:val="20"/>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·workforce uncertainty in countries where labor unrest is more common than in the United States;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·shortages resulting from any events affecting raw material supply or manufacturing capabilities abroad;</w:t>
      </w:r>
    </w:p>
    <w:p>
      <w:pPr>
        <w:spacing w:after="0" w:line="198" w:lineRule="exact"/>
        <w:rPr>
          <w:sz w:val="20"/>
          <w:szCs w:val="20"/>
          <w:color w:val="auto"/>
        </w:rPr>
      </w:pPr>
    </w:p>
    <w:p>
      <w:pPr>
        <w:ind w:left="700" w:right="40" w:hanging="53"/>
        <w:spacing w:after="0" w:line="246" w:lineRule="auto"/>
        <w:rPr>
          <w:sz w:val="20"/>
          <w:szCs w:val="20"/>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or from economic or political instability;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·greater difficulty with enforcing our contracts in jurisdictions outside of the United States.</w:t>
      </w:r>
    </w:p>
    <w:p>
      <w:pPr>
        <w:spacing w:after="0" w:line="198"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Further, in many foreign countries it is common for others to engage in business practices that are prohibited by U.S. laws and regulations applicable to us, including the Foreign Corrupt Practices Act. Although we expect to implement policies and procedures designed to comply with these laws and policies, there can be no assurance that our employees, contractors and agents will comply with these laws and policies. If we are unable to successfully manage the challenges of international expansion and operations, our business and operating results could be harmed.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to, in part, the terms and conditions of licenses granted to us by others.</w:t>
      </w:r>
    </w:p>
    <w:p>
      <w:pPr>
        <w:spacing w:after="0" w:line="162"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We are reliant upon licenses to certain patent rights and proprietary technology from third parties that are important or necessary to the development of our technology and products, including technology related to our manufacturing process and our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65"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In some circumstances, particularly in licenses with academic institutions, we may not have the right to control the preparation, filing and prosecution of patent applications, or to maintain the patents, covering technology that we license from third parties.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 In addition to the foregoing, the risks associated with patent rights that we license from third parties will also apply to patent rights we may own in the future.</w:t>
      </w:r>
    </w:p>
    <w:p>
      <w:pPr>
        <w:spacing w:after="0" w:line="168"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Further, in many of our license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and minimum yearly diligence obligations in developing and commercializing the product. Disputes may arise regarding intellectual property subject to a licensing agreement, including:</w:t>
      </w:r>
    </w:p>
    <w:p>
      <w:pPr>
        <w:spacing w:after="0" w:line="16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scope of rights granted under the license agreement and other interpretation</w:t>
      </w:r>
      <w:r>
        <w:rPr>
          <w:rFonts w:ascii="MS PGothic" w:cs="MS PGothic" w:eastAsia="MS PGothic" w:hAnsi="MS PGothic"/>
          <w:sz w:val="18"/>
          <w:szCs w:val="18"/>
          <w:color w:val="auto"/>
        </w:rPr>
        <w:t>‑</w:t>
      </w:r>
      <w:r>
        <w:rPr>
          <w:rFonts w:ascii="Arial" w:cs="Arial" w:eastAsia="Arial" w:hAnsi="Arial"/>
          <w:sz w:val="18"/>
          <w:szCs w:val="18"/>
          <w:color w:val="auto"/>
        </w:rPr>
        <w:t>related issues;</w:t>
      </w:r>
    </w:p>
    <w:p>
      <w:pPr>
        <w:spacing w:after="0" w:line="198" w:lineRule="exact"/>
        <w:rPr>
          <w:sz w:val="20"/>
          <w:szCs w:val="20"/>
          <w:color w:val="auto"/>
        </w:rPr>
      </w:pPr>
    </w:p>
    <w:p>
      <w:pPr>
        <w:ind w:left="700" w:right="80" w:hanging="53"/>
        <w:spacing w:after="0" w:line="246" w:lineRule="auto"/>
        <w:rPr>
          <w:sz w:val="20"/>
          <w:szCs w:val="20"/>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sublicensing of patent and other rights under our collaborative development relationships;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210" w:lineRule="exact"/>
        <w:rPr>
          <w:sz w:val="20"/>
          <w:szCs w:val="20"/>
          <w:color w:val="auto"/>
        </w:rPr>
      </w:pPr>
    </w:p>
    <w:p>
      <w:pPr>
        <w:ind w:left="700" w:right="240" w:hanging="53"/>
        <w:spacing w:after="0" w:line="210" w:lineRule="exact"/>
        <w:rPr>
          <w:sz w:val="20"/>
          <w:szCs w:val="20"/>
          <w:color w:val="auto"/>
        </w:rPr>
      </w:pPr>
      <w:r>
        <w:rPr>
          <w:rFonts w:ascii="Arial" w:cs="Arial" w:eastAsia="Arial" w:hAnsi="Arial"/>
          <w:sz w:val="18"/>
          <w:szCs w:val="18"/>
          <w:color w:val="auto"/>
        </w:rPr>
        <w:t>·the inventorship or ownership of inventions and know</w:t>
      </w:r>
      <w:r>
        <w:rPr>
          <w:rFonts w:ascii="MS PGothic" w:cs="MS PGothic" w:eastAsia="MS PGothic" w:hAnsi="MS PGothic"/>
          <w:sz w:val="18"/>
          <w:szCs w:val="18"/>
          <w:color w:val="auto"/>
        </w:rPr>
        <w:t>‑</w:t>
      </w:r>
      <w:r>
        <w:rPr>
          <w:rFonts w:ascii="Arial" w:cs="Arial" w:eastAsia="Arial" w:hAnsi="Arial"/>
          <w:sz w:val="18"/>
          <w:szCs w:val="18"/>
          <w:color w:val="auto"/>
        </w:rPr>
        <w:t>how resulting from the joint creation or use of intellectual property by our licensors and us and our partners;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priority of invention of patented technology.</w:t>
      </w:r>
    </w:p>
    <w:p>
      <w:pPr>
        <w:spacing w:after="0" w:line="198" w:lineRule="exact"/>
        <w:rPr>
          <w:sz w:val="20"/>
          <w:szCs w:val="20"/>
          <w:color w:val="auto"/>
        </w:rPr>
      </w:pPr>
    </w:p>
    <w:p>
      <w:pPr>
        <w:jc w:val="both"/>
        <w:ind w:right="420" w:firstLine="648"/>
        <w:spacing w:after="0" w:line="22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3"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If we fail to comply with our obligations under these license agreements, or we are subject to a bankruptcy, the licensor may have the right to terminate the license, in which event we would not be able to market products covered by the license.</w:t>
      </w:r>
    </w:p>
    <w:p>
      <w:pPr>
        <w:spacing w:after="0" w:line="163"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Furthermore, the research resulting in certain of our licensed patent rights and technology was funded by the U.S. government. As a result, the government may have certain rights, or march</w:t>
      </w:r>
      <w:r>
        <w:rPr>
          <w:rFonts w:ascii="MS PGothic" w:cs="MS PGothic" w:eastAsia="MS PGothic" w:hAnsi="MS PGothic"/>
          <w:sz w:val="16"/>
          <w:szCs w:val="16"/>
          <w:color w:val="auto"/>
        </w:rPr>
        <w:t>‑</w:t>
      </w:r>
      <w:r>
        <w:rPr>
          <w:rFonts w:ascii="Arial" w:cs="Arial" w:eastAsia="Arial" w:hAnsi="Arial"/>
          <w:sz w:val="16"/>
          <w:szCs w:val="16"/>
          <w:color w:val="auto"/>
        </w:rPr>
        <w:t>in rights, to such patent rights and technology. When new technologies are developed with government funding, the government generally obtains certain rights in any resulting patents, including a non</w:t>
      </w:r>
      <w:r>
        <w:rPr>
          <w:rFonts w:ascii="MS PGothic" w:cs="MS PGothic" w:eastAsia="MS PGothic" w:hAnsi="MS PGothic"/>
          <w:sz w:val="16"/>
          <w:szCs w:val="16"/>
          <w:color w:val="auto"/>
        </w:rPr>
        <w:t>‑</w:t>
      </w:r>
      <w:r>
        <w:rPr>
          <w:rFonts w:ascii="Arial" w:cs="Arial" w:eastAsia="Arial" w:hAnsi="Arial"/>
          <w:sz w:val="16"/>
          <w:szCs w:val="16"/>
          <w:color w:val="auto"/>
        </w:rPr>
        <w:t>exclusive license authorizing the government to use the invention for non</w:t>
      </w:r>
      <w:r>
        <w:rPr>
          <w:rFonts w:ascii="MS PGothic" w:cs="MS PGothic" w:eastAsia="MS PGothic" w:hAnsi="MS PGothic"/>
          <w:sz w:val="16"/>
          <w:szCs w:val="16"/>
          <w:color w:val="auto"/>
        </w:rPr>
        <w:t>‑</w:t>
      </w:r>
      <w:r>
        <w:rPr>
          <w:rFonts w:ascii="Arial" w:cs="Arial" w:eastAsia="Arial" w:hAnsi="Arial"/>
          <w:sz w:val="16"/>
          <w:szCs w:val="16"/>
          <w:color w:val="auto"/>
        </w:rPr>
        <w:t>commercial purposes. These rights may permit the government to disclose our confidential information to third parties and to exercise march</w:t>
      </w:r>
      <w:r>
        <w:rPr>
          <w:rFonts w:ascii="MS PGothic" w:cs="MS PGothic" w:eastAsia="MS PGothic" w:hAnsi="MS PGothic"/>
          <w:sz w:val="16"/>
          <w:szCs w:val="16"/>
          <w:color w:val="auto"/>
        </w:rPr>
        <w:t>‑</w:t>
      </w:r>
      <w:r>
        <w:rPr>
          <w:rFonts w:ascii="Arial" w:cs="Arial" w:eastAsia="Arial" w:hAnsi="Arial"/>
          <w:sz w:val="16"/>
          <w:szCs w:val="16"/>
          <w:color w:val="auto"/>
        </w:rPr>
        <w:t>in rights to use or allow third parties to use our licensed technology. The government can exercise its march</w:t>
      </w:r>
      <w:r>
        <w:rPr>
          <w:rFonts w:ascii="MS PGothic" w:cs="MS PGothic" w:eastAsia="MS PGothic" w:hAnsi="MS PGothic"/>
          <w:sz w:val="16"/>
          <w:szCs w:val="16"/>
          <w:color w:val="auto"/>
        </w:rPr>
        <w:t>‑</w:t>
      </w:r>
      <w:r>
        <w:rPr>
          <w:rFonts w:ascii="Arial" w:cs="Arial" w:eastAsia="Arial" w:hAnsi="Arial"/>
          <w:sz w:val="16"/>
          <w:szCs w:val="16"/>
          <w:color w:val="auto"/>
        </w:rPr>
        <w:t>in rights if it determines that action is necessary because we fail to achieve practical application of the government</w:t>
      </w:r>
      <w:r>
        <w:rPr>
          <w:rFonts w:ascii="MS PGothic" w:cs="MS PGothic" w:eastAsia="MS PGothic" w:hAnsi="MS PGothic"/>
          <w:sz w:val="16"/>
          <w:szCs w:val="16"/>
          <w:color w:val="auto"/>
        </w:rPr>
        <w:t>‑</w:t>
      </w:r>
      <w:r>
        <w:rPr>
          <w:rFonts w:ascii="Arial" w:cs="Arial" w:eastAsia="Arial" w:hAnsi="Arial"/>
          <w:sz w:val="16"/>
          <w:szCs w:val="16"/>
          <w:color w:val="auto"/>
        </w:rPr>
        <w: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66" w:lineRule="exact"/>
        <w:rPr>
          <w:sz w:val="20"/>
          <w:szCs w:val="20"/>
          <w:color w:val="auto"/>
        </w:rPr>
      </w:pPr>
    </w:p>
    <w:p>
      <w:pPr>
        <w:jc w:val="both"/>
        <w:ind w:right="200"/>
        <w:spacing w:after="0" w:line="21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commercialize our products and technology may be adversely affected.</w:t>
      </w:r>
    </w:p>
    <w:p>
      <w:pPr>
        <w:spacing w:after="0" w:line="163"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proprietary product candidates and manufacturing technology. Our licensors have sought and we intend to seek to protect our proprietary position by filing patent applications in the United States and abroad related to many of our novel technologies and product candidates that are important to our business.</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patent prosecution process is expensive, time</w:t>
      </w:r>
      <w:r>
        <w:rPr>
          <w:rFonts w:ascii="MS PGothic" w:cs="MS PGothic" w:eastAsia="MS PGothic" w:hAnsi="MS PGothic"/>
          <w:sz w:val="16"/>
          <w:szCs w:val="16"/>
          <w:color w:val="auto"/>
        </w:rPr>
        <w:t>‑</w:t>
      </w:r>
      <w:r>
        <w:rPr>
          <w:rFonts w:ascii="Arial" w:cs="Arial" w:eastAsia="Arial" w:hAnsi="Arial"/>
          <w:sz w:val="16"/>
          <w:szCs w:val="16"/>
          <w:color w:val="auto"/>
        </w:rPr>
        <w:t>consuming and complex, and we may not be able to file, prosecute, maintain, enforce or license all necessary or desirable patent applications at a reasonable cost or in a timely manner. For example, in some cases, the work of certain academic researchers in the gene therapy field has entered the public domain, which may compromise our ability to obtain patent protection for certain inventions related to or building upon such prior work. Consequently, we will not be able to obtain any such patents to prevent others from using our technology for, and developing and marketing competing products to treat, these indications. It is also possible that we will fail to identify patentable aspects of our research and development output before it is too late to obtain patent protection.</w:t>
      </w:r>
    </w:p>
    <w:p>
      <w:pPr>
        <w:spacing w:after="0" w:line="163"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65" w:lineRule="exact"/>
        <w:rPr>
          <w:sz w:val="20"/>
          <w:szCs w:val="20"/>
          <w:color w:val="auto"/>
        </w:rPr>
      </w:pPr>
    </w:p>
    <w:p>
      <w:pPr>
        <w:jc w:val="both"/>
        <w:ind w:right="260" w:firstLine="648"/>
        <w:spacing w:after="0" w:line="194" w:lineRule="exact"/>
        <w:rPr>
          <w:sz w:val="20"/>
          <w:szCs w:val="20"/>
          <w:color w:val="auto"/>
        </w:rPr>
      </w:pPr>
      <w:r>
        <w:rPr>
          <w:rFonts w:ascii="Arial" w:cs="Arial" w:eastAsia="Arial" w:hAnsi="Arial"/>
          <w:sz w:val="16"/>
          <w:szCs w:val="16"/>
          <w:color w:val="auto"/>
        </w:rPr>
        <w:t>We may not be aware of all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potentially relating to our product candidates. Publications of discoveries in the scientific literature often lag the actual discoveries, and patent applications in the United States and other jurisdictions are typically not published until 18 months after filing or, in some cases, not at all.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Therefore, we cannot be certain that we were the first to make the inventions claimed in any owned or any licensed patents or pending patent applications, or that we were the first to file for patent protection of such inventions.</w:t>
      </w:r>
    </w:p>
    <w:p>
      <w:pPr>
        <w:spacing w:after="0" w:line="147"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w:t>
      </w:r>
      <w:r>
        <w:rPr>
          <w:rFonts w:ascii="MS PGothic" w:cs="MS PGothic" w:eastAsia="MS PGothic" w:hAnsi="MS PGothic"/>
          <w:sz w:val="17"/>
          <w:szCs w:val="17"/>
          <w:color w:val="auto"/>
        </w:rPr>
        <w:t>‑</w:t>
      </w:r>
      <w:r>
        <w:rPr>
          <w:rFonts w:ascii="Arial" w:cs="Arial" w:eastAsia="Arial" w:hAnsi="Arial"/>
          <w:sz w:val="17"/>
          <w:szCs w:val="17"/>
          <w:color w:val="auto"/>
        </w:rPr>
        <w:t>infringing manner.</w:t>
      </w:r>
    </w:p>
    <w:p>
      <w:pPr>
        <w:spacing w:after="0" w:line="163"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63"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w:t>
      </w:r>
    </w:p>
    <w:p>
      <w:pPr>
        <w:spacing w:after="0" w:line="159"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i w:val="1"/>
          <w:iCs w:val="1"/>
          <w:color w:val="auto"/>
        </w:rPr>
        <w:t>We may not be successful in obtaining necessary rights to our product candidates through acquisitions and in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licenses.</w:t>
      </w:r>
    </w:p>
    <w:p>
      <w:pPr>
        <w:spacing w:after="0" w:line="219"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We currently have rights to certain intellectual property, through licenses from third parties, to develop our product candidates. Because our programs may require the use of proprietary rights held by third parties, the growth of our business likely will depend, in part, on our ability to acquire, in</w:t>
      </w:r>
      <w:r>
        <w:rPr>
          <w:rFonts w:ascii="MS PGothic" w:cs="MS PGothic" w:eastAsia="MS PGothic" w:hAnsi="MS PGothic"/>
          <w:sz w:val="16"/>
          <w:szCs w:val="16"/>
          <w:color w:val="auto"/>
        </w:rPr>
        <w:t>‑</w:t>
      </w:r>
      <w:r>
        <w:rPr>
          <w:rFonts w:ascii="Arial" w:cs="Arial" w:eastAsia="Arial" w:hAnsi="Arial"/>
          <w:sz w:val="16"/>
          <w:szCs w:val="16"/>
          <w:color w:val="auto"/>
        </w:rPr>
        <w:t>license or use these proprietary rights. We may be unable to acquire or in</w:t>
      </w:r>
      <w:r>
        <w:rPr>
          <w:rFonts w:ascii="MS PGothic" w:cs="MS PGothic" w:eastAsia="MS PGothic" w:hAnsi="MS PGothic"/>
          <w:sz w:val="16"/>
          <w:szCs w:val="16"/>
          <w:color w:val="auto"/>
        </w:rPr>
        <w:t>‑</w:t>
      </w:r>
      <w:r>
        <w:rPr>
          <w:rFonts w:ascii="Arial" w:cs="Arial" w:eastAsia="Arial" w:hAnsi="Arial"/>
          <w:sz w:val="16"/>
          <w:szCs w:val="16"/>
          <w:color w:val="auto"/>
        </w:rPr>
        <w:t>license any compositions, methods of use, processes or other intellectual property rights from third parties that we identify as necessary for our product candidates. The licensing or acquisition of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is a competitive area, and several more established companies may pursue strategies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on terms that would allow us to make an appropriate return on our investment.</w:t>
      </w:r>
    </w:p>
    <w:p>
      <w:pPr>
        <w:spacing w:after="0" w:line="163"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We sometimes collaborate with non</w:t>
      </w:r>
      <w:r>
        <w:rPr>
          <w:rFonts w:ascii="MS PGothic" w:cs="MS PGothic" w:eastAsia="MS PGothic" w:hAnsi="MS PGothic"/>
          <w:sz w:val="18"/>
          <w:szCs w:val="18"/>
          <w:color w:val="auto"/>
        </w:rPr>
        <w:t>‑</w:t>
      </w:r>
      <w:r>
        <w:rPr>
          <w:rFonts w:ascii="Arial" w:cs="Arial" w:eastAsia="Arial" w:hAnsi="Arial"/>
          <w:sz w:val="18"/>
          <w:szCs w:val="18"/>
          <w:color w:val="auto"/>
        </w:rPr>
        <w:t>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If we are unable to successfully obtain rights to required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or maintain the existing intellectual property rights we have,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significantly.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100"/>
        <w:spacing w:after="0" w:line="194" w:lineRule="exact"/>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these requirements.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Periodic maintenance fees, renewal fees, annuity fees and various other government fees on patents and/or</w:t>
      </w:r>
    </w:p>
    <w:p>
      <w:pPr>
        <w:spacing w:after="0" w:line="229" w:lineRule="auto"/>
        <w:rPr>
          <w:sz w:val="20"/>
          <w:szCs w:val="20"/>
          <w:color w:val="auto"/>
        </w:rPr>
      </w:pPr>
      <w:r>
        <w:rPr>
          <w:rFonts w:ascii="Arial" w:cs="Arial" w:eastAsia="Arial" w:hAnsi="Arial"/>
          <w:sz w:val="16"/>
          <w:szCs w:val="16"/>
          <w:color w:val="auto"/>
        </w:rPr>
        <w:t>applications will be due to be paid to the United States Patent and Trademark Office, or USPTO, and various government</w:t>
      </w:r>
    </w:p>
    <w:p>
      <w:pPr>
        <w:spacing w:after="0" w:line="229" w:lineRule="auto"/>
        <w:rPr>
          <w:sz w:val="20"/>
          <w:szCs w:val="20"/>
          <w:color w:val="auto"/>
        </w:rPr>
      </w:pPr>
      <w:r>
        <w:rPr>
          <w:rFonts w:ascii="Arial" w:cs="Arial" w:eastAsia="Arial" w:hAnsi="Arial"/>
          <w:sz w:val="16"/>
          <w:szCs w:val="16"/>
          <w:color w:val="auto"/>
        </w:rPr>
        <w:t>patent agencies outside of the United States over the lifetime of our licensed patents and/or applications and any patent rights</w:t>
      </w:r>
    </w:p>
    <w:p>
      <w:pPr>
        <w:spacing w:after="0" w:line="176" w:lineRule="exact"/>
        <w:rPr>
          <w:sz w:val="20"/>
          <w:szCs w:val="20"/>
          <w:color w:val="auto"/>
        </w:rPr>
      </w:pPr>
      <w:r>
        <w:rPr>
          <w:rFonts w:ascii="Arial" w:cs="Arial" w:eastAsia="Arial" w:hAnsi="Arial"/>
          <w:sz w:val="16"/>
          <w:szCs w:val="16"/>
          <w:color w:val="auto"/>
        </w:rPr>
        <w:t>we may own in the future. We rely on our outside counsel or our licensing partners to pay these fees due to non</w:t>
      </w:r>
      <w:r>
        <w:rPr>
          <w:rFonts w:ascii="MS PGothic" w:cs="MS PGothic" w:eastAsia="MS PGothic" w:hAnsi="MS PGothic"/>
          <w:sz w:val="16"/>
          <w:szCs w:val="16"/>
          <w:color w:val="auto"/>
        </w:rPr>
        <w:t>‑</w:t>
      </w:r>
      <w:r>
        <w:rPr>
          <w:rFonts w:ascii="Arial" w:cs="Arial" w:eastAsia="Arial" w:hAnsi="Arial"/>
          <w:sz w:val="16"/>
          <w:szCs w:val="16"/>
          <w:color w:val="auto"/>
        </w:rPr>
        <w:t>U.S. patent</w:t>
      </w:r>
    </w:p>
    <w:p>
      <w:pPr>
        <w:spacing w:after="0" w:line="176" w:lineRule="exact"/>
        <w:rPr>
          <w:sz w:val="20"/>
          <w:szCs w:val="20"/>
          <w:color w:val="auto"/>
        </w:rPr>
      </w:pPr>
      <w:r>
        <w:rPr>
          <w:rFonts w:ascii="Arial" w:cs="Arial" w:eastAsia="Arial" w:hAnsi="Arial"/>
          <w:sz w:val="17"/>
          <w:szCs w:val="17"/>
          <w:color w:val="auto"/>
        </w:rPr>
        <w:t>agencies. The USPTO and various non</w:t>
      </w:r>
      <w:r>
        <w:rPr>
          <w:rFonts w:ascii="MS PGothic" w:cs="MS PGothic" w:eastAsia="MS PGothic" w:hAnsi="MS PGothic"/>
          <w:sz w:val="17"/>
          <w:szCs w:val="17"/>
          <w:color w:val="auto"/>
        </w:rPr>
        <w:t>‑</w:t>
      </w:r>
      <w:r>
        <w:rPr>
          <w:rFonts w:ascii="Arial" w:cs="Arial" w:eastAsia="Arial" w:hAnsi="Arial"/>
          <w:sz w:val="17"/>
          <w:szCs w:val="17"/>
          <w:color w:val="auto"/>
        </w:rPr>
        <w:t>U.S. government patent agencies require compliance with several procedural,</w:t>
      </w:r>
    </w:p>
    <w:p>
      <w:pPr>
        <w:spacing w:after="0" w:line="229" w:lineRule="auto"/>
        <w:rPr>
          <w:sz w:val="20"/>
          <w:szCs w:val="20"/>
          <w:color w:val="auto"/>
        </w:rPr>
      </w:pPr>
      <w:r>
        <w:rPr>
          <w:rFonts w:ascii="Arial" w:cs="Arial" w:eastAsia="Arial" w:hAnsi="Arial"/>
          <w:sz w:val="16"/>
          <w:szCs w:val="16"/>
          <w:color w:val="auto"/>
        </w:rPr>
        <w:t>documentary, fee payment and other similar provisions during the patent application process. We employ reputable law firms</w:t>
      </w:r>
    </w:p>
    <w:p>
      <w:pPr>
        <w:spacing w:after="0" w:line="229" w:lineRule="auto"/>
        <w:rPr>
          <w:sz w:val="20"/>
          <w:szCs w:val="20"/>
          <w:color w:val="auto"/>
        </w:rPr>
      </w:pPr>
      <w:r>
        <w:rPr>
          <w:rFonts w:ascii="Arial" w:cs="Arial" w:eastAsia="Arial" w:hAnsi="Arial"/>
          <w:sz w:val="16"/>
          <w:szCs w:val="16"/>
          <w:color w:val="auto"/>
        </w:rPr>
        <w:t>and other professionals to help us comply and we are also dependent on our licensors to take the necessary action to comply</w:t>
      </w:r>
    </w:p>
    <w:p>
      <w:pPr>
        <w:spacing w:after="0" w:line="229" w:lineRule="auto"/>
        <w:rPr>
          <w:sz w:val="20"/>
          <w:szCs w:val="20"/>
          <w:color w:val="auto"/>
        </w:rPr>
      </w:pPr>
      <w:r>
        <w:rPr>
          <w:rFonts w:ascii="Arial" w:cs="Arial" w:eastAsia="Arial" w:hAnsi="Arial"/>
          <w:sz w:val="16"/>
          <w:szCs w:val="16"/>
          <w:color w:val="auto"/>
        </w:rPr>
        <w:t>with these requirements with respect to our licensed intellectual property. In many cases, an inadvertent lapse can be cured by</w:t>
      </w:r>
    </w:p>
    <w:p>
      <w:pPr>
        <w:spacing w:after="0" w:line="216" w:lineRule="auto"/>
        <w:rPr>
          <w:sz w:val="20"/>
          <w:szCs w:val="20"/>
          <w:color w:val="auto"/>
        </w:rPr>
      </w:pPr>
      <w:r>
        <w:rPr>
          <w:rFonts w:ascii="Arial" w:cs="Arial" w:eastAsia="Arial" w:hAnsi="Arial"/>
          <w:sz w:val="17"/>
          <w:szCs w:val="17"/>
          <w:color w:val="auto"/>
        </w:rPr>
        <w:t>payment of a late fee or by other means in accordance with the applicable rules. There are situations, however, in which</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compliance can result in abandonment or lapse of the patent or patent application, resulting in partial or complete loss of</w:t>
      </w:r>
    </w:p>
    <w:p>
      <w:pPr>
        <w:spacing w:after="0" w:line="229" w:lineRule="auto"/>
        <w:rPr>
          <w:sz w:val="20"/>
          <w:szCs w:val="20"/>
          <w:color w:val="auto"/>
        </w:rPr>
      </w:pPr>
      <w:r>
        <w:rPr>
          <w:rFonts w:ascii="Arial" w:cs="Arial" w:eastAsia="Arial" w:hAnsi="Arial"/>
          <w:sz w:val="16"/>
          <w:szCs w:val="16"/>
          <w:color w:val="auto"/>
        </w:rPr>
        <w:t>patent rights in the relevant jurisdiction. In such an event, potential competitors might be able to enter the market and this</w:t>
      </w:r>
    </w:p>
    <w:p>
      <w:pPr>
        <w:spacing w:after="0"/>
        <w:rPr>
          <w:sz w:val="20"/>
          <w:szCs w:val="20"/>
          <w:color w:val="auto"/>
        </w:rPr>
      </w:pPr>
      <w:r>
        <w:rPr>
          <w:rFonts w:ascii="Arial" w:cs="Arial" w:eastAsia="Arial" w:hAnsi="Arial"/>
          <w:sz w:val="18"/>
          <w:szCs w:val="18"/>
          <w:color w:val="auto"/>
        </w:rPr>
        <w:t>circumstance could harm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5" w:lineRule="exact"/>
        <w:rPr>
          <w:sz w:val="20"/>
          <w:szCs w:val="20"/>
          <w:color w:val="auto"/>
        </w:rPr>
      </w:pPr>
    </w:p>
    <w:p>
      <w:pPr>
        <w:ind w:right="12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4"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62"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If one of our licensing partners or we initiate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w:t>
      </w:r>
      <w:r>
        <w:rPr>
          <w:rFonts w:ascii="MS PGothic" w:cs="MS PGothic" w:eastAsia="MS PGothic" w:hAnsi="MS PGothic"/>
          <w:sz w:val="17"/>
          <w:szCs w:val="17"/>
          <w:color w:val="auto"/>
        </w:rPr>
        <w:t>‑</w:t>
      </w:r>
      <w:r>
        <w:rPr>
          <w:rFonts w:ascii="Arial" w:cs="Arial" w:eastAsia="Arial" w:hAnsi="Arial"/>
          <w:sz w:val="17"/>
          <w:szCs w:val="17"/>
          <w:color w:val="auto"/>
        </w:rPr>
        <w:t>enablement. Grounds for an unenforceability assertion could be an allegation that someone connected with prosecution of the patent withheld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181" w:lineRule="exact"/>
        <w:rPr>
          <w:sz w:val="20"/>
          <w:szCs w:val="20"/>
          <w:color w:val="auto"/>
        </w:rPr>
      </w:pPr>
      <w:r>
        <w:rPr>
          <w:rFonts w:ascii="Arial" w:cs="Arial" w:eastAsia="Arial" w:hAnsi="Arial"/>
          <w:sz w:val="16"/>
          <w:szCs w:val="16"/>
          <w:color w:val="auto"/>
        </w:rPr>
        <w:t>information material to patentability from the USPTO, or made a misleading statement, during prosecution. Third parties also may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 xml:space="preserv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harm our business.</w:t>
      </w:r>
    </w:p>
    <w:p>
      <w:pPr>
        <w:spacing w:after="0" w:line="168"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w:t>
      </w:r>
      <w:r>
        <w:rPr>
          <w:rFonts w:ascii="MS PGothic" w:cs="MS PGothic" w:eastAsia="MS PGothic" w:hAnsi="MS PGothic"/>
          <w:sz w:val="16"/>
          <w:szCs w:val="16"/>
          <w:color w:val="auto"/>
        </w:rPr>
        <w:t>‑</w:t>
      </w:r>
      <w:r>
        <w:rPr>
          <w:rFonts w:ascii="Arial" w:cs="Arial" w:eastAsia="Arial" w:hAnsi="Arial"/>
          <w:sz w:val="16"/>
          <w:szCs w:val="16"/>
          <w:color w:val="auto"/>
        </w:rPr>
        <w:t>how that is not patentable or that we elect not to patent, processes for which patents are difficult to enforce and any other elements of our product candidate discovery and development processes that involve proprietary know</w:t>
      </w:r>
      <w:r>
        <w:rPr>
          <w:rFonts w:ascii="MS PGothic" w:cs="MS PGothic" w:eastAsia="MS PGothic" w:hAnsi="MS PGothic"/>
          <w:sz w:val="16"/>
          <w:szCs w:val="16"/>
          <w:color w:val="auto"/>
        </w:rPr>
        <w:t>‑</w:t>
      </w:r>
      <w:r>
        <w:rPr>
          <w:rFonts w:ascii="Arial" w:cs="Arial" w:eastAsia="Arial" w:hAnsi="Arial"/>
          <w:sz w:val="16"/>
          <w:szCs w:val="16"/>
          <w:color w:val="auto"/>
        </w:rPr>
        <w:t>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7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commercial success depends upon our ability and the ability of our collaborators to develop, manufacture,</w:t>
      </w:r>
    </w:p>
    <w:p>
      <w:pPr>
        <w:spacing w:after="0" w:line="215" w:lineRule="auto"/>
        <w:rPr>
          <w:sz w:val="20"/>
          <w:szCs w:val="20"/>
          <w:color w:val="auto"/>
        </w:rPr>
      </w:pPr>
      <w:r>
        <w:rPr>
          <w:rFonts w:ascii="Arial" w:cs="Arial" w:eastAsia="Arial" w:hAnsi="Arial"/>
          <w:sz w:val="17"/>
          <w:szCs w:val="17"/>
          <w:color w:val="auto"/>
        </w:rPr>
        <w:t>market and sell our product candidates and use our proprietary technologies without infringing the proprietary rights and</w:t>
      </w:r>
    </w:p>
    <w:p>
      <w:pPr>
        <w:spacing w:after="0" w:line="229" w:lineRule="auto"/>
        <w:rPr>
          <w:sz w:val="20"/>
          <w:szCs w:val="20"/>
          <w:color w:val="auto"/>
        </w:rPr>
      </w:pPr>
      <w:r>
        <w:rPr>
          <w:rFonts w:ascii="Arial" w:cs="Arial" w:eastAsia="Arial" w:hAnsi="Arial"/>
          <w:sz w:val="16"/>
          <w:szCs w:val="16"/>
          <w:color w:val="auto"/>
        </w:rPr>
        <w:t>intellectual property of third parties. The biotechnology and pharmaceutical industries are characterized by extensive and</w:t>
      </w:r>
    </w:p>
    <w:p>
      <w:pPr>
        <w:spacing w:after="0" w:line="216" w:lineRule="auto"/>
        <w:rPr>
          <w:sz w:val="20"/>
          <w:szCs w:val="20"/>
          <w:color w:val="auto"/>
        </w:rPr>
      </w:pPr>
      <w:r>
        <w:rPr>
          <w:rFonts w:ascii="Arial" w:cs="Arial" w:eastAsia="Arial" w:hAnsi="Arial"/>
          <w:sz w:val="17"/>
          <w:szCs w:val="17"/>
          <w:color w:val="auto"/>
        </w:rPr>
        <w:t>complex litigation regarding patents and other intellectual property rights. We may in the future become party to, or be</w:t>
      </w:r>
    </w:p>
    <w:p>
      <w:pPr>
        <w:spacing w:after="0" w:line="215" w:lineRule="auto"/>
        <w:rPr>
          <w:sz w:val="20"/>
          <w:szCs w:val="20"/>
          <w:color w:val="auto"/>
        </w:rPr>
      </w:pPr>
      <w:r>
        <w:rPr>
          <w:rFonts w:ascii="Arial" w:cs="Arial" w:eastAsia="Arial" w:hAnsi="Arial"/>
          <w:sz w:val="17"/>
          <w:szCs w:val="17"/>
          <w:color w:val="auto"/>
        </w:rPr>
        <w:t>threatened with, adversarial proceedings or litigation regarding intellectual property rights with respect to our product</w:t>
      </w:r>
    </w:p>
    <w:p>
      <w:pPr>
        <w:spacing w:after="0" w:line="229" w:lineRule="auto"/>
        <w:rPr>
          <w:sz w:val="20"/>
          <w:szCs w:val="20"/>
          <w:color w:val="auto"/>
        </w:rPr>
      </w:pPr>
      <w:r>
        <w:rPr>
          <w:rFonts w:ascii="Arial" w:cs="Arial" w:eastAsia="Arial" w:hAnsi="Arial"/>
          <w:sz w:val="16"/>
          <w:szCs w:val="16"/>
          <w:color w:val="auto"/>
        </w:rPr>
        <w:t xml:space="preserve">candidates and technology, including interference proceedings, post 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before the USPTO.</w:t>
      </w:r>
    </w:p>
    <w:p>
      <w:pPr>
        <w:spacing w:after="0" w:line="229"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w:t>
      </w:r>
    </w:p>
    <w:p>
      <w:pPr>
        <w:spacing w:after="0" w:line="229" w:lineRule="auto"/>
        <w:rPr>
          <w:sz w:val="20"/>
          <w:szCs w:val="20"/>
          <w:color w:val="auto"/>
        </w:rPr>
      </w:pPr>
      <w:r>
        <w:rPr>
          <w:rFonts w:ascii="Arial" w:cs="Arial" w:eastAsia="Arial" w:hAnsi="Arial"/>
          <w:sz w:val="16"/>
          <w:szCs w:val="16"/>
          <w:color w:val="auto"/>
        </w:rPr>
        <w:t>regardless of their merit. There is a risk that third parties may choose to engage in litigation with us to enforce or to otherwise</w:t>
      </w:r>
    </w:p>
    <w:p>
      <w:pPr>
        <w:spacing w:after="0" w:line="229" w:lineRule="auto"/>
        <w:rPr>
          <w:sz w:val="20"/>
          <w:szCs w:val="20"/>
          <w:color w:val="auto"/>
        </w:rPr>
      </w:pPr>
      <w:r>
        <w:rPr>
          <w:rFonts w:ascii="Arial" w:cs="Arial" w:eastAsia="Arial" w:hAnsi="Arial"/>
          <w:sz w:val="16"/>
          <w:szCs w:val="16"/>
          <w:color w:val="auto"/>
        </w:rPr>
        <w:t>assert their patent rights against us. Even if we believe such claims are without merit, a court of competent jurisdiction could</w:t>
      </w:r>
    </w:p>
    <w:p>
      <w:pPr>
        <w:spacing w:after="0" w:line="176" w:lineRule="exact"/>
        <w:rPr>
          <w:sz w:val="20"/>
          <w:szCs w:val="20"/>
          <w:color w:val="auto"/>
        </w:rPr>
      </w:pPr>
      <w:r>
        <w:rPr>
          <w:rFonts w:ascii="Arial" w:cs="Arial" w:eastAsia="Arial" w:hAnsi="Arial"/>
          <w:sz w:val="18"/>
          <w:szCs w:val="18"/>
          <w:color w:val="auto"/>
        </w:rPr>
        <w:t>hold that these third</w:t>
      </w:r>
      <w:r>
        <w:rPr>
          <w:rFonts w:ascii="MS PGothic" w:cs="MS PGothic" w:eastAsia="MS PGothic" w:hAnsi="MS PGothic"/>
          <w:sz w:val="18"/>
          <w:szCs w:val="18"/>
          <w:color w:val="auto"/>
        </w:rPr>
        <w:t>‑</w:t>
      </w:r>
      <w:r>
        <w:rPr>
          <w:rFonts w:ascii="Arial" w:cs="Arial" w:eastAsia="Arial" w:hAnsi="Arial"/>
          <w:sz w:val="18"/>
          <w:szCs w:val="18"/>
          <w:color w:val="auto"/>
        </w:rPr>
        <w:t>party patents are valid, enforceable and infringed, which could adversely affect our ability to</w:t>
      </w:r>
    </w:p>
    <w:p>
      <w:pPr>
        <w:spacing w:after="0" w:line="215" w:lineRule="auto"/>
        <w:rPr>
          <w:sz w:val="20"/>
          <w:szCs w:val="20"/>
          <w:color w:val="auto"/>
        </w:rPr>
      </w:pPr>
      <w:r>
        <w:rPr>
          <w:rFonts w:ascii="Arial" w:cs="Arial" w:eastAsia="Arial" w:hAnsi="Arial"/>
          <w:sz w:val="17"/>
          <w:szCs w:val="17"/>
          <w:color w:val="auto"/>
        </w:rPr>
        <w:t>commercialize our product candidates or any other of our product candidates or technologies covered by the asserted</w:t>
      </w:r>
    </w:p>
    <w:p>
      <w:pPr>
        <w:spacing w:after="0" w:line="176"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patents. In order to successfully challenge the validity of any such U.S. patent in federal court, we would need to</w:t>
      </w:r>
    </w:p>
    <w:p>
      <w:pPr>
        <w:spacing w:after="0" w:line="229" w:lineRule="auto"/>
        <w:rPr>
          <w:sz w:val="20"/>
          <w:szCs w:val="20"/>
          <w:color w:val="auto"/>
        </w:rPr>
      </w:pPr>
      <w:r>
        <w:rPr>
          <w:rFonts w:ascii="Arial" w:cs="Arial" w:eastAsia="Arial" w:hAnsi="Arial"/>
          <w:sz w:val="16"/>
          <w:szCs w:val="16"/>
          <w:color w:val="auto"/>
        </w:rPr>
        <w:t>overcome a presumption of validity. As this burden is a high one requiring us to present clear and convincing evidence as to</w:t>
      </w:r>
    </w:p>
    <w:p>
      <w:pPr>
        <w:spacing w:after="0" w:line="229" w:lineRule="auto"/>
        <w:rPr>
          <w:sz w:val="20"/>
          <w:szCs w:val="20"/>
          <w:color w:val="auto"/>
        </w:rPr>
      </w:pPr>
      <w:r>
        <w:rPr>
          <w:rFonts w:ascii="Arial" w:cs="Arial" w:eastAsia="Arial" w:hAnsi="Arial"/>
          <w:sz w:val="16"/>
          <w:szCs w:val="16"/>
          <w:color w:val="auto"/>
        </w:rPr>
        <w:t>the invalidity of any such U.S. patent claim, there is no assurance that a court of competent jurisdiction would invalidate the</w:t>
      </w:r>
    </w:p>
    <w:p>
      <w:pPr>
        <w:spacing w:after="0" w:line="230" w:lineRule="auto"/>
        <w:rPr>
          <w:sz w:val="20"/>
          <w:szCs w:val="20"/>
          <w:color w:val="auto"/>
        </w:rPr>
      </w:pPr>
      <w:r>
        <w:rPr>
          <w:rFonts w:ascii="Arial" w:cs="Arial" w:eastAsia="Arial" w:hAnsi="Arial"/>
          <w:sz w:val="16"/>
          <w:szCs w:val="16"/>
          <w:color w:val="auto"/>
        </w:rPr>
        <w:t>claims of any such U.S. patent. If we are found to infringe a third party’s valid and enforceable intellectual property rights,</w:t>
      </w:r>
    </w:p>
    <w:p>
      <w:pPr>
        <w:spacing w:after="0" w:line="215" w:lineRule="auto"/>
        <w:rPr>
          <w:sz w:val="20"/>
          <w:szCs w:val="20"/>
          <w:color w:val="auto"/>
        </w:rPr>
      </w:pPr>
      <w:r>
        <w:rPr>
          <w:rFonts w:ascii="Arial" w:cs="Arial" w:eastAsia="Arial" w:hAnsi="Arial"/>
          <w:sz w:val="17"/>
          <w:szCs w:val="17"/>
          <w:color w:val="auto"/>
        </w:rPr>
        <w:t>we could be required to obtain a license from such third party to continue developing, manufacturing and marketing our</w:t>
      </w:r>
    </w:p>
    <w:p>
      <w:pPr>
        <w:spacing w:after="0" w:line="229" w:lineRule="auto"/>
        <w:rPr>
          <w:sz w:val="20"/>
          <w:szCs w:val="20"/>
          <w:color w:val="auto"/>
        </w:rPr>
      </w:pPr>
      <w:r>
        <w:rPr>
          <w:rFonts w:ascii="Arial" w:cs="Arial" w:eastAsia="Arial" w:hAnsi="Arial"/>
          <w:sz w:val="16"/>
          <w:szCs w:val="16"/>
          <w:color w:val="auto"/>
        </w:rPr>
        <w:t>product candidates and technology. However, we may not be able to obtain any required license on commercially reasonable</w:t>
      </w:r>
    </w:p>
    <w:p>
      <w:pPr>
        <w:spacing w:after="0" w:line="176" w:lineRule="exact"/>
        <w:rPr>
          <w:sz w:val="20"/>
          <w:szCs w:val="20"/>
          <w:color w:val="auto"/>
        </w:rPr>
      </w:pPr>
      <w:r>
        <w:rPr>
          <w:rFonts w:ascii="Arial" w:cs="Arial" w:eastAsia="Arial" w:hAnsi="Arial"/>
          <w:sz w:val="16"/>
          <w:szCs w:val="16"/>
          <w:color w:val="auto"/>
        </w:rPr>
        <w:t>terms or at all. Even if we were able to obtain a license, it could be 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and other</w:t>
      </w:r>
    </w:p>
    <w:p>
      <w:pPr>
        <w:spacing w:after="0" w:line="229" w:lineRule="auto"/>
        <w:rPr>
          <w:sz w:val="20"/>
          <w:szCs w:val="20"/>
          <w:color w:val="auto"/>
        </w:rPr>
      </w:pPr>
      <w:r>
        <w:rPr>
          <w:rFonts w:ascii="Arial" w:cs="Arial" w:eastAsia="Arial" w:hAnsi="Arial"/>
          <w:sz w:val="16"/>
          <w:szCs w:val="16"/>
          <w:color w:val="auto"/>
        </w:rPr>
        <w:t>third parties access to the same technologies licensed to us, and it could require us to make substantial licensing and royalty</w:t>
      </w:r>
    </w:p>
    <w:p>
      <w:pPr>
        <w:spacing w:after="0" w:line="216" w:lineRule="auto"/>
        <w:rPr>
          <w:sz w:val="20"/>
          <w:szCs w:val="20"/>
          <w:color w:val="auto"/>
        </w:rPr>
      </w:pPr>
      <w:r>
        <w:rPr>
          <w:rFonts w:ascii="Arial" w:cs="Arial" w:eastAsia="Arial" w:hAnsi="Arial"/>
          <w:sz w:val="17"/>
          <w:szCs w:val="17"/>
          <w:color w:val="auto"/>
        </w:rPr>
        <w:t>payments. We could be forced, including by court order, to cease developing, manufacturing and commercializing the</w:t>
      </w:r>
    </w:p>
    <w:p>
      <w:pPr>
        <w:spacing w:after="0" w:line="215" w:lineRule="auto"/>
        <w:rPr>
          <w:sz w:val="20"/>
          <w:szCs w:val="20"/>
          <w:color w:val="auto"/>
        </w:rPr>
      </w:pPr>
      <w:r>
        <w:rPr>
          <w:rFonts w:ascii="Arial" w:cs="Arial" w:eastAsia="Arial" w:hAnsi="Arial"/>
          <w:sz w:val="17"/>
          <w:szCs w:val="17"/>
          <w:color w:val="auto"/>
        </w:rPr>
        <w:t>infringing technology or product candidates. In addition, we could be found liable for monetary damages, including treble</w:t>
      </w:r>
    </w:p>
    <w:p>
      <w:pPr>
        <w:spacing w:after="0" w:line="229" w:lineRule="auto"/>
        <w:rPr>
          <w:sz w:val="20"/>
          <w:szCs w:val="20"/>
          <w:color w:val="auto"/>
        </w:rPr>
      </w:pPr>
      <w:r>
        <w:rPr>
          <w:rFonts w:ascii="Arial" w:cs="Arial" w:eastAsia="Arial" w:hAnsi="Arial"/>
          <w:sz w:val="16"/>
          <w:szCs w:val="16"/>
          <w:color w:val="auto"/>
        </w:rPr>
        <w:t>damages and attorneys’ fees, if we are found to have willfully infringed a patent or other intellectual property right. A finding</w:t>
      </w:r>
    </w:p>
    <w:p>
      <w:pPr>
        <w:spacing w:after="0" w:line="229" w:lineRule="auto"/>
        <w:rPr>
          <w:sz w:val="20"/>
          <w:szCs w:val="20"/>
          <w:color w:val="auto"/>
        </w:rPr>
      </w:pPr>
      <w:r>
        <w:rPr>
          <w:rFonts w:ascii="Arial" w:cs="Arial" w:eastAsia="Arial" w:hAnsi="Arial"/>
          <w:sz w:val="16"/>
          <w:szCs w:val="16"/>
          <w:color w:val="auto"/>
        </w:rPr>
        <w:t>of infringement could prevent us from manufacturing and commercializing our product candidates or force us to cease some</w:t>
      </w:r>
    </w:p>
    <w:p>
      <w:pPr>
        <w:spacing w:after="0" w:line="229" w:lineRule="auto"/>
        <w:rPr>
          <w:sz w:val="20"/>
          <w:szCs w:val="20"/>
          <w:color w:val="auto"/>
        </w:rPr>
      </w:pPr>
      <w:r>
        <w:rPr>
          <w:rFonts w:ascii="Arial" w:cs="Arial" w:eastAsia="Arial" w:hAnsi="Arial"/>
          <w:sz w:val="16"/>
          <w:szCs w:val="16"/>
          <w:color w:val="auto"/>
        </w:rPr>
        <w:t>of our business operations, which could harm our business. Claims that we have misappropriated the confidential information</w:t>
      </w:r>
    </w:p>
    <w:p>
      <w:pPr>
        <w:spacing w:after="0" w:line="229" w:lineRule="auto"/>
        <w:rPr>
          <w:sz w:val="20"/>
          <w:szCs w:val="20"/>
          <w:color w:val="auto"/>
        </w:rPr>
      </w:pPr>
      <w:r>
        <w:rPr>
          <w:rFonts w:ascii="Arial" w:cs="Arial" w:eastAsia="Arial" w:hAnsi="Arial"/>
          <w:sz w:val="16"/>
          <w:szCs w:val="16"/>
          <w:color w:val="auto"/>
        </w:rPr>
        <w:t>or trade secrets of third parties could have a similar negative impact on our business, financial condition,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prospects.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To counter infringement or unauthorized use claims or to defend against claims of infringement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69"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3"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w:t>
      </w:r>
      <w:r>
        <w:rPr>
          <w:rFonts w:ascii="MS PGothic" w:cs="MS PGothic" w:eastAsia="MS PGothic" w:hAnsi="MS PGothic"/>
          <w:sz w:val="17"/>
          <w:szCs w:val="17"/>
          <w:color w:val="auto"/>
        </w:rPr>
        <w:t>‑</w:t>
      </w:r>
      <w:r>
        <w:rPr>
          <w:rFonts w:ascii="Arial" w:cs="Arial" w:eastAsia="Arial" w:hAnsi="Arial"/>
          <w:sz w:val="17"/>
          <w:szCs w:val="17"/>
          <w:color w:val="auto"/>
        </w:rPr>
        <w:t>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8"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the assignment agreements may be breached, and we may be forced to bring claims against third parties, or defend claims that they may bring against us, to determine the ownership of what we regard as our intellectual property.</w:t>
      </w:r>
    </w:p>
    <w:p>
      <w:pPr>
        <w:spacing w:after="0" w:line="16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Recent patent reform legislation could increase the uncertainties and costs surrounding the prosecution of patent applications and the enforcement or defense of issued patents. On September 16, 2011,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the Leahy</w:t>
      </w:r>
      <w:r>
        <w:rPr>
          <w:rFonts w:ascii="MS PGothic" w:cs="MS PGothic" w:eastAsia="MS PGothic" w:hAnsi="MS PGothic"/>
          <w:sz w:val="17"/>
          <w:szCs w:val="17"/>
          <w:color w:val="auto"/>
        </w:rPr>
        <w:t>‑</w:t>
      </w:r>
      <w:r>
        <w:rPr>
          <w:rFonts w:ascii="Arial" w:cs="Arial" w:eastAsia="Arial" w:hAnsi="Arial"/>
          <w:sz w:val="17"/>
          <w:szCs w:val="17"/>
          <w:color w:val="auto"/>
        </w:rPr>
        <w:t>Smith Act, was signed into law.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several significant changes to U.S. patent law. These include provisions that affect the way patent applications are prosecuted and also may affect patent litigation. These also include provisions that switched the United States from a “first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invent” system to a “first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file” system, allow third</w:t>
      </w:r>
      <w:r>
        <w:rPr>
          <w:rFonts w:ascii="MS PGothic" w:cs="MS PGothic" w:eastAsia="MS PGothic" w:hAnsi="MS PGothic"/>
          <w:sz w:val="17"/>
          <w:szCs w:val="17"/>
          <w:color w:val="auto"/>
        </w:rPr>
        <w:t>‑</w:t>
      </w:r>
      <w:r>
        <w:rPr>
          <w:rFonts w:ascii="Arial" w:cs="Arial" w:eastAsia="Arial" w:hAnsi="Arial"/>
          <w:sz w:val="17"/>
          <w:szCs w:val="17"/>
          <w:color w:val="auto"/>
        </w:rPr>
        <w:t>party submission of prior art to the USPTO during patent prosecution and set forth additional procedures to attack the validity of a patent by the USPTO administered post grant proceedings. Under a first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w:t>
      </w:r>
      <w:r>
        <w:rPr>
          <w:rFonts w:ascii="MS PGothic" w:cs="MS PGothic" w:eastAsia="MS PGothic" w:hAnsi="MS PGothic"/>
          <w:sz w:val="17"/>
          <w:szCs w:val="17"/>
          <w:color w:val="auto"/>
        </w:rPr>
        <w:t>‑</w:t>
      </w:r>
      <w:r>
        <w:rPr>
          <w:rFonts w:ascii="Arial" w:cs="Arial" w:eastAsia="Arial" w:hAnsi="Arial"/>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Arial" w:cs="Arial" w:eastAsia="Arial" w:hAnsi="Arial"/>
          <w:sz w:val="17"/>
          <w:szCs w:val="17"/>
          <w:color w:val="auto"/>
        </w:rPr>
        <w:t>Smith Act, and in particular, the first to file provisions, only became effective on March 16, 2013. Accordingly, it is not clear what, if any, impact the Leahy</w:t>
      </w:r>
      <w:r>
        <w:rPr>
          <w:rFonts w:ascii="MS PGothic" w:cs="MS PGothic" w:eastAsia="MS PGothic" w:hAnsi="MS PGothic"/>
          <w:sz w:val="17"/>
          <w:szCs w:val="17"/>
          <w:color w:val="auto"/>
        </w:rPr>
        <w:t>‑</w:t>
      </w:r>
      <w:r>
        <w:rPr>
          <w:rFonts w:ascii="Arial" w:cs="Arial" w:eastAsia="Arial" w:hAnsi="Arial"/>
          <w:sz w:val="17"/>
          <w:szCs w:val="17"/>
          <w:color w:val="auto"/>
        </w:rPr>
        <w:t>Smith Act will have on the operation of our business. However, the Leahy</w:t>
      </w:r>
      <w:r>
        <w:rPr>
          <w:rFonts w:ascii="MS PGothic" w:cs="MS PGothic" w:eastAsia="MS PGothic" w:hAnsi="MS PGothic"/>
          <w:sz w:val="17"/>
          <w:szCs w:val="17"/>
          <w:color w:val="auto"/>
        </w:rPr>
        <w:t>‑</w:t>
      </w:r>
      <w:r>
        <w:rPr>
          <w:rFonts w:ascii="Arial" w:cs="Arial" w:eastAsia="Arial" w:hAnsi="Arial"/>
          <w:sz w:val="17"/>
          <w:szCs w:val="17"/>
          <w:color w:val="auto"/>
        </w:rPr>
        <w:t>Smith Act and its implementation could increase the uncertainties and costs surrounding the prosecution of our patent applications and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enforcement or defense of our issued patents, all of which could harm our business, financial condition, results of operations and prospects.</w:t>
      </w:r>
    </w:p>
    <w:p>
      <w:pPr>
        <w:spacing w:after="0" w:line="162"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w:t>
      </w:r>
      <w:r>
        <w:rPr>
          <w:rFonts w:ascii="MS PGothic" w:cs="MS PGothic" w:eastAsia="MS PGothic" w:hAnsi="MS PGothic"/>
          <w:sz w:val="16"/>
          <w:szCs w:val="16"/>
          <w:color w:val="auto"/>
        </w:rPr>
        <w:t>‑</w:t>
      </w:r>
      <w:r>
        <w:rPr>
          <w:rFonts w:ascii="Arial" w:cs="Arial" w:eastAsia="Arial" w:hAnsi="Arial"/>
          <w:sz w:val="16"/>
          <w:szCs w:val="16"/>
          <w:color w:val="auto"/>
        </w:rPr>
        <w:t>understood, routine or conventional activity such as “administering” or “determining” steps was not enough to transform an otherwise patent</w:t>
      </w:r>
      <w:r>
        <w:rPr>
          <w:rFonts w:ascii="MS PGothic" w:cs="MS PGothic" w:eastAsia="MS PGothic" w:hAnsi="MS PGothic"/>
          <w:sz w:val="16"/>
          <w:szCs w:val="16"/>
          <w:color w:val="auto"/>
        </w:rPr>
        <w:t>‑</w:t>
      </w:r>
      <w:r>
        <w:rPr>
          <w:rFonts w:ascii="Arial" w:cs="Arial" w:eastAsia="Arial" w:hAnsi="Arial"/>
          <w:sz w:val="16"/>
          <w:szCs w:val="16"/>
          <w:color w:val="auto"/>
        </w:rPr>
        <w:t>ineligible natural phenomenon into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 eligible subject matter, but that complementary DNA, which is an artificial construct that may be created from RNA transcripts of genes, may be patent eligible.</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On March 4, 2014, the USPTO issued a guidance memorandum to patent examiners 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63"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We cannot assure you that our efforts to seek patent protection for our technology and products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and technologies in the future. These decisions, the guidance issued by the USPTO and rulings in other cases or changes in USPTO guidance or procedures could have an adverse effect on our existing patent portfolio and our ability to protect and enforce our intellectual property in the future.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Moreover, although the Supreme Court has held in Myriad that isolated segments of naturally occurring DNA are</w:t>
      </w:r>
    </w:p>
    <w:p>
      <w:pPr>
        <w:spacing w:after="0" w:line="183" w:lineRule="exact"/>
        <w:rPr>
          <w:sz w:val="20"/>
          <w:szCs w:val="20"/>
          <w:color w:val="auto"/>
        </w:rPr>
      </w:pPr>
      <w:r>
        <w:rPr>
          <w:rFonts w:ascii="Arial" w:cs="Arial" w:eastAsia="Arial" w:hAnsi="Arial"/>
          <w:sz w:val="17"/>
          <w:szCs w:val="17"/>
          <w:color w:val="auto"/>
        </w:rPr>
        <w:t>not patent</w:t>
      </w:r>
      <w:r>
        <w:rPr>
          <w:rFonts w:ascii="MS PGothic" w:cs="MS PGothic" w:eastAsia="MS PGothic" w:hAnsi="MS PGothic"/>
          <w:sz w:val="17"/>
          <w:szCs w:val="17"/>
          <w:color w:val="auto"/>
        </w:rPr>
        <w:t>‑</w:t>
      </w:r>
      <w:r>
        <w:rPr>
          <w:rFonts w:ascii="Arial" w:cs="Arial" w:eastAsia="Arial" w:hAnsi="Arial"/>
          <w:sz w:val="17"/>
          <w:szCs w:val="17"/>
          <w:color w:val="auto"/>
        </w:rPr>
        <w:t>eligible subject matter, certain third parties could allege that activities that we may undertake infringe other</w:t>
      </w:r>
    </w:p>
    <w:p>
      <w:pPr>
        <w:spacing w:after="0" w:line="176" w:lineRule="exact"/>
        <w:rPr>
          <w:sz w:val="20"/>
          <w:szCs w:val="20"/>
          <w:color w:val="auto"/>
        </w:rPr>
      </w:pPr>
      <w:r>
        <w:rPr>
          <w:rFonts w:ascii="Arial" w:cs="Arial" w:eastAsia="Arial" w:hAnsi="Arial"/>
          <w:sz w:val="18"/>
          <w:szCs w:val="18"/>
          <w:color w:val="auto"/>
        </w:rPr>
        <w:t>gene</w:t>
      </w:r>
      <w:r>
        <w:rPr>
          <w:rFonts w:ascii="MS PGothic" w:cs="MS PGothic" w:eastAsia="MS PGothic" w:hAnsi="MS PGothic"/>
          <w:sz w:val="18"/>
          <w:szCs w:val="18"/>
          <w:color w:val="auto"/>
        </w:rPr>
        <w:t>‑</w:t>
      </w:r>
      <w:r>
        <w:rPr>
          <w:rFonts w:ascii="Arial" w:cs="Arial" w:eastAsia="Arial" w:hAnsi="Arial"/>
          <w:sz w:val="18"/>
          <w:szCs w:val="18"/>
          <w:color w:val="auto"/>
        </w:rPr>
        <w:t>related patent claims, and we may deem it necessary to defend ourselves against these claims by asserting</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infringement and/or invalidity positions, or paying to obtain a license to these claims. In any of the foregoing or in other</w:t>
      </w:r>
    </w:p>
    <w:p>
      <w:pPr>
        <w:spacing w:after="0" w:line="176" w:lineRule="exact"/>
        <w:rPr>
          <w:sz w:val="20"/>
          <w:szCs w:val="20"/>
          <w:color w:val="auto"/>
        </w:rPr>
      </w:pPr>
      <w:r>
        <w:rPr>
          <w:rFonts w:ascii="Arial" w:cs="Arial" w:eastAsia="Arial" w:hAnsi="Arial"/>
          <w:sz w:val="17"/>
          <w:szCs w:val="17"/>
          <w:color w:val="auto"/>
        </w:rPr>
        <w:t>situations involving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if we are unsuccessful in defending against claims of patent</w:t>
      </w:r>
    </w:p>
    <w:p>
      <w:pPr>
        <w:spacing w:after="0" w:line="230" w:lineRule="auto"/>
        <w:rPr>
          <w:sz w:val="20"/>
          <w:szCs w:val="20"/>
          <w:color w:val="auto"/>
        </w:rPr>
      </w:pPr>
      <w:r>
        <w:rPr>
          <w:rFonts w:ascii="Arial" w:cs="Arial" w:eastAsia="Arial" w:hAnsi="Arial"/>
          <w:sz w:val="16"/>
          <w:szCs w:val="16"/>
          <w:color w:val="auto"/>
        </w:rPr>
        <w:t>infringement, we could be forced to pay damages or be subjected to an injunction that would prevent us from utilizing the</w:t>
      </w:r>
    </w:p>
    <w:p>
      <w:pPr>
        <w:spacing w:after="0"/>
        <w:rPr>
          <w:sz w:val="20"/>
          <w:szCs w:val="20"/>
          <w:color w:val="auto"/>
        </w:rPr>
      </w:pPr>
      <w:r>
        <w:rPr>
          <w:rFonts w:ascii="Arial" w:cs="Arial" w:eastAsia="Arial" w:hAnsi="Arial"/>
          <w:sz w:val="17"/>
          <w:szCs w:val="17"/>
          <w:color w:val="auto"/>
        </w:rPr>
        <w:t>patented subject matter. Such outcomes could harm our business, financial condition, results of operations or prospects.</w:t>
      </w:r>
    </w:p>
    <w:p>
      <w:pPr>
        <w:spacing w:after="0" w:line="180"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Outside the United States, other courts have also begun to address the patenting of genetic material. In August 2015, the Australian High Court ruled that isolated genes cannot be patented in Australia. The decision did not address methods of using genetic material. Any ruling of a similar scope in other countries could affect the scope of our intellectual property rights.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our product candidates, our business may be harmed.</w:t>
      </w:r>
    </w:p>
    <w:p>
      <w:pPr>
        <w:spacing w:after="0" w:line="219"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of our U.S. patents may be eligible for limited patent term extension under the Drug Price Competition and Patent Term Restoration Act of 1984, or Hatch</w:t>
      </w:r>
      <w:r>
        <w:rPr>
          <w:rFonts w:ascii="MS PGothic" w:cs="MS PGothic" w:eastAsia="MS PGothic" w:hAnsi="MS PGothic"/>
          <w:sz w:val="16"/>
          <w:szCs w:val="16"/>
          <w:color w:val="auto"/>
        </w:rPr>
        <w:t>‑</w:t>
      </w:r>
      <w:r>
        <w:rPr>
          <w:rFonts w:ascii="Arial" w:cs="Arial" w:eastAsia="Arial" w:hAnsi="Arial"/>
          <w:sz w:val="16"/>
          <w:szCs w:val="16"/>
          <w:color w:val="auto"/>
        </w:rPr>
        <w:t>Waxman Amendments.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w:t>
      </w:r>
    </w:p>
    <w:p>
      <w:pPr>
        <w:spacing w:after="0" w:line="170"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2"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We have registered trademarks with the USPTO for the mark “Voyager Therapeutics” and the Voyager logo.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44"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36" w:lineRule="exact"/>
        <w:rPr>
          <w:sz w:val="20"/>
          <w:szCs w:val="20"/>
          <w:color w:val="auto"/>
        </w:rPr>
      </w:pPr>
    </w:p>
    <w:p>
      <w:pPr>
        <w:ind w:left="700" w:hanging="53"/>
        <w:spacing w:after="0" w:line="246" w:lineRule="auto"/>
        <w:rPr>
          <w:sz w:val="20"/>
          <w:szCs w:val="20"/>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in the future;</w:t>
      </w:r>
    </w:p>
    <w:p>
      <w:pPr>
        <w:spacing w:after="0" w:line="129" w:lineRule="exact"/>
        <w:rPr>
          <w:sz w:val="20"/>
          <w:szCs w:val="20"/>
          <w:color w:val="auto"/>
        </w:rPr>
      </w:pPr>
    </w:p>
    <w:p>
      <w:pPr>
        <w:ind w:left="700" w:right="220" w:hanging="53"/>
        <w:spacing w:after="0" w:line="307" w:lineRule="auto"/>
        <w:rPr>
          <w:sz w:val="20"/>
          <w:szCs w:val="20"/>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or pending patent application that we license or may own in the future;</w:t>
      </w:r>
    </w:p>
    <w:p>
      <w:pPr>
        <w:spacing w:after="0" w:line="83" w:lineRule="exact"/>
        <w:rPr>
          <w:sz w:val="20"/>
          <w:szCs w:val="20"/>
          <w:color w:val="auto"/>
        </w:rPr>
      </w:pPr>
    </w:p>
    <w:p>
      <w:pPr>
        <w:ind w:left="700" w:right="20" w:hanging="53"/>
        <w:spacing w:after="0" w:line="246" w:lineRule="auto"/>
        <w:rPr>
          <w:sz w:val="20"/>
          <w:szCs w:val="20"/>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29" w:lineRule="exact"/>
        <w:rPr>
          <w:sz w:val="20"/>
          <w:szCs w:val="20"/>
          <w:color w:val="auto"/>
        </w:rPr>
      </w:pPr>
    </w:p>
    <w:p>
      <w:pPr>
        <w:ind w:left="700" w:right="140" w:hanging="53"/>
        <w:spacing w:after="0" w:line="246"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29" w:lineRule="exact"/>
        <w:rPr>
          <w:sz w:val="20"/>
          <w:szCs w:val="20"/>
          <w:color w:val="auto"/>
        </w:rPr>
      </w:pPr>
    </w:p>
    <w:p>
      <w:pPr>
        <w:ind w:left="700" w:right="380" w:hanging="53"/>
        <w:spacing w:after="0" w:line="246" w:lineRule="auto"/>
        <w:rPr>
          <w:sz w:val="20"/>
          <w:szCs w:val="20"/>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700" w:right="120" w:hanging="53"/>
        <w:spacing w:after="0" w:line="246" w:lineRule="auto"/>
        <w:rPr>
          <w:sz w:val="20"/>
          <w:szCs w:val="20"/>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29" w:lineRule="exact"/>
        <w:rPr>
          <w:sz w:val="20"/>
          <w:szCs w:val="20"/>
          <w:color w:val="auto"/>
        </w:rPr>
      </w:pPr>
    </w:p>
    <w:p>
      <w:pPr>
        <w:ind w:left="700" w:right="60" w:hanging="53"/>
        <w:spacing w:after="0" w:line="235" w:lineRule="auto"/>
        <w:rPr>
          <w:sz w:val="20"/>
          <w:szCs w:val="20"/>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5" w:lineRule="exact"/>
        <w:rPr>
          <w:sz w:val="20"/>
          <w:szCs w:val="20"/>
          <w:color w:val="auto"/>
        </w:rPr>
      </w:pPr>
    </w:p>
    <w:p>
      <w:pPr>
        <w:ind w:left="740" w:hanging="89"/>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57" w:lineRule="exact"/>
        <w:rPr>
          <w:rFonts w:ascii="Arial" w:cs="Arial" w:eastAsia="Arial" w:hAnsi="Arial"/>
          <w:sz w:val="18"/>
          <w:szCs w:val="18"/>
          <w:color w:val="auto"/>
        </w:rPr>
      </w:pPr>
    </w:p>
    <w:p>
      <w:pPr>
        <w:ind w:left="740" w:hanging="89"/>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58" w:lineRule="exact"/>
        <w:rPr>
          <w:sz w:val="20"/>
          <w:szCs w:val="20"/>
          <w:color w:val="auto"/>
        </w:rPr>
      </w:pPr>
    </w:p>
    <w:p>
      <w:pPr>
        <w:ind w:left="700" w:right="140" w:hanging="53"/>
        <w:spacing w:after="0" w:line="210" w:lineRule="exact"/>
        <w:rPr>
          <w:sz w:val="20"/>
          <w:szCs w:val="20"/>
          <w:color w:val="auto"/>
        </w:rPr>
      </w:pPr>
      <w:r>
        <w:rPr>
          <w:rFonts w:ascii="Arial" w:cs="Arial" w:eastAsia="Arial" w:hAnsi="Arial"/>
          <w:sz w:val="18"/>
          <w:szCs w:val="18"/>
          <w:color w:val="auto"/>
        </w:rPr>
        <w:t>·we may choose not to file a patent for certain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and a third party may subsequently file a patent covering such intellectual property.</w:t>
      </w:r>
    </w:p>
    <w:p>
      <w:pPr>
        <w:spacing w:after="0" w:line="135" w:lineRule="exact"/>
        <w:rPr>
          <w:sz w:val="20"/>
          <w:szCs w:val="20"/>
          <w:color w:val="auto"/>
        </w:rPr>
      </w:pPr>
    </w:p>
    <w:p>
      <w:pPr>
        <w:ind w:right="700" w:firstLine="648"/>
        <w:spacing w:after="0" w:line="235"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2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3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Because we currently rely on certain third parties to manufacture all or part of our product candidates and to perform quality testing, and because we collaborate with various organizations and academic institutions for the advancement of our product engine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w:t>
      </w:r>
      <w:r>
        <w:rPr>
          <w:rFonts w:ascii="MS PGothic" w:cs="MS PGothic" w:eastAsia="MS PGothic" w:hAnsi="MS PGothic"/>
          <w:sz w:val="16"/>
          <w:szCs w:val="16"/>
          <w:color w:val="auto"/>
        </w:rPr>
        <w:t>‑</w:t>
      </w:r>
      <w:r>
        <w:rPr>
          <w:rFonts w:ascii="Arial" w:cs="Arial" w:eastAsia="Arial" w:hAnsi="Arial"/>
          <w:sz w:val="16"/>
          <w:szCs w:val="16"/>
          <w:color w:val="auto"/>
        </w:rPr>
        <w:t>how and trade secrets, a competitor’s discovery of our proprietary technology and confidential information or other unauthorized use or disclosure would impair our competitive position and may harm our business, financial condition, results of operations and prospects.</w:t>
      </w:r>
    </w:p>
    <w:p>
      <w:pPr>
        <w:spacing w:after="0" w:line="126"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Despite our efforts to protect our trade secrets, our competitors may discover our trade secrets, either through breach of these agreements, independent development or publication of information including our trade secrets by third parties. A competitor’s discovery of our trade secrets would impair our competitive position and have an adverse impact on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you may not be able to resell your shares at or above the price you paid.</w:t>
      </w:r>
    </w:p>
    <w:p>
      <w:pPr>
        <w:spacing w:after="0" w:line="94"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exercise significant influence over our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holdings of our executive officers, directors, principal stockholders and their affiliates, including investment funds affiliated with Third Rock Ventures and Funds affiliated with Fidelity Management Research Company, or Fidelity, represent beneficial ownership, in the aggregate, of approximately 67% of our outstanding common stock as of September 30, 2015.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delaying, deferring or preventing a change of control of us;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·impeding a merger, consolidation, takeover or other business combination involving us; or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5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81"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maintain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85"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63"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6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6"/>
          <w:szCs w:val="16"/>
          <w:color w:val="auto"/>
        </w:rPr>
        <w:t>Our stock price is likely to be volatile. The stock market in general, and the market for biopharmaceutical companies in particular, has experienced extreme volatility that has often been unrelated to the operating performance of particular companies. The market price for our common stock may be influenced by many factors, including: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·regulatory action and results of clinical trials of our product candidates or those of our competitors;</w:t>
      </w:r>
    </w:p>
    <w:p>
      <w:pPr>
        <w:spacing w:after="0" w:line="198" w:lineRule="exact"/>
        <w:rPr>
          <w:sz w:val="20"/>
          <w:szCs w:val="20"/>
          <w:color w:val="auto"/>
        </w:rPr>
      </w:pPr>
    </w:p>
    <w:p>
      <w:pPr>
        <w:ind w:left="760" w:hanging="109"/>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commencement or termination of collaborations;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·developments or disputes concerning patent applications, issued patents or other proprietary rights;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recruitment or departure of key personnel;</w:t>
      </w:r>
    </w:p>
    <w:p>
      <w:pPr>
        <w:spacing w:after="0" w:line="198" w:lineRule="exact"/>
        <w:rPr>
          <w:sz w:val="20"/>
          <w:szCs w:val="20"/>
          <w:color w:val="auto"/>
        </w:rPr>
      </w:pPr>
    </w:p>
    <w:p>
      <w:pPr>
        <w:ind w:left="660" w:right="1340"/>
        <w:spacing w:after="0" w:line="284" w:lineRule="exact"/>
        <w:rPr>
          <w:sz w:val="20"/>
          <w:szCs w:val="20"/>
          <w:color w:val="auto"/>
        </w:rPr>
      </w:pPr>
      <w:r>
        <w:rPr>
          <w:rFonts w:ascii="Arial" w:cs="Arial" w:eastAsia="Arial" w:hAnsi="Arial"/>
          <w:sz w:val="16"/>
          <w:szCs w:val="16"/>
          <w:color w:val="auto"/>
        </w:rPr>
        <w:t>·the level of expenses related to any of our product candidates or clinical development programs; ·the results of our efforts to discover, develop, acquire or in</w:t>
      </w:r>
      <w:r>
        <w:rPr>
          <w:rFonts w:ascii="MS PGothic" w:cs="MS PGothic" w:eastAsia="MS PGothic" w:hAnsi="MS PGothic"/>
          <w:sz w:val="16"/>
          <w:szCs w:val="16"/>
          <w:color w:val="auto"/>
        </w:rPr>
        <w:t>‑</w:t>
      </w:r>
      <w:r>
        <w:rPr>
          <w:rFonts w:ascii="Arial" w:cs="Arial" w:eastAsia="Arial" w:hAnsi="Arial"/>
          <w:sz w:val="16"/>
          <w:szCs w:val="16"/>
          <w:color w:val="auto"/>
        </w:rPr>
        <w:t>license additional product candidates;</w:t>
      </w:r>
    </w:p>
    <w:p>
      <w:pPr>
        <w:spacing w:after="0" w:line="108" w:lineRule="exact"/>
        <w:rPr>
          <w:sz w:val="20"/>
          <w:szCs w:val="20"/>
          <w:color w:val="auto"/>
        </w:rPr>
      </w:pPr>
    </w:p>
    <w:p>
      <w:pPr>
        <w:ind w:left="700" w:right="320" w:hanging="53"/>
        <w:spacing w:after="0" w:line="246" w:lineRule="auto"/>
        <w:rPr>
          <w:sz w:val="20"/>
          <w:szCs w:val="20"/>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·variations in our financial results or those of companies that are perceived to be similar to us;</w:t>
      </w:r>
    </w:p>
    <w:p>
      <w:pPr>
        <w:spacing w:after="0" w:line="131" w:lineRule="exact"/>
        <w:rPr>
          <w:sz w:val="20"/>
          <w:szCs w:val="20"/>
          <w:color w:val="auto"/>
        </w:rPr>
      </w:pPr>
    </w:p>
    <w:p>
      <w:pPr>
        <w:ind w:left="760" w:hanging="109"/>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740" w:hanging="89"/>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760" w:hanging="109"/>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other factors described in the section titled “Risk Factors” and elsewhere in this Quarterly Report.</w:t>
      </w:r>
    </w:p>
    <w:p>
      <w:pPr>
        <w:spacing w:after="0" w:line="131"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95" w:lineRule="exact"/>
        <w:rPr>
          <w:sz w:val="20"/>
          <w:szCs w:val="20"/>
          <w:color w:val="auto"/>
        </w:rPr>
      </w:pPr>
    </w:p>
    <w:p>
      <w:pPr>
        <w:ind w:right="340" w:firstLine="648"/>
        <w:spacing w:after="0" w:line="189" w:lineRule="exact"/>
        <w:rPr>
          <w:sz w:val="20"/>
          <w:szCs w:val="20"/>
          <w:color w:val="auto"/>
        </w:rPr>
      </w:pPr>
      <w:r>
        <w:rPr>
          <w:rFonts w:ascii="Arial" w:cs="Arial" w:eastAsia="Arial" w:hAnsi="Arial"/>
          <w:sz w:val="18"/>
          <w:szCs w:val="18"/>
          <w:color w:val="auto"/>
        </w:rPr>
        <w:t>In the past, following periods of volatility in the market price of a company’s securities, securities class</w:t>
      </w:r>
      <w:r>
        <w:rPr>
          <w:rFonts w:ascii="MS PGothic" w:cs="MS PGothic" w:eastAsia="MS PGothic" w:hAnsi="MS PGothic"/>
          <w:sz w:val="18"/>
          <w:szCs w:val="18"/>
          <w:color w:val="auto"/>
        </w:rPr>
        <w:t>‑</w:t>
      </w:r>
      <w:r>
        <w:rPr>
          <w:rFonts w:ascii="Arial" w:cs="Arial" w:eastAsia="Arial" w:hAnsi="Arial"/>
          <w:sz w:val="18"/>
          <w:szCs w:val="18"/>
          <w:color w:val="auto"/>
        </w:rPr>
        <w:t>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82"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have broad discretion in how we use the proceeds from our IPO and may not use these proceeds effectively, which could affect our results of operations and cause our stock price to decline.</w:t>
      </w:r>
    </w:p>
    <w:p>
      <w:pPr>
        <w:spacing w:after="0" w:line="162"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We will have considerable discretion in the application of the net proceeds from our recently completed IPO. As a result, investors will be relying upon management’s judgment with only limited information about our specific intentions for the use of the balance of the net proceeds from our IPO. We may use the net proceeds for purposes that do not yield a significant return or any return at all for our stockholders. In addition, pending their use, we may invest the net proceeds from this the IPO in a manner that does not produce income or that loses value.</w:t>
      </w:r>
    </w:p>
    <w:p>
      <w:pPr>
        <w:spacing w:after="0" w:line="161"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94"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For so long as we remain an “emerging growth company,” or EGC, as defined in the JOBS Act, we are permitted and intend to rely on exemptions from certain disclosure requirements that are applicable to other public companies that are not EGCs. These exemptions include:</w:t>
      </w:r>
    </w:p>
    <w:p>
      <w:pPr>
        <w:spacing w:after="0" w:line="96" w:lineRule="exact"/>
        <w:rPr>
          <w:sz w:val="20"/>
          <w:szCs w:val="20"/>
          <w:color w:val="auto"/>
        </w:rPr>
      </w:pPr>
    </w:p>
    <w:p>
      <w:pPr>
        <w:ind w:left="700" w:right="60" w:hanging="53"/>
        <w:spacing w:after="0" w:line="210" w:lineRule="exact"/>
        <w:rPr>
          <w:sz w:val="20"/>
          <w:szCs w:val="20"/>
          <w:color w:val="auto"/>
        </w:rPr>
      </w:pPr>
      <w:r>
        <w:rPr>
          <w:rFonts w:ascii="Arial" w:cs="Arial" w:eastAsia="Arial" w:hAnsi="Arial"/>
          <w:sz w:val="18"/>
          <w:szCs w:val="18"/>
          <w:color w:val="auto"/>
        </w:rPr>
        <w:t>·not being required to comply with the auditor attestation requirements of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w:t>
      </w:r>
    </w:p>
    <w:p>
      <w:pPr>
        <w:spacing w:after="0" w:line="175" w:lineRule="exact"/>
        <w:rPr>
          <w:sz w:val="20"/>
          <w:szCs w:val="20"/>
          <w:color w:val="auto"/>
        </w:rPr>
      </w:pPr>
    </w:p>
    <w:p>
      <w:pPr>
        <w:ind w:left="700" w:right="560" w:hanging="53"/>
        <w:spacing w:after="0" w:line="235" w:lineRule="auto"/>
        <w:rPr>
          <w:sz w:val="20"/>
          <w:szCs w:val="20"/>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reduced disclosure obligations regarding executive compensation; and</w:t>
      </w:r>
    </w:p>
    <w:p>
      <w:pPr>
        <w:spacing w:after="0" w:line="198" w:lineRule="exact"/>
        <w:rPr>
          <w:sz w:val="20"/>
          <w:szCs w:val="20"/>
          <w:color w:val="auto"/>
        </w:rPr>
      </w:pPr>
    </w:p>
    <w:p>
      <w:pPr>
        <w:ind w:left="700" w:right="780" w:hanging="53"/>
        <w:spacing w:after="0" w:line="275" w:lineRule="auto"/>
        <w:rPr>
          <w:sz w:val="20"/>
          <w:szCs w:val="20"/>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46" w:lineRule="exact"/>
        <w:rPr>
          <w:sz w:val="20"/>
          <w:szCs w:val="20"/>
          <w:color w:val="auto"/>
        </w:rPr>
      </w:pPr>
    </w:p>
    <w:p>
      <w:pPr>
        <w:ind w:right="140" w:firstLine="648"/>
        <w:spacing w:after="0" w:line="184" w:lineRule="exact"/>
        <w:rPr>
          <w:sz w:val="20"/>
          <w:szCs w:val="20"/>
          <w:color w:val="auto"/>
        </w:rPr>
      </w:pPr>
      <w:r>
        <w:rPr>
          <w:rFonts w:ascii="Arial" w:cs="Arial" w:eastAsia="Arial" w:hAnsi="Arial"/>
          <w:sz w:val="17"/>
          <w:szCs w:val="17"/>
          <w:color w:val="auto"/>
        </w:rPr>
        <w:t>We may take advantages of these exemptions until we are no longer an EGC. We would cease to be an EGC upon the earlier of: (i) the last day of the fiscal year in which we have total annual gross revenues of $1.0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Securities and Exchange Commission or SEC, which means the first day of the year following the first year in which the market value of our common stock that is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$700 million as of June 30th.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6"/>
          <w:szCs w:val="16"/>
          <w:color w:val="auto"/>
        </w:rPr>
        <w:t>We may choose to take advantage of some, but not all, of the available exemptions. In particular, we have not included all of the executive compensation information that would be required if we were not an EGC. We cannot predict whether investors will find our common stock less attractive if we rely on certain or all of these exemptions.</w:t>
      </w:r>
    </w:p>
    <w:p>
      <w:pPr>
        <w:spacing w:after="0" w:line="147"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 If some investors find our common stock less attractive as a result, there may be a less active trading market for our common stock and our stock price may be more volatile and may decline.</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As a public company, and particularly after we are no longer an EGC, we will incur significant legal, accounting and other expenses that we did not incur as a private company. In addition,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and rules subsequently implemented by the SEC and The NASDAQ Stock Market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 For example, we expect that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0" w:lineRule="exact"/>
        <w:rPr>
          <w:sz w:val="20"/>
          <w:szCs w:val="20"/>
          <w:color w:val="auto"/>
        </w:rPr>
      </w:pPr>
    </w:p>
    <w:p>
      <w:pPr>
        <w:ind w:right="680"/>
        <w:spacing w:after="0" w:line="22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current management by making it more difficult for stockholders to replace members of our board of directors. Among other things, these provisions: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limit the manner in which stockholders can remove directors from the board;</w:t>
      </w:r>
    </w:p>
    <w:p>
      <w:pPr>
        <w:spacing w:after="0" w:line="198" w:lineRule="exact"/>
        <w:rPr>
          <w:sz w:val="20"/>
          <w:szCs w:val="20"/>
          <w:color w:val="auto"/>
        </w:rPr>
      </w:pPr>
    </w:p>
    <w:p>
      <w:pPr>
        <w:ind w:left="700" w:right="200" w:hanging="53"/>
        <w:spacing w:after="0" w:line="246" w:lineRule="auto"/>
        <w:rPr>
          <w:sz w:val="20"/>
          <w:szCs w:val="20"/>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0" w:lineRule="exact"/>
        <w:rPr>
          <w:sz w:val="20"/>
          <w:szCs w:val="20"/>
          <w:color w:val="auto"/>
        </w:rPr>
      </w:pPr>
    </w:p>
    <w:p>
      <w:pPr>
        <w:ind w:left="700" w:right="200" w:hanging="53"/>
        <w:spacing w:after="0" w:line="246" w:lineRule="auto"/>
        <w:rPr>
          <w:sz w:val="20"/>
          <w:szCs w:val="20"/>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limit who may call stockholder meetings;</w:t>
      </w:r>
    </w:p>
    <w:p>
      <w:pPr>
        <w:spacing w:after="0" w:line="198" w:lineRule="exact"/>
        <w:rPr>
          <w:sz w:val="20"/>
          <w:szCs w:val="20"/>
          <w:color w:val="auto"/>
        </w:rPr>
      </w:pPr>
    </w:p>
    <w:p>
      <w:pPr>
        <w:ind w:left="700" w:right="20" w:hanging="53"/>
        <w:spacing w:after="0" w:line="200" w:lineRule="exact"/>
        <w:rPr>
          <w:sz w:val="20"/>
          <w:szCs w:val="20"/>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w:t>
      </w:r>
      <w:r>
        <w:rPr>
          <w:rFonts w:ascii="MS PGothic" w:cs="MS PGothic" w:eastAsia="MS PGothic" w:hAnsi="MS PGothic"/>
          <w:sz w:val="18"/>
          <w:szCs w:val="18"/>
          <w:color w:val="auto"/>
        </w:rPr>
        <w:t>‑</w:t>
      </w:r>
      <w:r>
        <w:rPr>
          <w:rFonts w:ascii="Arial" w:cs="Arial" w:eastAsia="Arial" w:hAnsi="Arial"/>
          <w:sz w:val="18"/>
          <w:szCs w:val="18"/>
          <w:color w:val="auto"/>
        </w:rPr>
        <w:t>called “poison pill,” that would work to dilute the stock ownership of a potential hostile acquirer, effectively preventing acquisitions that have not been approved by our board of directors; and</w:t>
      </w:r>
    </w:p>
    <w:p>
      <w:pPr>
        <w:spacing w:after="0" w:line="175" w:lineRule="exact"/>
        <w:rPr>
          <w:sz w:val="20"/>
          <w:szCs w:val="20"/>
          <w:color w:val="auto"/>
        </w:rPr>
      </w:pPr>
    </w:p>
    <w:p>
      <w:pPr>
        <w:ind w:left="700" w:right="80" w:hanging="53"/>
        <w:spacing w:after="0" w:line="275" w:lineRule="auto"/>
        <w:rPr>
          <w:sz w:val="20"/>
          <w:szCs w:val="20"/>
          <w:color w:val="auto"/>
        </w:rPr>
      </w:pPr>
      <w:r>
        <w:rPr>
          <w:rFonts w:ascii="Arial" w:cs="Arial" w:eastAsia="Arial" w:hAnsi="Arial"/>
          <w:sz w:val="17"/>
          <w:szCs w:val="17"/>
          <w:color w:val="auto"/>
        </w:rPr>
        <w:t>·require the approval of the holders of at least 75% of the votes that all our stockholders would be entitled to cast to amend or repeal certain provisions of our amended and restated certificate of incorporation or bylaws.</w:t>
      </w:r>
    </w:p>
    <w:p>
      <w:pPr>
        <w:spacing w:after="0" w:line="146"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5"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of our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Any person purchasing or otherwise acquiring any interest in any shares of our capital stock shall be deemed to have notice of and to have consented to this provision of our amended and restated certificate of incorporation. This choice of forum provision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59"/>
        <w:spacing w:after="0" w:line="232" w:lineRule="auto"/>
        <w:rPr>
          <w:sz w:val="20"/>
          <w:szCs w:val="20"/>
          <w:color w:val="auto"/>
        </w:rPr>
      </w:pPr>
      <w:r>
        <w:rPr>
          <w:rFonts w:ascii="Arial" w:cs="Arial" w:eastAsia="Arial" w:hAnsi="Arial"/>
          <w:sz w:val="17"/>
          <w:szCs w:val="17"/>
          <w:color w:val="auto"/>
        </w:rPr>
        <w:t>the action, and such judgments or results may be more favorable to us than to our stockholders. Alternatively, if a court were to find this provision of our amended and restated certificate of incorporation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163" w:lineRule="exact"/>
        <w:rPr>
          <w:sz w:val="20"/>
          <w:szCs w:val="20"/>
          <w:color w:val="auto"/>
        </w:rPr>
      </w:pPr>
    </w:p>
    <w:p>
      <w:pPr>
        <w:ind w:right="939"/>
        <w:spacing w:after="0" w:line="23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62" w:lineRule="exact"/>
        <w:rPr>
          <w:sz w:val="20"/>
          <w:szCs w:val="20"/>
          <w:color w:val="auto"/>
        </w:rPr>
      </w:pPr>
    </w:p>
    <w:p>
      <w:pPr>
        <w:ind w:right="79" w:firstLine="648"/>
        <w:spacing w:after="0" w:line="21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5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85" w:lineRule="exact"/>
        <w:rPr>
          <w:sz w:val="20"/>
          <w:szCs w:val="20"/>
          <w:color w:val="auto"/>
        </w:rPr>
      </w:pPr>
    </w:p>
    <w:p>
      <w:pPr>
        <w:ind w:right="179" w:firstLine="648"/>
        <w:spacing w:after="0" w:line="224" w:lineRule="auto"/>
        <w:rPr>
          <w:sz w:val="20"/>
          <w:szCs w:val="20"/>
          <w:color w:val="auto"/>
        </w:rPr>
      </w:pPr>
      <w:r>
        <w:rPr>
          <w:rFonts w:ascii="Arial" w:cs="Arial" w:eastAsia="Arial" w:hAnsi="Arial"/>
          <w:sz w:val="18"/>
          <w:szCs w:val="18"/>
          <w:color w:val="auto"/>
        </w:rPr>
        <w:t>During the nine months ended September 30, 2015, we granted stock options to purchase an aggregate of 854,696 shares of our common stock, with exercise prices ranging from $7.27 to $8.33 per share, to our employees, directors and consultants pursuant to our 2014 Stock Incentive Plan.</w:t>
      </w:r>
    </w:p>
    <w:p>
      <w:pPr>
        <w:spacing w:after="0" w:line="163" w:lineRule="exact"/>
        <w:rPr>
          <w:sz w:val="20"/>
          <w:szCs w:val="20"/>
          <w:color w:val="auto"/>
        </w:rPr>
      </w:pPr>
    </w:p>
    <w:p>
      <w:pPr>
        <w:ind w:right="19" w:firstLine="648"/>
        <w:spacing w:after="0" w:line="229" w:lineRule="auto"/>
        <w:rPr>
          <w:sz w:val="20"/>
          <w:szCs w:val="20"/>
          <w:color w:val="auto"/>
        </w:rPr>
      </w:pPr>
      <w:r>
        <w:rPr>
          <w:rFonts w:ascii="Arial" w:cs="Arial" w:eastAsia="Arial" w:hAnsi="Arial"/>
          <w:sz w:val="17"/>
          <w:szCs w:val="17"/>
          <w:color w:val="auto"/>
        </w:rPr>
        <w:t>We deemed the grants of stock options described above as exempt pursuant to Section 4(a)(2) of the Securities Act or to be exempt from registration under the Securities Act in reliance on Rule 701 of the Securities Act as offers and sales of securities under compensatory benefit plans and contracts relating to compensation in compliance with Rule 701. Each of the recipients of securities in any transaction exempt from registration had either received or had adequate access, through employment, business or other relationships, to information about us.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underwriters were used in the foregoing transactions.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144" w:lineRule="exact"/>
        <w:rPr>
          <w:sz w:val="20"/>
          <w:szCs w:val="20"/>
          <w:color w:val="auto"/>
        </w:rPr>
      </w:pPr>
    </w:p>
    <w:p>
      <w:pPr>
        <w:ind w:right="19" w:firstLine="648"/>
        <w:spacing w:after="0" w:line="244" w:lineRule="auto"/>
        <w:rPr>
          <w:sz w:val="20"/>
          <w:szCs w:val="20"/>
          <w:color w:val="auto"/>
        </w:rPr>
      </w:pPr>
      <w:r>
        <w:rPr>
          <w:rFonts w:ascii="Arial" w:cs="Arial" w:eastAsia="Arial" w:hAnsi="Arial"/>
          <w:sz w:val="16"/>
          <w:szCs w:val="16"/>
          <w:color w:val="auto"/>
        </w:rPr>
        <w:t>On November 16, 2015 we closed our IPO whereby we sold 5,750,000 shares of common stock, at a public offering price of $14.00 per share, including 750,000 shares of common stock issued upon the full exercise by the underwriters of their option to purchase additional shares, resulting in net proceeds to the Company of $72.7 million after deducting underwriting discounts and commissions and estimated offering expenses payable by the Company. The underwriters were Cowen and Company, LLC, Piper Jaffray &amp; Co., Wedbush Securities Inc. and Nomura Securities International, Inc.</w:t>
      </w:r>
    </w:p>
    <w:p>
      <w:pPr>
        <w:spacing w:after="0" w:line="132" w:lineRule="exact"/>
        <w:rPr>
          <w:sz w:val="20"/>
          <w:szCs w:val="20"/>
          <w:color w:val="auto"/>
        </w:rPr>
      </w:pPr>
    </w:p>
    <w:p>
      <w:pPr>
        <w:ind w:right="19" w:firstLine="648"/>
        <w:spacing w:after="0" w:line="226" w:lineRule="auto"/>
        <w:rPr>
          <w:sz w:val="20"/>
          <w:szCs w:val="20"/>
          <w:color w:val="auto"/>
        </w:rPr>
      </w:pPr>
      <w:r>
        <w:rPr>
          <w:rFonts w:ascii="Arial" w:cs="Arial" w:eastAsia="Arial" w:hAnsi="Arial"/>
          <w:sz w:val="17"/>
          <w:szCs w:val="17"/>
          <w:color w:val="auto"/>
        </w:rPr>
        <w:t>We raised approximately $72.7 million in net proceeds after deducting underwriting discounts and commissions and estimated offering expenses payable by us. None of these expenses consisted of direct or indirect payments made by us to directors, officers or persons owning 10% or more of our common stock or to their associates, or to our affiliates. There has been no material change in the planned use of proceeds from our initial public offering as described in our final prospectus filed with the SEC on November 12, 2015 pursuant to Rule 424(b)(4). We invested the funds received in cash equivalents and other short-term investments in accordance with our investment policy.</w:t>
      </w:r>
    </w:p>
    <w:p>
      <w:pPr>
        <w:spacing w:after="0" w:line="1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7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7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31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exhibits filed or furnished as part of this Quarterly Report are set forth on the Exhibit Index, which is incorporated herein by reference.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7"/>
              </w:rPr>
              <w:t>Incorporated by Reference to:</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Form or</w:t>
            </w: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11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Filing</w:t>
            </w: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SEC File</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1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vMerge w:val="restart"/>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Date with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41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w:t>
            </w:r>
          </w:p>
        </w:tc>
        <w:tc>
          <w:tcPr>
            <w:tcW w:w="180" w:type="dxa"/>
            <w:vAlign w:val="bottom"/>
          </w:tcPr>
          <w:p>
            <w:pPr>
              <w:spacing w:after="0"/>
              <w:rPr>
                <w:sz w:val="14"/>
                <w:szCs w:val="14"/>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344"/>
        </w:trPr>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Amended and Restated Certificate of Incorporation of</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1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001-37625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the Registrant.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of the Registrant.</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1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001-37625</w:t>
            </w: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w w:val="98"/>
              </w:rPr>
              <w:t>Specimen Common Stock Certificate of the Registrant.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Exchange Act Rules 13a-14 or 15d-14.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Exchange Act Rules 13a-14 or 15d-14.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87"/>
              </w:rPr>
              <w:t>32.1+</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and Principal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448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Chief Officer pursuant to Exchange Act Rules 13a-</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14(b) or 15d-14(b) and 18 U.S.C. Section 1350.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Document.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w w:val="96"/>
              </w:rPr>
              <w:t>XBRL Taxonomy Extension Labels Linkbase Document.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408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4" w:lineRule="exact"/>
        <w:rPr>
          <w:sz w:val="20"/>
          <w:szCs w:val="20"/>
          <w:color w:val="auto"/>
        </w:rPr>
      </w:pPr>
    </w:p>
    <w:p>
      <w:pPr>
        <w:ind w:right="160" w:firstLine="3"/>
        <w:spacing w:after="0" w:line="224" w:lineRule="auto"/>
        <w:tabs>
          <w:tab w:leader="none" w:pos="148"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color w:val="auto"/>
              </w:rPr>
              <w:t>Date: December 17, 2015</w:t>
            </w:r>
          </w:p>
        </w:tc>
        <w:tc>
          <w:tcPr>
            <w:tcW w:w="5800" w:type="dxa"/>
            <w:vAlign w:val="bottom"/>
            <w:gridSpan w:val="2"/>
          </w:tcPr>
          <w:p>
            <w:pPr>
              <w:ind w:left="1420"/>
              <w:spacing w:after="0"/>
              <w:rPr>
                <w:sz w:val="20"/>
                <w:szCs w:val="20"/>
                <w:color w:val="auto"/>
              </w:rPr>
            </w:pPr>
            <w:r>
              <w:rPr>
                <w:rFonts w:ascii="Arial" w:cs="Arial" w:eastAsia="Arial" w:hAnsi="Arial"/>
                <w:sz w:val="18"/>
                <w:szCs w:val="18"/>
                <w:b w:val="1"/>
                <w:bCs w:val="1"/>
                <w:color w:val="auto"/>
              </w:rPr>
              <w:t>VOYAGER THERAPEUTICS</w:t>
            </w:r>
          </w:p>
        </w:tc>
      </w:tr>
      <w:tr>
        <w:trPr>
          <w:trHeight w:val="486"/>
        </w:trPr>
        <w:tc>
          <w:tcPr>
            <w:tcW w:w="3260" w:type="dxa"/>
            <w:vAlign w:val="bottom"/>
          </w:tcPr>
          <w:p>
            <w:pPr>
              <w:spacing w:after="0"/>
              <w:rPr>
                <w:sz w:val="24"/>
                <w:szCs w:val="24"/>
                <w:color w:val="auto"/>
              </w:rPr>
            </w:pPr>
          </w:p>
        </w:tc>
        <w:tc>
          <w:tcPr>
            <w:tcW w:w="1680" w:type="dxa"/>
            <w:vAlign w:val="bottom"/>
          </w:tcPr>
          <w:p>
            <w:pPr>
              <w:ind w:left="1420"/>
              <w:spacing w:after="0"/>
              <w:rPr>
                <w:sz w:val="20"/>
                <w:szCs w:val="20"/>
                <w:color w:val="auto"/>
              </w:rPr>
            </w:pPr>
            <w:r>
              <w:rPr>
                <w:rFonts w:ascii="Arial" w:cs="Arial" w:eastAsia="Arial" w:hAnsi="Arial"/>
                <w:sz w:val="18"/>
                <w:szCs w:val="18"/>
                <w:color w:val="auto"/>
                <w:w w:val="92"/>
              </w:rPr>
              <w:t>By:</w:t>
            </w:r>
          </w:p>
        </w:tc>
        <w:tc>
          <w:tcPr>
            <w:tcW w:w="4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Steven M. Paul, M.D.</w:t>
            </w:r>
          </w:p>
        </w:tc>
      </w:tr>
      <w:tr>
        <w:trPr>
          <w:trHeight w:val="222"/>
        </w:trPr>
        <w:tc>
          <w:tcPr>
            <w:tcW w:w="3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120" w:type="dxa"/>
            <w:vAlign w:val="bottom"/>
          </w:tcPr>
          <w:p>
            <w:pPr>
              <w:ind w:left="280"/>
              <w:spacing w:after="0"/>
              <w:rPr>
                <w:sz w:val="20"/>
                <w:szCs w:val="20"/>
                <w:color w:val="auto"/>
              </w:rPr>
            </w:pPr>
            <w:r>
              <w:rPr>
                <w:rFonts w:ascii="Arial" w:cs="Arial" w:eastAsia="Arial" w:hAnsi="Arial"/>
                <w:sz w:val="18"/>
                <w:szCs w:val="18"/>
                <w:color w:val="auto"/>
              </w:rPr>
              <w:t>Steven M. Paul, M.D.</w:t>
            </w:r>
          </w:p>
        </w:tc>
      </w:tr>
      <w:tr>
        <w:trPr>
          <w:trHeight w:val="230"/>
        </w:trPr>
        <w:tc>
          <w:tcPr>
            <w:tcW w:w="3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120" w:type="dxa"/>
            <w:vAlign w:val="bottom"/>
          </w:tcPr>
          <w:p>
            <w:pPr>
              <w:ind w:left="280"/>
              <w:spacing w:after="0"/>
              <w:rPr>
                <w:sz w:val="20"/>
                <w:szCs w:val="20"/>
                <w:color w:val="auto"/>
              </w:rPr>
            </w:pPr>
            <w:r>
              <w:rPr>
                <w:rFonts w:ascii="Arial" w:cs="Arial" w:eastAsia="Arial" w:hAnsi="Arial"/>
                <w:sz w:val="18"/>
                <w:szCs w:val="18"/>
                <w:color w:val="auto"/>
              </w:rPr>
              <w:t>President and Chief Executive Officer; Director</w:t>
            </w:r>
          </w:p>
        </w:tc>
      </w:tr>
      <w:tr>
        <w:trPr>
          <w:trHeight w:val="230"/>
        </w:trPr>
        <w:tc>
          <w:tcPr>
            <w:tcW w:w="3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20" w:type="dxa"/>
            <w:vAlign w:val="bottom"/>
          </w:tcPr>
          <w:p>
            <w:pPr>
              <w:ind w:left="280"/>
              <w:spacing w:after="0"/>
              <w:rPr>
                <w:sz w:val="20"/>
                <w:szCs w:val="20"/>
                <w:color w:val="auto"/>
              </w:rPr>
            </w:pPr>
            <w:r>
              <w:rPr>
                <w:rFonts w:ascii="Arial" w:cs="Arial" w:eastAsia="Arial" w:hAnsi="Arial"/>
                <w:sz w:val="18"/>
                <w:szCs w:val="18"/>
                <w:color w:val="auto"/>
              </w:rPr>
              <w:t>(Principal Executive Officer)</w:t>
            </w:r>
          </w:p>
        </w:tc>
      </w:tr>
      <w:tr>
        <w:trPr>
          <w:trHeight w:val="500"/>
        </w:trPr>
        <w:tc>
          <w:tcPr>
            <w:tcW w:w="3260" w:type="dxa"/>
            <w:vAlign w:val="bottom"/>
          </w:tcPr>
          <w:p>
            <w:pPr>
              <w:spacing w:after="0"/>
              <w:rPr>
                <w:sz w:val="24"/>
                <w:szCs w:val="24"/>
                <w:color w:val="auto"/>
              </w:rPr>
            </w:pPr>
          </w:p>
        </w:tc>
        <w:tc>
          <w:tcPr>
            <w:tcW w:w="1680" w:type="dxa"/>
            <w:vAlign w:val="bottom"/>
          </w:tcPr>
          <w:p>
            <w:pPr>
              <w:ind w:left="1420"/>
              <w:spacing w:after="0"/>
              <w:rPr>
                <w:sz w:val="20"/>
                <w:szCs w:val="20"/>
                <w:color w:val="auto"/>
              </w:rPr>
            </w:pPr>
            <w:r>
              <w:rPr>
                <w:rFonts w:ascii="Arial" w:cs="Arial" w:eastAsia="Arial" w:hAnsi="Arial"/>
                <w:sz w:val="18"/>
                <w:szCs w:val="18"/>
                <w:color w:val="auto"/>
                <w:w w:val="92"/>
              </w:rPr>
              <w:t>By:</w:t>
            </w:r>
          </w:p>
        </w:tc>
        <w:tc>
          <w:tcPr>
            <w:tcW w:w="4120" w:type="dxa"/>
            <w:vAlign w:val="bottom"/>
          </w:tcPr>
          <w:p>
            <w:pPr>
              <w:ind w:left="280"/>
              <w:spacing w:after="0"/>
              <w:rPr>
                <w:sz w:val="20"/>
                <w:szCs w:val="20"/>
                <w:color w:val="auto"/>
              </w:rPr>
            </w:pPr>
            <w:r>
              <w:rPr>
                <w:rFonts w:ascii="Arial" w:cs="Arial" w:eastAsia="Arial" w:hAnsi="Arial"/>
                <w:sz w:val="18"/>
                <w:szCs w:val="18"/>
                <w:color w:val="auto"/>
              </w:rPr>
              <w:t>/s/ J. Jeffrey Goater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-7620</wp:posOffset>
            </wp:positionV>
            <wp:extent cx="26155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5220"/>
        <w:spacing w:after="0" w:line="236" w:lineRule="auto"/>
        <w:rPr>
          <w:sz w:val="20"/>
          <w:szCs w:val="20"/>
          <w:color w:val="auto"/>
        </w:rPr>
      </w:pPr>
      <w:r>
        <w:rPr>
          <w:rFonts w:ascii="Arial" w:cs="Arial" w:eastAsia="Arial" w:hAnsi="Arial"/>
          <w:sz w:val="18"/>
          <w:szCs w:val="18"/>
          <w:color w:val="auto"/>
        </w:rPr>
        <w:t>Jeffrey Goater</w:t>
      </w:r>
    </w:p>
    <w:p>
      <w:pPr>
        <w:ind w:left="5220"/>
        <w:spacing w:after="0" w:line="220" w:lineRule="auto"/>
        <w:rPr>
          <w:sz w:val="20"/>
          <w:szCs w:val="20"/>
          <w:color w:val="auto"/>
        </w:rPr>
      </w:pPr>
      <w:r>
        <w:rPr>
          <w:rFonts w:ascii="Arial" w:cs="Arial" w:eastAsia="Arial" w:hAnsi="Arial"/>
          <w:sz w:val="18"/>
          <w:szCs w:val="18"/>
          <w:color w:val="auto"/>
        </w:rPr>
        <w:t>Senior Vice President, Finance and Business</w:t>
      </w:r>
    </w:p>
    <w:p>
      <w:pPr>
        <w:ind w:left="5220"/>
        <w:spacing w:after="0"/>
        <w:rPr>
          <w:sz w:val="20"/>
          <w:szCs w:val="20"/>
          <w:color w:val="auto"/>
        </w:rPr>
      </w:pPr>
      <w:r>
        <w:rPr>
          <w:rFonts w:ascii="Arial" w:cs="Arial" w:eastAsia="Arial" w:hAnsi="Arial"/>
          <w:sz w:val="18"/>
          <w:szCs w:val="18"/>
          <w:color w:val="auto"/>
        </w:rPr>
        <w:t>Development</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321"/>
        <w:spacing w:after="0"/>
        <w:rPr>
          <w:sz w:val="20"/>
          <w:szCs w:val="20"/>
          <w:color w:val="auto"/>
        </w:rPr>
      </w:pPr>
      <w:r>
        <w:rPr>
          <w:rFonts w:ascii="Arial" w:cs="Arial" w:eastAsia="Arial" w:hAnsi="Arial"/>
          <w:sz w:val="18"/>
          <w:szCs w:val="18"/>
          <w:color w:val="auto"/>
        </w:rPr>
        <w:t>I, Steven M. Paul, certify that:</w:t>
      </w:r>
    </w:p>
    <w:p>
      <w:pPr>
        <w:spacing w:after="0" w:line="225" w:lineRule="exact"/>
        <w:rPr>
          <w:sz w:val="20"/>
          <w:szCs w:val="20"/>
          <w:color w:val="auto"/>
        </w:rPr>
      </w:pPr>
    </w:p>
    <w:p>
      <w:pPr>
        <w:ind w:left="321"/>
        <w:spacing w:after="0"/>
        <w:rPr>
          <w:sz w:val="20"/>
          <w:szCs w:val="20"/>
          <w:color w:val="auto"/>
        </w:rPr>
      </w:pPr>
      <w:r>
        <w:rPr>
          <w:rFonts w:ascii="Arial" w:cs="Arial" w:eastAsia="Arial" w:hAnsi="Arial"/>
          <w:sz w:val="16"/>
          <w:szCs w:val="16"/>
          <w:color w:val="auto"/>
        </w:rPr>
        <w:t>1.I have reviewed this quarterly report on Form 10-Q for the period ended September 30, 2015 of Voyager Therapeutics, Inc.;</w:t>
      </w:r>
    </w:p>
    <w:p>
      <w:pPr>
        <w:spacing w:after="0" w:line="248" w:lineRule="exact"/>
        <w:rPr>
          <w:sz w:val="20"/>
          <w:szCs w:val="20"/>
          <w:color w:val="auto"/>
        </w:rPr>
      </w:pPr>
    </w:p>
    <w:p>
      <w:pPr>
        <w:ind w:left="461" w:right="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jc w:val="both"/>
        <w:ind w:left="461" w:right="10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sz w:val="20"/>
          <w:szCs w:val="20"/>
          <w:color w:val="auto"/>
        </w:rPr>
      </w:pPr>
    </w:p>
    <w:p>
      <w:pPr>
        <w:ind w:left="461" w:right="500" w:hanging="134"/>
        <w:spacing w:after="0" w:line="30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for the registrant and have:</w:t>
      </w:r>
    </w:p>
    <w:p>
      <w:pPr>
        <w:spacing w:after="0" w:line="147" w:lineRule="exact"/>
        <w:rPr>
          <w:sz w:val="20"/>
          <w:szCs w:val="20"/>
          <w:color w:val="auto"/>
        </w:rPr>
      </w:pPr>
    </w:p>
    <w:p>
      <w:pPr>
        <w:ind w:left="781" w:right="160" w:hanging="134"/>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sz w:val="20"/>
          <w:szCs w:val="20"/>
          <w:color w:val="auto"/>
        </w:rPr>
      </w:pPr>
    </w:p>
    <w:p>
      <w:pPr>
        <w:ind w:left="641"/>
        <w:spacing w:after="0"/>
        <w:rPr>
          <w:sz w:val="20"/>
          <w:szCs w:val="20"/>
          <w:color w:val="auto"/>
        </w:rPr>
      </w:pPr>
      <w:r>
        <w:rPr>
          <w:rFonts w:ascii="Arial" w:cs="Arial" w:eastAsia="Arial" w:hAnsi="Arial"/>
          <w:sz w:val="18"/>
          <w:szCs w:val="18"/>
          <w:color w:val="auto"/>
        </w:rPr>
        <w:t>b. (Paragraph omitted pursuant to SEC Release Nos. 33-8238/34-47986 and 33-8392/34-49313);</w:t>
      </w:r>
    </w:p>
    <w:p>
      <w:pPr>
        <w:spacing w:after="0" w:line="225" w:lineRule="exact"/>
        <w:rPr>
          <w:sz w:val="20"/>
          <w:szCs w:val="20"/>
          <w:color w:val="auto"/>
        </w:rPr>
      </w:pPr>
    </w:p>
    <w:p>
      <w:pPr>
        <w:ind w:left="781"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ind w:left="781" w:right="60" w:hanging="134"/>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sz w:val="20"/>
          <w:szCs w:val="20"/>
          <w:color w:val="auto"/>
        </w:rPr>
      </w:pPr>
    </w:p>
    <w:p>
      <w:pPr>
        <w:ind w:left="641" w:right="180" w:hanging="641"/>
        <w:spacing w:after="0" w:line="264" w:lineRule="auto"/>
        <w:tabs>
          <w:tab w:leader="none" w:pos="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781" w:right="420" w:hanging="134"/>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781" w:right="24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ind w:left="321"/>
        <w:spacing w:after="0"/>
        <w:tabs>
          <w:tab w:leader="none" w:pos="5081" w:val="left"/>
        </w:tabs>
        <w:rPr>
          <w:sz w:val="20"/>
          <w:szCs w:val="20"/>
          <w:color w:val="auto"/>
        </w:rPr>
      </w:pPr>
      <w:r>
        <w:rPr>
          <w:rFonts w:ascii="Arial" w:cs="Arial" w:eastAsia="Arial" w:hAnsi="Arial"/>
          <w:sz w:val="18"/>
          <w:szCs w:val="18"/>
          <w:color w:val="auto"/>
        </w:rPr>
        <w:t>Date: December 17, 2015</w:t>
      </w:r>
      <w:r>
        <w:rPr>
          <w:sz w:val="20"/>
          <w:szCs w:val="20"/>
          <w:color w:val="auto"/>
        </w:rPr>
        <w:tab/>
      </w:r>
      <w:r>
        <w:rPr>
          <w:rFonts w:ascii="Arial" w:cs="Arial" w:eastAsia="Arial" w:hAnsi="Arial"/>
          <w:sz w:val="16"/>
          <w:szCs w:val="16"/>
          <w:color w:val="auto"/>
        </w:rPr>
        <w:t>/s/ Steven M.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23495</wp:posOffset>
            </wp:positionV>
            <wp:extent cx="2727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0" w:lineRule="exact"/>
        <w:rPr>
          <w:sz w:val="20"/>
          <w:szCs w:val="20"/>
          <w:color w:val="auto"/>
        </w:rPr>
      </w:pPr>
    </w:p>
    <w:p>
      <w:pPr>
        <w:ind w:left="5101"/>
        <w:spacing w:after="0"/>
        <w:rPr>
          <w:sz w:val="20"/>
          <w:szCs w:val="20"/>
          <w:color w:val="auto"/>
        </w:rPr>
      </w:pPr>
      <w:r>
        <w:rPr>
          <w:rFonts w:ascii="Arial" w:cs="Arial" w:eastAsia="Arial" w:hAnsi="Arial"/>
          <w:sz w:val="18"/>
          <w:szCs w:val="18"/>
          <w:color w:val="auto"/>
        </w:rPr>
        <w:t>Steven M. Paul</w:t>
      </w:r>
    </w:p>
    <w:p>
      <w:pPr>
        <w:spacing w:after="0" w:line="23" w:lineRule="exact"/>
        <w:rPr>
          <w:sz w:val="20"/>
          <w:szCs w:val="20"/>
          <w:color w:val="auto"/>
        </w:rPr>
      </w:pPr>
    </w:p>
    <w:p>
      <w:pPr>
        <w:ind w:left="5101"/>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101"/>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306070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81"/>
          </w:cols>
          <w:pgMar w:left="1099" w:top="121" w:right="141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 Jeffrey Goater,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1.I have reviewed this quarterly report on Form 10-Q for the period ended September 30, 2015 of Voyager Therapeutics, Inc.;</w:t>
      </w:r>
    </w:p>
    <w:p>
      <w:pPr>
        <w:spacing w:after="0" w:line="248" w:lineRule="exact"/>
        <w:rPr>
          <w:sz w:val="20"/>
          <w:szCs w:val="20"/>
          <w:color w:val="auto"/>
        </w:rPr>
      </w:pPr>
    </w:p>
    <w:p>
      <w:pPr>
        <w:ind w:left="140" w:right="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jc w:val="both"/>
        <w:ind w:left="140" w:right="10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sz w:val="20"/>
          <w:szCs w:val="20"/>
          <w:color w:val="auto"/>
        </w:rPr>
      </w:pPr>
    </w:p>
    <w:p>
      <w:pPr>
        <w:ind w:left="140" w:right="500" w:hanging="134"/>
        <w:spacing w:after="0" w:line="30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for the registrant and have:</w:t>
      </w:r>
    </w:p>
    <w:p>
      <w:pPr>
        <w:spacing w:after="0" w:line="147" w:lineRule="exact"/>
        <w:rPr>
          <w:sz w:val="20"/>
          <w:szCs w:val="20"/>
          <w:color w:val="auto"/>
        </w:rPr>
      </w:pPr>
    </w:p>
    <w:p>
      <w:pPr>
        <w:ind w:left="460" w:right="160" w:hanging="134"/>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 (Paragraph omitted pursuant to SEC Release Nos. 33-8238/34-47986 and 33-8392/34-49313);</w:t>
      </w:r>
    </w:p>
    <w:p>
      <w:pPr>
        <w:spacing w:after="0" w:line="225" w:lineRule="exact"/>
        <w:rPr>
          <w:sz w:val="20"/>
          <w:szCs w:val="20"/>
          <w:color w:val="auto"/>
        </w:rPr>
      </w:pPr>
    </w:p>
    <w:p>
      <w:pPr>
        <w:ind w:left="460"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ind w:left="460" w:right="60" w:hanging="134"/>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sz w:val="20"/>
          <w:szCs w:val="20"/>
          <w:color w:val="auto"/>
        </w:rPr>
      </w:pPr>
    </w:p>
    <w:p>
      <w:pPr>
        <w:ind w:left="140" w:right="220" w:hanging="134"/>
        <w:spacing w:after="0" w:line="264" w:lineRule="auto"/>
        <w:rPr>
          <w:sz w:val="20"/>
          <w:szCs w:val="20"/>
          <w:color w:val="auto"/>
        </w:rPr>
      </w:pPr>
      <w:r>
        <w:rPr>
          <w:rFonts w:ascii="Arial" w:cs="Arial" w:eastAsia="Arial" w:hAnsi="Arial"/>
          <w:sz w:val="18"/>
          <w:szCs w:val="18"/>
          <w:color w:val="auto"/>
        </w:rPr>
        <w:t>5.The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460" w:right="420" w:hanging="134"/>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460" w:right="24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December 17, 2015</w:t>
      </w:r>
      <w:r>
        <w:rPr>
          <w:sz w:val="20"/>
          <w:szCs w:val="20"/>
          <w:color w:val="auto"/>
        </w:rPr>
        <w:tab/>
      </w:r>
      <w:r>
        <w:rPr>
          <w:rFonts w:ascii="Arial" w:cs="Arial" w:eastAsia="Arial" w:hAnsi="Arial"/>
          <w:sz w:val="16"/>
          <w:szCs w:val="16"/>
          <w:color w:val="auto"/>
        </w:rPr>
        <w:t>/s/ J. Jeffrey Goater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31750</wp:posOffset>
            </wp:positionV>
            <wp:extent cx="28130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4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 Jeffrey Goater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6"/>
          <w:szCs w:val="16"/>
          <w:i w:val="1"/>
          <w:iCs w:val="1"/>
          <w:color w:val="auto"/>
        </w:rPr>
        <w:t>Senior Vice President, Finance and Business Development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on Form 10-Q of Voyager Therapeutics, Inc. (the “Company”) for the period ended September 30, 2015, as filed with the Securities and Exchange Commission on the date hereof (the “Report”), each of the undersigned officers hereby certify, pursuant to Section 906 of the Sarbanes-Oxley Act of 2002, 18 U.S.C. Section 1350, that to his or her knowledge:</w:t>
      </w:r>
    </w:p>
    <w:p>
      <w:pPr>
        <w:spacing w:after="0" w:line="92" w:lineRule="exact"/>
        <w:rPr>
          <w:sz w:val="20"/>
          <w:szCs w:val="20"/>
          <w:color w:val="auto"/>
        </w:rPr>
      </w:pPr>
    </w:p>
    <w:p>
      <w:pPr>
        <w:ind w:left="160" w:right="660" w:hanging="157"/>
        <w:spacing w:after="0" w:line="308" w:lineRule="auto"/>
        <w:tabs>
          <w:tab w:leader="none" w:pos="1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which this statement accompanies fully complies with the requirements of Section 13(a) or 15(d) of the Securities Exchange Act of 1934, as amended; and</w:t>
      </w:r>
    </w:p>
    <w:p>
      <w:pPr>
        <w:spacing w:after="0" w:line="51" w:lineRule="exact"/>
        <w:rPr>
          <w:rFonts w:ascii="Arial" w:cs="Arial" w:eastAsia="Arial" w:hAnsi="Arial"/>
          <w:sz w:val="17"/>
          <w:szCs w:val="17"/>
          <w:color w:val="auto"/>
        </w:rPr>
      </w:pPr>
    </w:p>
    <w:p>
      <w:pPr>
        <w:ind w:left="160" w:right="540" w:hanging="157"/>
        <w:spacing w:after="0" w:line="308" w:lineRule="auto"/>
        <w:tabs>
          <w:tab w:leader="none" w:pos="1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December 17, 2015</w:t>
      </w:r>
      <w:r>
        <w:rPr>
          <w:sz w:val="20"/>
          <w:szCs w:val="20"/>
          <w:color w:val="auto"/>
        </w:rPr>
        <w:tab/>
      </w:r>
      <w:r>
        <w:rPr>
          <w:rFonts w:ascii="Arial" w:cs="Arial" w:eastAsia="Arial" w:hAnsi="Arial"/>
          <w:sz w:val="16"/>
          <w:szCs w:val="16"/>
          <w:color w:val="auto"/>
        </w:rPr>
        <w:t>/s/ Steven M.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Steven M. Paul</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Executive Officer)</w:t>
      </w:r>
    </w:p>
    <w:p>
      <w:pPr>
        <w:spacing w:after="0" w:line="265"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December 17, 2015</w:t>
      </w:r>
      <w:r>
        <w:rPr>
          <w:sz w:val="20"/>
          <w:szCs w:val="20"/>
          <w:color w:val="auto"/>
        </w:rPr>
        <w:tab/>
      </w:r>
      <w:r>
        <w:rPr>
          <w:rFonts w:ascii="Arial" w:cs="Arial" w:eastAsia="Arial" w:hAnsi="Arial"/>
          <w:sz w:val="16"/>
          <w:szCs w:val="16"/>
          <w:color w:val="auto"/>
        </w:rPr>
        <w:t>/s/ J. Jeffrey Goater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 Jeffrey Goater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6"/>
          <w:szCs w:val="16"/>
          <w:i w:val="1"/>
          <w:iCs w:val="1"/>
          <w:color w:val="auto"/>
        </w:rPr>
        <w:t>Senior Vice President, Finance and Business Development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
      <w:numFmt w:val="bullet"/>
      <w:start w:val="1"/>
    </w:lvl>
  </w:abstractNum>
  <w:abstractNum w:abstractNumId="1">
    <w:nsid w:val="3F2DBA31"/>
    <w:multiLevelType w:val="hybridMultilevel"/>
    <w:lvl w:ilvl="0">
      <w:lvlJc w:val="left"/>
      <w:lvlText w:val=" "/>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lowerLetter"/>
      <w:start w:val="4"/>
    </w:lvl>
  </w:abstractNum>
  <w:abstractNum w:abstractNumId="5">
    <w:nsid w:val="436C6125"/>
    <w:multiLevelType w:val="hybridMultilevel"/>
    <w:lvl w:ilvl="0">
      <w:lvlJc w:val="left"/>
      <w:lvlText w:val="(%1)"/>
      <w:numFmt w:val="lowerRoman"/>
      <w:start w:val="3"/>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lowerRoman"/>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5"/>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2019-12-29T13:42:15Z</dcterms:created>
  <dcterms:modified xsi:type="dcterms:W3CDTF">2019-12-29T13:42:15Z</dcterms:modified>
</cp:coreProperties>
</file>