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183515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spacing w:after="0" w:line="33"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210820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229870</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Pursuant to Section 13 or 15(d)</w:t>
      </w:r>
    </w:p>
    <w:p>
      <w:pPr>
        <w:jc w:val="center"/>
        <w:ind w:right="-28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2501"/>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223520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Voyager Therapeutics, Inc.</w:t>
      </w:r>
    </w:p>
    <w:p>
      <w:pPr>
        <w:spacing w:after="0" w:line="4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210820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781"/>
          </w:cols>
          <w:pgMar w:left="919" w:top="476" w:right="1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01"/>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1"/>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1"/>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001-37625</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46-3003182</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841" w:space="720"/>
            <w:col w:w="2500" w:space="720"/>
            <w:col w:w="2000"/>
          </w:cols>
          <w:pgMar w:left="919" w:top="476" w:right="1199" w:bottom="1440" w:gutter="0" w:footer="0" w:header="0"/>
          <w:type w:val="continuous"/>
        </w:sectPr>
      </w:pPr>
    </w:p>
    <w:p>
      <w:pPr>
        <w:spacing w:after="0" w:line="20" w:lineRule="exact"/>
        <w:rPr>
          <w:sz w:val="24"/>
          <w:szCs w:val="24"/>
          <w:color w:val="auto"/>
        </w:rPr>
      </w:pPr>
    </w:p>
    <w:p>
      <w:pPr>
        <w:ind w:left="1841"/>
        <w:spacing w:after="0"/>
        <w:rPr>
          <w:sz w:val="20"/>
          <w:szCs w:val="20"/>
          <w:color w:val="auto"/>
        </w:rPr>
      </w:pPr>
      <w:r>
        <w:rPr>
          <w:rFonts w:ascii="Arial" w:cs="Arial" w:eastAsia="Arial" w:hAnsi="Arial"/>
          <w:sz w:val="18"/>
          <w:szCs w:val="18"/>
          <w:b w:val="1"/>
          <w:bCs w:val="1"/>
          <w:color w:val="auto"/>
        </w:rPr>
        <w:t>75 Sidney Street</w:t>
      </w:r>
    </w:p>
    <w:p>
      <w:pPr>
        <w:spacing w:after="0" w:line="27" w:lineRule="exact"/>
        <w:rPr>
          <w:sz w:val="24"/>
          <w:szCs w:val="24"/>
          <w:color w:val="auto"/>
        </w:rPr>
      </w:pPr>
    </w:p>
    <w:p>
      <w:pPr>
        <w:ind w:left="1441"/>
        <w:spacing w:after="0"/>
        <w:tabs>
          <w:tab w:leader="none" w:pos="7360" w:val="left"/>
        </w:tabs>
        <w:rPr>
          <w:sz w:val="20"/>
          <w:szCs w:val="20"/>
          <w:color w:val="auto"/>
        </w:rPr>
      </w:pPr>
      <w:r>
        <w:rPr>
          <w:rFonts w:ascii="Arial" w:cs="Arial" w:eastAsia="Arial" w:hAnsi="Arial"/>
          <w:sz w:val="18"/>
          <w:szCs w:val="18"/>
          <w:b w:val="1"/>
          <w:bCs w:val="1"/>
          <w:color w:val="auto"/>
        </w:rPr>
        <w:t>Cambridge, Massachusetts</w:t>
      </w:r>
      <w:r>
        <w:rPr>
          <w:sz w:val="20"/>
          <w:szCs w:val="20"/>
          <w:color w:val="auto"/>
        </w:rPr>
        <w:tab/>
      </w:r>
      <w:r>
        <w:rPr>
          <w:rFonts w:ascii="Arial" w:cs="Arial" w:eastAsia="Arial" w:hAnsi="Arial"/>
          <w:sz w:val="15"/>
          <w:szCs w:val="15"/>
          <w:b w:val="1"/>
          <w:bCs w:val="1"/>
          <w:color w:val="auto"/>
        </w:rPr>
        <w:t>02139</w:t>
      </w:r>
    </w:p>
    <w:p>
      <w:pPr>
        <w:spacing w:after="0" w:line="9" w:lineRule="exact"/>
        <w:rPr>
          <w:sz w:val="24"/>
          <w:szCs w:val="24"/>
          <w:color w:val="auto"/>
        </w:rPr>
      </w:pPr>
    </w:p>
    <w:p>
      <w:pPr>
        <w:ind w:left="1041"/>
        <w:spacing w:after="0"/>
        <w:tabs>
          <w:tab w:leader="none" w:pos="71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781"/>
          </w:cols>
          <w:pgMar w:left="919" w:top="476" w:right="1199" w:bottom="1440" w:gutter="0" w:footer="0" w:header="0"/>
          <w:type w:val="continuous"/>
        </w:sectPr>
      </w:pPr>
    </w:p>
    <w:p>
      <w:pPr>
        <w:spacing w:after="0" w:line="207"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(857) 259-5340</w:t>
      </w: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211455</wp:posOffset>
            </wp:positionV>
            <wp:extent cx="16033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177800</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598170</wp:posOffset>
            </wp:positionV>
            <wp:extent cx="6388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781"/>
          </w:cols>
          <w:pgMar w:left="919" w:top="476" w:right="1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December 17, 2015, Voyager Therapeutics, Inc. (the “Company”) announced financial results for the quarter ended September 30, 2015. The full text of the press release issued in connection with the announcement is furnished as Exhibit 99.1 to this Current Report on Form 8-K.</w:t>
      </w:r>
    </w:p>
    <w:p>
      <w:pPr>
        <w:jc w:val="both"/>
        <w:spacing w:after="0" w:line="258" w:lineRule="auto"/>
        <w:rPr>
          <w:sz w:val="20"/>
          <w:szCs w:val="20"/>
          <w:color w:val="auto"/>
        </w:rPr>
      </w:pPr>
      <w:r>
        <w:rPr>
          <w:rFonts w:ascii="Arial" w:cs="Arial" w:eastAsia="Arial" w:hAnsi="Arial"/>
          <w:sz w:val="19"/>
          <w:szCs w:val="19"/>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exhibit relating to Item 2.02 shall be deemed to be furnished, and not filed: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808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8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8320" w:type="dxa"/>
            <w:vAlign w:val="bottom"/>
            <w:gridSpan w:val="2"/>
          </w:tcPr>
          <w:p>
            <w:pPr>
              <w:ind w:left="240"/>
              <w:spacing w:after="0"/>
              <w:rPr>
                <w:sz w:val="20"/>
                <w:szCs w:val="20"/>
                <w:color w:val="auto"/>
              </w:rPr>
            </w:pPr>
            <w:r>
              <w:rPr>
                <w:rFonts w:ascii="Arial" w:cs="Arial" w:eastAsia="Arial" w:hAnsi="Arial"/>
                <w:sz w:val="20"/>
                <w:szCs w:val="20"/>
                <w:color w:val="auto"/>
                <w:w w:val="90"/>
              </w:rPr>
              <w:t>Press release dated December 17, 2015 entitled “Voyager Therapeutics Reports Third Quarter 2015</w:t>
            </w: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8320" w:type="dxa"/>
            <w:vAlign w:val="bottom"/>
            <w:gridSpan w:val="2"/>
          </w:tcPr>
          <w:p>
            <w:pPr>
              <w:ind w:left="240"/>
              <w:spacing w:after="0"/>
              <w:rPr>
                <w:sz w:val="20"/>
                <w:szCs w:val="20"/>
                <w:color w:val="auto"/>
              </w:rPr>
            </w:pPr>
            <w:r>
              <w:rPr>
                <w:rFonts w:ascii="Arial" w:cs="Arial" w:eastAsia="Arial" w:hAnsi="Arial"/>
                <w:sz w:val="20"/>
                <w:szCs w:val="20"/>
                <w:color w:val="auto"/>
              </w:rPr>
              <w:t>Financial Results”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71" w:right="14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December 17, 2015</w:t>
      </w:r>
      <w:r>
        <w:rPr>
          <w:sz w:val="20"/>
          <w:szCs w:val="20"/>
          <w:color w:val="auto"/>
        </w:rPr>
        <w:tab/>
      </w:r>
      <w:r>
        <w:rPr>
          <w:rFonts w:ascii="Arial" w:cs="Arial" w:eastAsia="Arial" w:hAnsi="Arial"/>
          <w:sz w:val="18"/>
          <w:szCs w:val="18"/>
          <w:b w:val="1"/>
          <w:bCs w:val="1"/>
          <w:color w:val="auto"/>
        </w:rPr>
        <w:t>VOYAGER THERAPEUTICS, INC.</w:t>
      </w:r>
    </w:p>
    <w:p>
      <w:pPr>
        <w:spacing w:after="0" w:line="229"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Paul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Steven M. Paul,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6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816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4"/>
                <w:szCs w:val="14"/>
                <w:color w:val="auto"/>
              </w:rPr>
            </w:pPr>
          </w:p>
        </w:tc>
        <w:tc>
          <w:tcPr>
            <w:tcW w:w="8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8380" w:type="dxa"/>
            <w:vAlign w:val="bottom"/>
            <w:gridSpan w:val="2"/>
          </w:tcPr>
          <w:p>
            <w:pPr>
              <w:ind w:left="220"/>
              <w:spacing w:after="0"/>
              <w:rPr>
                <w:sz w:val="20"/>
                <w:szCs w:val="20"/>
                <w:color w:val="auto"/>
              </w:rPr>
            </w:pPr>
            <w:r>
              <w:rPr>
                <w:rFonts w:ascii="Arial" w:cs="Arial" w:eastAsia="Arial" w:hAnsi="Arial"/>
                <w:sz w:val="20"/>
                <w:szCs w:val="20"/>
                <w:color w:val="auto"/>
                <w:w w:val="91"/>
              </w:rPr>
              <w:t>Press release dated December 17, 2015 entitled “Voyager Therapeutics Reports Third Quarter 2015</w:t>
            </w: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8380" w:type="dxa"/>
            <w:vAlign w:val="bottom"/>
            <w:gridSpan w:val="2"/>
          </w:tcPr>
          <w:p>
            <w:pPr>
              <w:ind w:left="220"/>
              <w:spacing w:after="0"/>
              <w:rPr>
                <w:sz w:val="20"/>
                <w:szCs w:val="20"/>
                <w:color w:val="auto"/>
              </w:rPr>
            </w:pPr>
            <w:r>
              <w:rPr>
                <w:rFonts w:ascii="Arial" w:cs="Arial" w:eastAsia="Arial" w:hAnsi="Arial"/>
                <w:sz w:val="20"/>
                <w:szCs w:val="20"/>
                <w:color w:val="auto"/>
              </w:rPr>
              <w:t>Financial Results”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right"/>
        <w:ind w:right="479"/>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188658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Voyager Therapeutics Reports Third Quarter 2015 Financial Results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Initial public offering raised $72.7 million in net proceeds</w:t>
      </w:r>
    </w:p>
    <w:p>
      <w:pPr>
        <w:spacing w:after="0" w:line="233" w:lineRule="exact"/>
        <w:rPr>
          <w:sz w:val="20"/>
          <w:szCs w:val="20"/>
          <w:color w:val="auto"/>
        </w:rPr>
      </w:pPr>
    </w:p>
    <w:p>
      <w:pPr>
        <w:jc w:val="center"/>
        <w:ind w:left="480" w:right="479"/>
        <w:spacing w:after="0" w:line="251" w:lineRule="auto"/>
        <w:rPr>
          <w:sz w:val="20"/>
          <w:szCs w:val="20"/>
          <w:color w:val="auto"/>
        </w:rPr>
      </w:pPr>
      <w:r>
        <w:rPr>
          <w:rFonts w:ascii="Arial" w:cs="Arial" w:eastAsia="Arial" w:hAnsi="Arial"/>
          <w:sz w:val="22"/>
          <w:szCs w:val="22"/>
          <w:i w:val="1"/>
          <w:iCs w:val="1"/>
          <w:color w:val="auto"/>
        </w:rPr>
        <w:t>Proof-of-concept data for lead clinical program, VY-AADC01, for Parkinson’s disease expected in second half of 2016</w:t>
      </w:r>
    </w:p>
    <w:p>
      <w:pPr>
        <w:spacing w:after="0" w:line="194" w:lineRule="exact"/>
        <w:rPr>
          <w:sz w:val="20"/>
          <w:szCs w:val="20"/>
          <w:color w:val="auto"/>
        </w:rPr>
      </w:pPr>
    </w:p>
    <w:p>
      <w:pPr>
        <w:ind w:left="480" w:right="579"/>
        <w:spacing w:after="0" w:line="284" w:lineRule="auto"/>
        <w:rPr>
          <w:sz w:val="20"/>
          <w:szCs w:val="20"/>
          <w:color w:val="auto"/>
        </w:rPr>
      </w:pPr>
      <w:r>
        <w:rPr>
          <w:rFonts w:ascii="Arial" w:cs="Arial" w:eastAsia="Arial" w:hAnsi="Arial"/>
          <w:sz w:val="19"/>
          <w:szCs w:val="19"/>
          <w:b w:val="1"/>
          <w:bCs w:val="1"/>
          <w:color w:val="auto"/>
        </w:rPr>
        <w:t xml:space="preserve">Cambridge, Mass., December 17, 2015 </w:t>
      </w:r>
      <w:r>
        <w:rPr>
          <w:rFonts w:ascii="Arial" w:cs="Arial" w:eastAsia="Arial" w:hAnsi="Arial"/>
          <w:sz w:val="19"/>
          <w:szCs w:val="19"/>
          <w:color w:val="auto"/>
        </w:rPr>
        <w:t>(GLOBE NEWSWIRE) – Voyager Therapeutics,</w:t>
      </w:r>
      <w:r>
        <w:rPr>
          <w:rFonts w:ascii="Arial" w:cs="Arial" w:eastAsia="Arial" w:hAnsi="Arial"/>
          <w:sz w:val="19"/>
          <w:szCs w:val="19"/>
          <w:b w:val="1"/>
          <w:bCs w:val="1"/>
          <w:color w:val="auto"/>
        </w:rPr>
        <w:t xml:space="preserve"> </w:t>
      </w:r>
      <w:r>
        <w:rPr>
          <w:rFonts w:ascii="Arial" w:cs="Arial" w:eastAsia="Arial" w:hAnsi="Arial"/>
          <w:sz w:val="19"/>
          <w:szCs w:val="19"/>
          <w:color w:val="auto"/>
        </w:rPr>
        <w:t>Inc. (NASDAQ: VYGR), a clinical-stage gene therapy company developing life-changing treatments for severe diseases of the central nervous system (CNS), today reported financial results for the third quarter ended September 30, 2015 and provided an update on recent corporate highlights and upcoming milestones.</w:t>
      </w:r>
    </w:p>
    <w:p>
      <w:pPr>
        <w:spacing w:after="0" w:line="172" w:lineRule="exact"/>
        <w:rPr>
          <w:sz w:val="20"/>
          <w:szCs w:val="20"/>
          <w:color w:val="auto"/>
        </w:rPr>
      </w:pPr>
    </w:p>
    <w:p>
      <w:pPr>
        <w:ind w:left="480" w:right="599"/>
        <w:spacing w:after="0" w:line="274" w:lineRule="auto"/>
        <w:rPr>
          <w:sz w:val="20"/>
          <w:szCs w:val="20"/>
          <w:color w:val="auto"/>
        </w:rPr>
      </w:pPr>
      <w:r>
        <w:rPr>
          <w:rFonts w:ascii="Arial" w:cs="Arial" w:eastAsia="Arial" w:hAnsi="Arial"/>
          <w:sz w:val="19"/>
          <w:szCs w:val="19"/>
          <w:color w:val="auto"/>
        </w:rPr>
        <w:t>“2015 has been a transformative year for Voyager. We started the year by announcing a major strategic collaboration with Genzyme, followed by an oversubscribed series B financing, and recently completed a successful initial public offering. We also made significant progress on both our product pipeline and product engine, while continuing to expand our leadership team,” said Steven Paul, M.D., president and CEO of Voyager Therapeutics. “With an experienced team and a solid financial foundation in place, we enter 2016 in a strong position to achieve clinical and operational milestones as we further advance our pipeline of novel gene therapies and strive to deliver innovative therapies to patients suffering from devastating CNS disorders.”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Recent Highlights and Upcoming Milestones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2"/>
          <w:szCs w:val="22"/>
          <w:color w:val="auto"/>
        </w:rPr>
        <w:t>Corporate</w:t>
      </w:r>
    </w:p>
    <w:p>
      <w:pPr>
        <w:spacing w:after="0" w:line="8" w:lineRule="exact"/>
        <w:rPr>
          <w:sz w:val="20"/>
          <w:szCs w:val="20"/>
          <w:color w:val="auto"/>
        </w:rPr>
      </w:pPr>
    </w:p>
    <w:p>
      <w:pPr>
        <w:ind w:left="860" w:right="879" w:hanging="53"/>
        <w:spacing w:after="0" w:line="230" w:lineRule="auto"/>
        <w:rPr>
          <w:sz w:val="20"/>
          <w:szCs w:val="20"/>
          <w:color w:val="auto"/>
        </w:rPr>
      </w:pPr>
      <w:r>
        <w:rPr>
          <w:rFonts w:ascii="Arial" w:cs="Arial" w:eastAsia="Arial" w:hAnsi="Arial"/>
          <w:sz w:val="22"/>
          <w:szCs w:val="22"/>
          <w:color w:val="auto"/>
        </w:rPr>
        <w:t>·In November 2015, completed an initial public offering raising approximately $72.7 million in net proceeds.</w:t>
      </w:r>
    </w:p>
    <w:p>
      <w:pPr>
        <w:spacing w:after="0" w:line="1" w:lineRule="exact"/>
        <w:rPr>
          <w:sz w:val="20"/>
          <w:szCs w:val="20"/>
          <w:color w:val="auto"/>
        </w:rPr>
      </w:pPr>
    </w:p>
    <w:p>
      <w:pPr>
        <w:ind w:left="860" w:right="519" w:hanging="53"/>
        <w:spacing w:after="0" w:line="267" w:lineRule="auto"/>
        <w:rPr>
          <w:sz w:val="20"/>
          <w:szCs w:val="20"/>
          <w:color w:val="auto"/>
        </w:rPr>
      </w:pPr>
      <w:r>
        <w:rPr>
          <w:rFonts w:ascii="Arial" w:cs="Arial" w:eastAsia="Arial" w:hAnsi="Arial"/>
          <w:sz w:val="19"/>
          <w:szCs w:val="19"/>
          <w:color w:val="auto"/>
        </w:rPr>
        <w:t>·Expanded the board of directors with the appointment of three industry and scientific leaders: Perry Karsen, CEO of the Celgene Cellular Therapeutics division of Celgene Corporation; Michael Higgins, former COO and CFO of Ironwood Pharmaceuticals, Inc. and entrepreneur-in-residence at Polaris Partners; and Steven Hyman, M.D., director of the Stanley Center for Psychiatric Research at the Broad Institute of Harvard and MIT and a core faculty member of the Broad Institute.</w:t>
      </w:r>
    </w:p>
    <w:p>
      <w:pPr>
        <w:ind w:left="860" w:right="579" w:hanging="53"/>
        <w:spacing w:after="0" w:line="234" w:lineRule="auto"/>
        <w:rPr>
          <w:sz w:val="20"/>
          <w:szCs w:val="20"/>
          <w:color w:val="auto"/>
        </w:rPr>
      </w:pPr>
      <w:r>
        <w:rPr>
          <w:rFonts w:ascii="Arial" w:cs="Arial" w:eastAsia="Arial" w:hAnsi="Arial"/>
          <w:sz w:val="22"/>
          <w:szCs w:val="22"/>
          <w:color w:val="auto"/>
        </w:rPr>
        <w:t>·Expanded the Voyager leadership team with the appointment of John Connelly as vice president of program and alliance management and Kathleen Hayes as vice president of human resources.</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Product Pipeline and Product Engine</w:t>
      </w:r>
    </w:p>
    <w:p>
      <w:pPr>
        <w:spacing w:after="0" w:line="8" w:lineRule="exact"/>
        <w:rPr>
          <w:sz w:val="20"/>
          <w:szCs w:val="20"/>
          <w:color w:val="auto"/>
        </w:rPr>
      </w:pPr>
    </w:p>
    <w:p>
      <w:pPr>
        <w:ind w:left="860" w:right="1099" w:hanging="53"/>
        <w:spacing w:after="0" w:line="308" w:lineRule="auto"/>
        <w:rPr>
          <w:sz w:val="20"/>
          <w:szCs w:val="20"/>
          <w:color w:val="auto"/>
        </w:rPr>
      </w:pPr>
      <w:r>
        <w:rPr>
          <w:rFonts w:ascii="Arial" w:cs="Arial" w:eastAsia="Arial" w:hAnsi="Arial"/>
          <w:sz w:val="19"/>
          <w:szCs w:val="19"/>
          <w:color w:val="auto"/>
        </w:rPr>
        <w:t>·Enrollment continued in the ongoing Phase 1b trial of VY-AADC01 for advanced Parkinson’s disease. In October 2015, reported encouraging interim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92075</wp:posOffset>
            </wp:positionV>
            <wp:extent cx="51200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1140" w:right="1459"/>
        <w:spacing w:after="0" w:line="239" w:lineRule="auto"/>
        <w:rPr>
          <w:sz w:val="20"/>
          <w:szCs w:val="20"/>
          <w:color w:val="auto"/>
        </w:rPr>
      </w:pPr>
      <w:r>
        <w:rPr>
          <w:rFonts w:ascii="Arial" w:cs="Arial" w:eastAsia="Arial" w:hAnsi="Arial"/>
          <w:sz w:val="22"/>
          <w:szCs w:val="22"/>
          <w:color w:val="auto"/>
        </w:rPr>
        <w:t>results and Voyager continues to expect to report top-line human proof-of-concept data in the second half of 2016.</w:t>
      </w:r>
    </w:p>
    <w:p>
      <w:pPr>
        <w:spacing w:after="0" w:line="1" w:lineRule="exact"/>
        <w:rPr>
          <w:sz w:val="20"/>
          <w:szCs w:val="20"/>
          <w:color w:val="auto"/>
        </w:rPr>
      </w:pPr>
    </w:p>
    <w:p>
      <w:pPr>
        <w:ind w:left="860" w:right="639" w:hanging="53"/>
        <w:spacing w:after="0" w:line="230" w:lineRule="auto"/>
        <w:rPr>
          <w:sz w:val="20"/>
          <w:szCs w:val="20"/>
          <w:color w:val="auto"/>
        </w:rPr>
      </w:pPr>
      <w:r>
        <w:rPr>
          <w:rFonts w:ascii="Arial" w:cs="Arial" w:eastAsia="Arial" w:hAnsi="Arial"/>
          <w:sz w:val="22"/>
          <w:szCs w:val="22"/>
          <w:color w:val="auto"/>
        </w:rPr>
        <w:t>·In October 2015, the investigational new drug application (IND) for the ongoing Phase 1b trial of VY-AADC01 was transferred from the University of California, San Francisco to Voyager.</w:t>
      </w:r>
    </w:p>
    <w:p>
      <w:pPr>
        <w:spacing w:after="0" w:line="2" w:lineRule="exact"/>
        <w:rPr>
          <w:sz w:val="20"/>
          <w:szCs w:val="20"/>
          <w:color w:val="auto"/>
        </w:rPr>
      </w:pPr>
    </w:p>
    <w:p>
      <w:pPr>
        <w:ind w:left="860" w:right="879" w:hanging="53"/>
        <w:spacing w:after="0" w:line="230" w:lineRule="auto"/>
        <w:rPr>
          <w:sz w:val="20"/>
          <w:szCs w:val="20"/>
          <w:color w:val="auto"/>
        </w:rPr>
      </w:pPr>
      <w:r>
        <w:rPr>
          <w:rFonts w:ascii="Arial" w:cs="Arial" w:eastAsia="Arial" w:hAnsi="Arial"/>
          <w:sz w:val="22"/>
          <w:szCs w:val="22"/>
          <w:color w:val="auto"/>
        </w:rPr>
        <w:t>·Voyager’s four preclinical programs, VY-SOD101 for a monogenic form of amyotrophic lateral sclerosis, VY-FXN01 for Friedreich’s ataxia, VY-HTT01 for Huntington’s disease and VY-SMN101 for spinal muscular atrophy, all continued to advance, with Voyager’s next IND targeted for 2017.</w:t>
      </w:r>
    </w:p>
    <w:p>
      <w:pPr>
        <w:spacing w:after="0" w:line="3" w:lineRule="exact"/>
        <w:rPr>
          <w:sz w:val="20"/>
          <w:szCs w:val="20"/>
          <w:color w:val="auto"/>
        </w:rPr>
      </w:pPr>
    </w:p>
    <w:p>
      <w:pPr>
        <w:ind w:left="860" w:right="699" w:hanging="53"/>
        <w:spacing w:after="0" w:line="308" w:lineRule="auto"/>
        <w:rPr>
          <w:sz w:val="20"/>
          <w:szCs w:val="20"/>
          <w:color w:val="auto"/>
        </w:rPr>
      </w:pPr>
      <w:r>
        <w:rPr>
          <w:rFonts w:ascii="Arial" w:cs="Arial" w:eastAsia="Arial" w:hAnsi="Arial"/>
          <w:sz w:val="19"/>
          <w:szCs w:val="19"/>
          <w:color w:val="auto"/>
        </w:rPr>
        <w:t>·Continued advancement of the company’s product engine, including the areas of AAV vector engineering and optimization, manufacturing and dosing and delivery.</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Third Quarter 2015 Financial Results</w:t>
      </w:r>
    </w:p>
    <w:p>
      <w:pPr>
        <w:spacing w:after="0" w:line="14" w:lineRule="exact"/>
        <w:rPr>
          <w:sz w:val="20"/>
          <w:szCs w:val="20"/>
          <w:color w:val="auto"/>
        </w:rPr>
      </w:pPr>
    </w:p>
    <w:p>
      <w:pPr>
        <w:ind w:left="480" w:right="479"/>
        <w:spacing w:after="0" w:line="245" w:lineRule="auto"/>
        <w:rPr>
          <w:sz w:val="20"/>
          <w:szCs w:val="20"/>
          <w:color w:val="auto"/>
        </w:rPr>
      </w:pPr>
      <w:r>
        <w:rPr>
          <w:rFonts w:ascii="Arial" w:cs="Arial" w:eastAsia="Arial" w:hAnsi="Arial"/>
          <w:sz w:val="21"/>
          <w:szCs w:val="21"/>
          <w:color w:val="auto"/>
        </w:rPr>
        <w:t>Cash, cash equivalents and marketable securities as of September 30, 2015 were $160.6 million, compared to $168.6 million on June 30, 2015. Cash, cash equivalents and marketable securities as of September 30, 2015 did not include total net proceeds of approximately $72.7 million from the company's initial public offering of common stock and the underwriters' exercise of their over-allotment option in November 2015.</w:t>
      </w:r>
    </w:p>
    <w:p>
      <w:pPr>
        <w:spacing w:after="0" w:line="208" w:lineRule="exact"/>
        <w:rPr>
          <w:sz w:val="20"/>
          <w:szCs w:val="20"/>
          <w:color w:val="auto"/>
        </w:rPr>
      </w:pPr>
    </w:p>
    <w:p>
      <w:pPr>
        <w:ind w:left="480" w:right="799"/>
        <w:spacing w:after="0"/>
        <w:rPr>
          <w:sz w:val="20"/>
          <w:szCs w:val="20"/>
          <w:color w:val="auto"/>
        </w:rPr>
      </w:pPr>
      <w:r>
        <w:rPr>
          <w:rFonts w:ascii="Arial" w:cs="Arial" w:eastAsia="Arial" w:hAnsi="Arial"/>
          <w:sz w:val="22"/>
          <w:szCs w:val="22"/>
          <w:color w:val="auto"/>
        </w:rPr>
        <w:t>For the quarter ended September 30, 2015, Voyager reported a net loss of $6.9 million, or $5.25 per share, compared to a net loss of $4.4 million, or $6.45 per share, for the same period in 2014.</w:t>
      </w:r>
    </w:p>
    <w:p>
      <w:pPr>
        <w:spacing w:after="0" w:line="213" w:lineRule="exact"/>
        <w:rPr>
          <w:sz w:val="20"/>
          <w:szCs w:val="20"/>
          <w:color w:val="auto"/>
        </w:rPr>
      </w:pPr>
    </w:p>
    <w:p>
      <w:pPr>
        <w:ind w:left="860" w:right="539" w:hanging="53"/>
        <w:spacing w:after="0" w:line="245" w:lineRule="auto"/>
        <w:rPr>
          <w:sz w:val="20"/>
          <w:szCs w:val="20"/>
          <w:color w:val="auto"/>
        </w:rPr>
      </w:pPr>
      <w:r>
        <w:rPr>
          <w:rFonts w:ascii="Arial" w:cs="Arial" w:eastAsia="Arial" w:hAnsi="Arial"/>
          <w:sz w:val="21"/>
          <w:szCs w:val="21"/>
          <w:color w:val="auto"/>
        </w:rPr>
        <w:t>·Research and development (R&amp;D) expenses for the third quarter ended September 30, 2015, were approximately $6.5 million, compared to $2.4 million for the same period in 2014. The increase was largely due to expenditures in advancing development of Voyager’s pipeline and product engine, including increased R&amp;D personnel costs associated with the growth of the company.</w:t>
      </w:r>
    </w:p>
    <w:p>
      <w:pPr>
        <w:spacing w:after="0" w:line="1" w:lineRule="exact"/>
        <w:rPr>
          <w:sz w:val="20"/>
          <w:szCs w:val="20"/>
          <w:color w:val="auto"/>
        </w:rPr>
      </w:pPr>
    </w:p>
    <w:p>
      <w:pPr>
        <w:ind w:left="860" w:right="479" w:hanging="53"/>
        <w:spacing w:after="0" w:line="246" w:lineRule="auto"/>
        <w:rPr>
          <w:sz w:val="20"/>
          <w:szCs w:val="20"/>
          <w:color w:val="auto"/>
        </w:rPr>
      </w:pPr>
      <w:r>
        <w:rPr>
          <w:rFonts w:ascii="Arial" w:cs="Arial" w:eastAsia="Arial" w:hAnsi="Arial"/>
          <w:sz w:val="21"/>
          <w:szCs w:val="21"/>
          <w:color w:val="auto"/>
        </w:rPr>
        <w:t>·General and administrative (G&amp;A) expenses were $2.5 million for the quarter ended September 30, 2015, compared to $1.3 million for the same period in 2014. The increase was largely due to expenditures in G&amp;A personnel associated with the growth of the company, and increased consulting and professional fees.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About Voyager Therapeutics</w:t>
      </w:r>
    </w:p>
    <w:p>
      <w:pPr>
        <w:spacing w:after="0" w:line="14" w:lineRule="exact"/>
        <w:rPr>
          <w:sz w:val="20"/>
          <w:szCs w:val="20"/>
          <w:color w:val="auto"/>
        </w:rPr>
      </w:pPr>
    </w:p>
    <w:p>
      <w:pPr>
        <w:ind w:left="480" w:right="499"/>
        <w:spacing w:after="0" w:line="270" w:lineRule="auto"/>
        <w:rPr>
          <w:sz w:val="20"/>
          <w:szCs w:val="20"/>
          <w:color w:val="auto"/>
        </w:rPr>
      </w:pPr>
      <w:r>
        <w:rPr>
          <w:rFonts w:ascii="Arial" w:cs="Arial" w:eastAsia="Arial" w:hAnsi="Arial"/>
          <w:sz w:val="19"/>
          <w:szCs w:val="19"/>
          <w:color w:val="auto"/>
        </w:rPr>
        <w:t>Voyager Therapeutics is a clinical-stage gene therapy company developing life-changing treatments for severe diseases of the central nervous system. Voyager is committed to advancing the field of AAV (adeno-associated virus) gene therapy through innovation and investment in vector engineering and optimization, manufacturing and dosing and delivery techniques. The company’s pipeline is focused on severe CNS diseases in need of effective new therapies, including advanced Parkinson’s disease, a monogenic form of amyotrophic lateral sclerosis (ALS), Friedreich’s ataxia, Huntington’s disease and spinal muscular atrophy (SMA). Voyager has broad strategic collaborations with Genzyme Corporation, a Sanofi company, and the University of Massachusetts Medical School. Founded by scientific and clinical leaders in the fields of AAV gene therapy, expressed RNA interference and neuroscience, Voyager Therapeutics is headquartered in Cambridge, Massachusetts. For more information, please visit www.voyagertherapeutics.com. Follow Voyager on LinkedIn</w:t>
      </w:r>
      <w:r>
        <w:rPr>
          <w:rFonts w:ascii="Arial" w:cs="Arial" w:eastAsia="Arial" w:hAnsi="Arial"/>
          <w:sz w:val="19"/>
          <w:szCs w:val="19"/>
          <w:color w:val="1F497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118745</wp:posOffset>
            </wp:positionV>
            <wp:extent cx="512000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480"/>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left="480" w:right="499"/>
        <w:spacing w:after="0" w:line="269" w:lineRule="auto"/>
        <w:rPr>
          <w:sz w:val="20"/>
          <w:szCs w:val="20"/>
          <w:color w:val="auto"/>
        </w:rPr>
      </w:pPr>
      <w:r>
        <w:rPr>
          <w:rFonts w:ascii="Arial" w:cs="Arial" w:eastAsia="Arial" w:hAnsi="Arial"/>
          <w:sz w:val="19"/>
          <w:szCs w:val="19"/>
          <w:color w:val="auto"/>
        </w:rPr>
        <w:t>This press release contains forward-looking statements and information. The use of words such as “may,” “might,” “will,” “should,” “expect,” “plan,” “anticipate,” “believe,” “estimate,” “project,” “intend,” “future,” “potential,” or “continue,” and other similar expressions are intended to identify forward looking statements. For example, all statements we make regarding the initiation, timing, progress and results of our preclinical programs and clinical trials and our research and development programs, our ability to advance our AAV-based gene therapies into, and successfully complete, clinical trials, our ability to continue to develop our product engine, our ability to add new programs to our pipeline, and the timing or likelihood of regulatory filings and approvals, are forward looking. All forward-looking statements are based on estimates and assumptions by our management that, although we believe to be reasonable, are inherently uncertain. All forward-looking statements are subject to risks and uncertainties that may cause actual results to differ materially from those that we expected. These statements are also subject to a number of material risks and uncertainties that are described in our final prospectus for our initial public offering filed with the Securities and Exchange Commission, as updated by our future filings with the Securities and Exchange Commission. Any forward-looking statement speaks only as of the date on which it was made.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ind w:left="480"/>
        <w:spacing w:after="0" w:line="238" w:lineRule="auto"/>
        <w:rPr>
          <w:sz w:val="20"/>
          <w:szCs w:val="20"/>
          <w:color w:val="auto"/>
        </w:rPr>
      </w:pPr>
      <w:r>
        <w:rPr>
          <w:rFonts w:ascii="Arial" w:cs="Arial" w:eastAsia="Arial" w:hAnsi="Arial"/>
          <w:sz w:val="22"/>
          <w:szCs w:val="22"/>
          <w:b w:val="1"/>
          <w:bCs w:val="1"/>
          <w:color w:val="auto"/>
        </w:rPr>
        <w:t>Contact:</w:t>
      </w:r>
    </w:p>
    <w:p>
      <w:pPr>
        <w:ind w:left="480"/>
        <w:spacing w:after="0" w:line="230" w:lineRule="auto"/>
        <w:rPr>
          <w:sz w:val="20"/>
          <w:szCs w:val="20"/>
          <w:color w:val="auto"/>
        </w:rPr>
      </w:pPr>
      <w:r>
        <w:rPr>
          <w:rFonts w:ascii="Arial" w:cs="Arial" w:eastAsia="Arial" w:hAnsi="Arial"/>
          <w:sz w:val="22"/>
          <w:szCs w:val="22"/>
          <w:color w:val="auto"/>
        </w:rPr>
        <w:t>Investor Relations:</w:t>
      </w:r>
    </w:p>
    <w:p>
      <w:pPr>
        <w:ind w:left="480"/>
        <w:spacing w:after="0" w:line="231" w:lineRule="auto"/>
        <w:rPr>
          <w:sz w:val="20"/>
          <w:szCs w:val="20"/>
          <w:color w:val="auto"/>
        </w:rPr>
      </w:pPr>
      <w:r>
        <w:rPr>
          <w:rFonts w:ascii="Arial" w:cs="Arial" w:eastAsia="Arial" w:hAnsi="Arial"/>
          <w:sz w:val="22"/>
          <w:szCs w:val="22"/>
          <w:color w:val="auto"/>
        </w:rPr>
        <w:t>Sarah McCabe</w:t>
      </w:r>
    </w:p>
    <w:p>
      <w:pPr>
        <w:ind w:left="480"/>
        <w:spacing w:after="0" w:line="231" w:lineRule="auto"/>
        <w:rPr>
          <w:sz w:val="20"/>
          <w:szCs w:val="20"/>
          <w:color w:val="auto"/>
        </w:rPr>
      </w:pPr>
      <w:r>
        <w:rPr>
          <w:rFonts w:ascii="Arial" w:cs="Arial" w:eastAsia="Arial" w:hAnsi="Arial"/>
          <w:sz w:val="22"/>
          <w:szCs w:val="22"/>
          <w:color w:val="auto"/>
        </w:rPr>
        <w:t>Stern Investor Relations, Inc.</w:t>
      </w:r>
    </w:p>
    <w:p>
      <w:pPr>
        <w:ind w:left="480"/>
        <w:spacing w:after="0" w:line="230" w:lineRule="auto"/>
        <w:rPr>
          <w:sz w:val="20"/>
          <w:szCs w:val="20"/>
          <w:color w:val="auto"/>
        </w:rPr>
      </w:pPr>
      <w:r>
        <w:rPr>
          <w:rFonts w:ascii="Arial" w:cs="Arial" w:eastAsia="Arial" w:hAnsi="Arial"/>
          <w:sz w:val="22"/>
          <w:szCs w:val="22"/>
          <w:color w:val="auto"/>
        </w:rPr>
        <w:t>212-362-1200</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sarah@sternir.com</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Media:</w:t>
      </w:r>
    </w:p>
    <w:p>
      <w:pPr>
        <w:ind w:left="480"/>
        <w:spacing w:after="0" w:line="238" w:lineRule="auto"/>
        <w:rPr>
          <w:sz w:val="20"/>
          <w:szCs w:val="20"/>
          <w:color w:val="auto"/>
        </w:rPr>
      </w:pPr>
      <w:r>
        <w:rPr>
          <w:rFonts w:ascii="Arial" w:cs="Arial" w:eastAsia="Arial" w:hAnsi="Arial"/>
          <w:sz w:val="22"/>
          <w:szCs w:val="22"/>
          <w:color w:val="auto"/>
        </w:rPr>
        <w:t>Katie Engleman</w:t>
      </w:r>
    </w:p>
    <w:p>
      <w:pPr>
        <w:ind w:left="480"/>
        <w:spacing w:after="0" w:line="230" w:lineRule="auto"/>
        <w:rPr>
          <w:sz w:val="20"/>
          <w:szCs w:val="20"/>
          <w:color w:val="auto"/>
        </w:rPr>
      </w:pPr>
      <w:r>
        <w:rPr>
          <w:rFonts w:ascii="Arial" w:cs="Arial" w:eastAsia="Arial" w:hAnsi="Arial"/>
          <w:sz w:val="22"/>
          <w:szCs w:val="22"/>
          <w:color w:val="auto"/>
        </w:rPr>
        <w:t>Pure Communications, Inc.</w:t>
      </w:r>
    </w:p>
    <w:p>
      <w:pPr>
        <w:ind w:left="480"/>
        <w:spacing w:after="0" w:line="231" w:lineRule="auto"/>
        <w:rPr>
          <w:sz w:val="20"/>
          <w:szCs w:val="20"/>
          <w:color w:val="auto"/>
        </w:rPr>
      </w:pPr>
      <w:r>
        <w:rPr>
          <w:rFonts w:ascii="Arial" w:cs="Arial" w:eastAsia="Arial" w:hAnsi="Arial"/>
          <w:sz w:val="22"/>
          <w:szCs w:val="22"/>
          <w:color w:val="auto"/>
        </w:rPr>
        <w:t>910-509-3977</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Katie@purecommunicationsinc.com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441960</wp:posOffset>
            </wp:positionV>
            <wp:extent cx="512000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22"/>
          <w:szCs w:val="22"/>
          <w:b w:val="1"/>
          <w:bCs w:val="1"/>
          <w:color w:val="auto"/>
        </w:rPr>
        <w:t>Selected Financial Information</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(amounts in thousands)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42"/>
        </w:trPr>
        <w:tc>
          <w:tcPr>
            <w:tcW w:w="3960" w:type="dxa"/>
            <w:vAlign w:val="bottom"/>
          </w:tcPr>
          <w:p>
            <w:pPr>
              <w:spacing w:after="0"/>
              <w:rPr>
                <w:sz w:val="20"/>
                <w:szCs w:val="20"/>
                <w:color w:val="auto"/>
              </w:rPr>
            </w:pPr>
            <w:r>
              <w:rPr>
                <w:rFonts w:ascii="Arial" w:cs="Arial" w:eastAsia="Arial" w:hAnsi="Arial"/>
                <w:sz w:val="18"/>
                <w:szCs w:val="18"/>
                <w:b w:val="1"/>
                <w:bCs w:val="1"/>
                <w:color w:val="auto"/>
              </w:rPr>
              <w:t>Condensed Statement of Operations:</w:t>
            </w:r>
          </w:p>
        </w:tc>
        <w:tc>
          <w:tcPr>
            <w:tcW w:w="140" w:type="dxa"/>
            <w:vAlign w:val="bottom"/>
          </w:tcPr>
          <w:p>
            <w:pPr>
              <w:spacing w:after="0"/>
              <w:rPr>
                <w:sz w:val="21"/>
                <w:szCs w:val="21"/>
                <w:color w:val="auto"/>
              </w:rPr>
            </w:pPr>
          </w:p>
        </w:tc>
        <w:tc>
          <w:tcPr>
            <w:tcW w:w="168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3"/>
              </w:rPr>
              <w:t>Three Months Ended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jc w:val="right"/>
              <w:ind w:right="8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396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4,937</w:t>
            </w:r>
          </w:p>
        </w:tc>
        <w:tc>
          <w:tcPr>
            <w:tcW w:w="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2,399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18,459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5,938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6,752</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25,211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Other financing expense</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(9,750)</w:t>
            </w: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(1,754)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2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(22,389)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(11,627)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Selected Balance Sheet Items: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7"/>
              </w:rPr>
              <w:t>September 30,</w:t>
            </w:r>
          </w:p>
        </w:tc>
        <w:tc>
          <w:tcPr>
            <w:tcW w:w="40" w:type="dxa"/>
            <w:vAlign w:val="bottom"/>
          </w:tcPr>
          <w:p>
            <w:pPr>
              <w:spacing w:after="0"/>
              <w:rPr>
                <w:sz w:val="24"/>
                <w:szCs w:val="24"/>
                <w:color w:val="auto"/>
              </w:rPr>
            </w:pPr>
          </w:p>
        </w:tc>
        <w:tc>
          <w:tcPr>
            <w:tcW w:w="126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gridSpan w:val="3"/>
          </w:tcPr>
          <w:p>
            <w:pPr>
              <w:jc w:val="right"/>
              <w:ind w:right="411"/>
              <w:spacing w:after="0"/>
              <w:rPr>
                <w:sz w:val="20"/>
                <w:szCs w:val="20"/>
                <w:color w:val="auto"/>
              </w:rPr>
            </w:pPr>
            <w:r>
              <w:rPr>
                <w:rFonts w:ascii="Arial" w:cs="Arial" w:eastAsia="Arial" w:hAnsi="Arial"/>
                <w:sz w:val="18"/>
                <w:szCs w:val="18"/>
                <w:b w:val="1"/>
                <w:bCs w:val="1"/>
                <w:color w:val="auto"/>
                <w:w w:val="84"/>
              </w:rPr>
              <w:t>2015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87"/>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3960" w:type="dxa"/>
            <w:vAlign w:val="bottom"/>
          </w:tcPr>
          <w:p>
            <w:pPr>
              <w:ind w:left="40"/>
              <w:spacing w:after="0"/>
              <w:rPr>
                <w:sz w:val="20"/>
                <w:szCs w:val="20"/>
                <w:color w:val="auto"/>
              </w:rPr>
            </w:pPr>
            <w:r>
              <w:rPr>
                <w:rFonts w:ascii="Arial" w:cs="Arial" w:eastAsia="Arial" w:hAnsi="Arial"/>
                <w:sz w:val="20"/>
                <w:szCs w:val="20"/>
                <w:color w:val="auto"/>
                <w:w w:val="88"/>
              </w:rPr>
              <w:t>Cash, cash equivalents and marketable securities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5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860" w:type="dxa"/>
            <w:vAlign w:val="bottom"/>
            <w:gridSpan w:val="3"/>
          </w:tcPr>
          <w:p>
            <w:pPr>
              <w:jc w:val="right"/>
              <w:ind w:right="51"/>
              <w:spacing w:after="0"/>
              <w:rPr>
                <w:sz w:val="20"/>
                <w:szCs w:val="20"/>
                <w:color w:val="auto"/>
              </w:rPr>
            </w:pPr>
            <w:r>
              <w:rPr>
                <w:rFonts w:ascii="Arial" w:cs="Arial" w:eastAsia="Arial" w:hAnsi="Arial"/>
                <w:sz w:val="20"/>
                <w:szCs w:val="20"/>
                <w:color w:val="auto"/>
                <w:w w:val="96"/>
              </w:rPr>
              <w:t>160,593</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20"/>
                <w:szCs w:val="20"/>
                <w:color w:val="auto"/>
              </w:rPr>
              <w:t>7,035</w:t>
            </w:r>
          </w:p>
        </w:tc>
        <w:tc>
          <w:tcPr>
            <w:tcW w:w="0" w:type="dxa"/>
            <w:vAlign w:val="bottom"/>
          </w:tcPr>
          <w:p>
            <w:pPr>
              <w:spacing w:after="0"/>
              <w:rPr>
                <w:sz w:val="1"/>
                <w:szCs w:val="1"/>
                <w:color w:val="auto"/>
              </w:rPr>
            </w:pPr>
          </w:p>
        </w:tc>
      </w:tr>
      <w:tr>
        <w:trPr>
          <w:trHeight w:val="284"/>
        </w:trPr>
        <w:tc>
          <w:tcPr>
            <w:tcW w:w="3960" w:type="dxa"/>
            <w:vAlign w:val="bottom"/>
          </w:tcPr>
          <w:p>
            <w:pPr>
              <w:ind w:left="40"/>
              <w:spacing w:after="0"/>
              <w:rPr>
                <w:sz w:val="20"/>
                <w:szCs w:val="20"/>
                <w:color w:val="auto"/>
              </w:rPr>
            </w:pPr>
            <w:r>
              <w:rPr>
                <w:rFonts w:ascii="Arial" w:cs="Arial" w:eastAsia="Arial" w:hAnsi="Arial"/>
                <w:sz w:val="20"/>
                <w:szCs w:val="20"/>
                <w:color w:val="auto"/>
              </w:rPr>
              <w:t>Total assets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5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860" w:type="dxa"/>
            <w:vAlign w:val="bottom"/>
            <w:gridSpan w:val="3"/>
          </w:tcPr>
          <w:p>
            <w:pPr>
              <w:jc w:val="right"/>
              <w:ind w:right="51"/>
              <w:spacing w:after="0"/>
              <w:rPr>
                <w:sz w:val="20"/>
                <w:szCs w:val="20"/>
                <w:color w:val="auto"/>
              </w:rPr>
            </w:pPr>
            <w:r>
              <w:rPr>
                <w:rFonts w:ascii="Arial" w:cs="Arial" w:eastAsia="Arial" w:hAnsi="Arial"/>
                <w:sz w:val="20"/>
                <w:szCs w:val="20"/>
                <w:color w:val="auto"/>
                <w:w w:val="96"/>
              </w:rPr>
              <w:t>166,435</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20"/>
                <w:szCs w:val="20"/>
                <w:color w:val="auto"/>
              </w:rPr>
              <w:t>11,497</w:t>
            </w:r>
          </w:p>
        </w:tc>
        <w:tc>
          <w:tcPr>
            <w:tcW w:w="0" w:type="dxa"/>
            <w:vAlign w:val="bottom"/>
          </w:tcPr>
          <w:p>
            <w:pPr>
              <w:spacing w:after="0"/>
              <w:rPr>
                <w:sz w:val="1"/>
                <w:szCs w:val="1"/>
                <w:color w:val="auto"/>
              </w:rPr>
            </w:pPr>
          </w:p>
        </w:tc>
      </w:tr>
      <w:tr>
        <w:trPr>
          <w:trHeight w:val="284"/>
        </w:trPr>
        <w:tc>
          <w:tcPr>
            <w:tcW w:w="3960" w:type="dxa"/>
            <w:vAlign w:val="bottom"/>
          </w:tcPr>
          <w:p>
            <w:pPr>
              <w:ind w:left="40"/>
              <w:spacing w:after="0"/>
              <w:rPr>
                <w:sz w:val="20"/>
                <w:szCs w:val="20"/>
                <w:color w:val="auto"/>
              </w:rPr>
            </w:pPr>
            <w:r>
              <w:rPr>
                <w:rFonts w:ascii="Arial" w:cs="Arial" w:eastAsia="Arial" w:hAnsi="Arial"/>
                <w:sz w:val="20"/>
                <w:szCs w:val="20"/>
                <w:color w:val="auto"/>
              </w:rPr>
              <w:t>Accounts payable and accrued expenses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5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51"/>
              <w:spacing w:after="0"/>
              <w:rPr>
                <w:sz w:val="20"/>
                <w:szCs w:val="20"/>
                <w:color w:val="auto"/>
              </w:rPr>
            </w:pPr>
            <w:r>
              <w:rPr>
                <w:rFonts w:ascii="Arial" w:cs="Arial" w:eastAsia="Arial" w:hAnsi="Arial"/>
                <w:sz w:val="20"/>
                <w:szCs w:val="20"/>
                <w:color w:val="auto"/>
              </w:rPr>
              <w:t>3,483</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20"/>
                <w:szCs w:val="20"/>
                <w:color w:val="auto"/>
              </w:rPr>
              <w:t>2,196</w:t>
            </w:r>
          </w:p>
        </w:tc>
        <w:tc>
          <w:tcPr>
            <w:tcW w:w="0" w:type="dxa"/>
            <w:vAlign w:val="bottom"/>
          </w:tcPr>
          <w:p>
            <w:pPr>
              <w:spacing w:after="0"/>
              <w:rPr>
                <w:sz w:val="1"/>
                <w:szCs w:val="1"/>
                <w:color w:val="auto"/>
              </w:rPr>
            </w:pPr>
          </w:p>
        </w:tc>
      </w:tr>
      <w:tr>
        <w:trPr>
          <w:trHeight w:val="297"/>
        </w:trPr>
        <w:tc>
          <w:tcPr>
            <w:tcW w:w="3960" w:type="dxa"/>
            <w:vAlign w:val="bottom"/>
          </w:tcPr>
          <w:p>
            <w:pPr>
              <w:ind w:left="40"/>
              <w:spacing w:after="0"/>
              <w:rPr>
                <w:sz w:val="20"/>
                <w:szCs w:val="20"/>
                <w:color w:val="auto"/>
              </w:rPr>
            </w:pPr>
            <w:r>
              <w:rPr>
                <w:rFonts w:ascii="Arial" w:cs="Arial" w:eastAsia="Arial" w:hAnsi="Arial"/>
                <w:sz w:val="20"/>
                <w:szCs w:val="20"/>
                <w:color w:val="auto"/>
              </w:rPr>
              <w:t>Deferred revenue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5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51"/>
              <w:spacing w:after="0"/>
              <w:rPr>
                <w:sz w:val="20"/>
                <w:szCs w:val="20"/>
                <w:color w:val="auto"/>
              </w:rPr>
            </w:pPr>
            <w:r>
              <w:rPr>
                <w:rFonts w:ascii="Arial" w:cs="Arial" w:eastAsia="Arial" w:hAnsi="Arial"/>
                <w:sz w:val="20"/>
                <w:szCs w:val="20"/>
                <w:color w:val="auto"/>
                <w:w w:val="88"/>
              </w:rPr>
              <w:t>59,794</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3960" w:type="dxa"/>
            <w:vAlign w:val="bottom"/>
          </w:tcPr>
          <w:p>
            <w:pPr>
              <w:ind w:left="40"/>
              <w:spacing w:after="0"/>
              <w:rPr>
                <w:sz w:val="20"/>
                <w:szCs w:val="20"/>
                <w:color w:val="auto"/>
              </w:rPr>
            </w:pPr>
            <w:r>
              <w:rPr>
                <w:rFonts w:ascii="Arial" w:cs="Arial" w:eastAsia="Arial" w:hAnsi="Arial"/>
                <w:sz w:val="20"/>
                <w:szCs w:val="20"/>
                <w:color w:val="auto"/>
              </w:rPr>
              <w:t>Redeemable convertible preferred stock</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5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860" w:type="dxa"/>
            <w:vAlign w:val="bottom"/>
            <w:gridSpan w:val="3"/>
          </w:tcPr>
          <w:p>
            <w:pPr>
              <w:jc w:val="right"/>
              <w:ind w:right="51"/>
              <w:spacing w:after="0"/>
              <w:rPr>
                <w:sz w:val="20"/>
                <w:szCs w:val="20"/>
                <w:color w:val="auto"/>
              </w:rPr>
            </w:pPr>
            <w:r>
              <w:rPr>
                <w:rFonts w:ascii="Arial" w:cs="Arial" w:eastAsia="Arial" w:hAnsi="Arial"/>
                <w:sz w:val="20"/>
                <w:szCs w:val="20"/>
                <w:color w:val="auto"/>
                <w:w w:val="96"/>
              </w:rPr>
              <w:t>148,858</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20"/>
                <w:szCs w:val="20"/>
                <w:color w:val="auto"/>
              </w:rPr>
              <w:t>21,979</w:t>
            </w:r>
          </w:p>
        </w:tc>
        <w:tc>
          <w:tcPr>
            <w:tcW w:w="0" w:type="dxa"/>
            <w:vAlign w:val="bottom"/>
          </w:tcPr>
          <w:p>
            <w:pPr>
              <w:spacing w:after="0"/>
              <w:rPr>
                <w:sz w:val="1"/>
                <w:szCs w:val="1"/>
                <w:color w:val="auto"/>
              </w:rPr>
            </w:pPr>
          </w:p>
        </w:tc>
      </w:tr>
      <w:tr>
        <w:trPr>
          <w:trHeight w:val="284"/>
        </w:trPr>
        <w:tc>
          <w:tcPr>
            <w:tcW w:w="3960" w:type="dxa"/>
            <w:vAlign w:val="bottom"/>
          </w:tcPr>
          <w:p>
            <w:pPr>
              <w:ind w:left="40"/>
              <w:spacing w:after="0"/>
              <w:rPr>
                <w:sz w:val="20"/>
                <w:szCs w:val="20"/>
                <w:color w:val="auto"/>
              </w:rPr>
            </w:pPr>
            <w:r>
              <w:rPr>
                <w:rFonts w:ascii="Arial" w:cs="Arial" w:eastAsia="Arial" w:hAnsi="Arial"/>
                <w:sz w:val="20"/>
                <w:szCs w:val="20"/>
                <w:color w:val="auto"/>
              </w:rPr>
              <w:t>Total stockholders' deficit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5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860" w:type="dxa"/>
            <w:vAlign w:val="bottom"/>
            <w:gridSpan w:val="3"/>
          </w:tcPr>
          <w:p>
            <w:pPr>
              <w:jc w:val="right"/>
              <w:ind w:right="11"/>
              <w:spacing w:after="0"/>
              <w:rPr>
                <w:sz w:val="20"/>
                <w:szCs w:val="20"/>
                <w:color w:val="auto"/>
              </w:rPr>
            </w:pPr>
            <w:r>
              <w:rPr>
                <w:rFonts w:ascii="Arial" w:cs="Arial" w:eastAsia="Arial" w:hAnsi="Arial"/>
                <w:sz w:val="20"/>
                <w:szCs w:val="20"/>
                <w:color w:val="auto"/>
                <w:w w:val="99"/>
              </w:rPr>
              <w:t>(47,139)</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20"/>
                <w:szCs w:val="20"/>
                <w:color w:val="auto"/>
              </w:rPr>
              <w:t>(20,830)</w:t>
            </w:r>
          </w:p>
        </w:tc>
        <w:tc>
          <w:tcPr>
            <w:tcW w:w="0" w:type="dxa"/>
            <w:vAlign w:val="bottom"/>
          </w:tcPr>
          <w:p>
            <w:pPr>
              <w:spacing w:after="0"/>
              <w:rPr>
                <w:sz w:val="1"/>
                <w:szCs w:val="1"/>
                <w:color w:val="auto"/>
              </w:rPr>
            </w:pPr>
          </w:p>
        </w:tc>
      </w:tr>
      <w:tr>
        <w:trPr>
          <w:trHeight w:val="962"/>
        </w:trPr>
        <w:tc>
          <w:tcPr>
            <w:tcW w:w="3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2019-12-09T06:11:31Z</dcterms:created>
  <dcterms:modified xsi:type="dcterms:W3CDTF">2019-12-09T06:11:31Z</dcterms:modified>
</cp:coreProperties>
</file>