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2023</w:t>
      </w:r>
    </w:p>
    <w:p>
      <w:pPr>
        <w:spacing w:after="0" w:line="225"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VOYAGER THERAPEUTICS,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60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46-3003182</w:t>
            </w:r>
          </w:p>
        </w:tc>
      </w:tr>
      <w:tr>
        <w:trPr>
          <w:trHeight w:val="216"/>
        </w:trPr>
        <w:tc>
          <w:tcPr>
            <w:tcW w:w="4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0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60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or Organization)</w:t>
            </w:r>
          </w:p>
        </w:tc>
        <w:tc>
          <w:tcPr>
            <w:tcW w:w="4020" w:type="dxa"/>
            <w:vAlign w:val="bottom"/>
          </w:tcPr>
          <w:p>
            <w:pPr>
              <w:spacing w:after="0"/>
              <w:rPr>
                <w:sz w:val="20"/>
                <w:szCs w:val="20"/>
                <w:color w:val="auto"/>
              </w:rPr>
            </w:pPr>
          </w:p>
        </w:tc>
      </w:tr>
      <w:tr>
        <w:trPr>
          <w:trHeight w:val="414"/>
        </w:trPr>
        <w:tc>
          <w:tcPr>
            <w:tcW w:w="460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64 Sidney Street, Cambridge, MA</w:t>
            </w:r>
          </w:p>
        </w:tc>
        <w:tc>
          <w:tcPr>
            <w:tcW w:w="40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46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Voyager Therapeutics, Inc. 2015 Stock Option and Incentive Plan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Voyager Therapeutics, Inc. 2015 Employee Stock Purchase Plan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Inducement Stock Option Grant Awards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Inducement Restricted Stock Unit Awards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Alfred Sandrock</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(857) 259-5340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Copies to:</w:t>
            </w:r>
          </w:p>
        </w:tc>
        <w:tc>
          <w:tcPr>
            <w:tcW w:w="3740" w:type="dxa"/>
            <w:vAlign w:val="bottom"/>
          </w:tcPr>
          <w:p>
            <w:pPr>
              <w:spacing w:after="0"/>
              <w:rPr>
                <w:sz w:val="20"/>
                <w:szCs w:val="20"/>
                <w:color w:val="auto"/>
              </w:rPr>
            </w:pPr>
          </w:p>
        </w:tc>
      </w:tr>
      <w:tr>
        <w:trPr>
          <w:trHeight w:val="410"/>
        </w:trPr>
        <w:tc>
          <w:tcPr>
            <w:tcW w:w="3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Brian A. Johnson, Esq.</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Peter P. Pfreundschuh</w:t>
            </w:r>
          </w:p>
        </w:tc>
        <w:tc>
          <w:tcPr>
            <w:tcW w:w="37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Robert Hesslein, Esq.</w:t>
            </w:r>
          </w:p>
        </w:tc>
      </w:tr>
      <w:tr>
        <w:trPr>
          <w:trHeight w:val="216"/>
        </w:trPr>
        <w:tc>
          <w:tcPr>
            <w:tcW w:w="3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 S. Avery Reaves, Esq.</w:t>
            </w:r>
          </w:p>
        </w:tc>
        <w:tc>
          <w:tcPr>
            <w:tcW w:w="440" w:type="dxa"/>
            <w:vAlign w:val="bottom"/>
          </w:tcPr>
          <w:p>
            <w:pPr>
              <w:spacing w:after="0"/>
              <w:rPr>
                <w:sz w:val="18"/>
                <w:szCs w:val="18"/>
                <w:color w:val="auto"/>
              </w:rPr>
            </w:pPr>
          </w:p>
        </w:tc>
        <w:tc>
          <w:tcPr>
            <w:tcW w:w="3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37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General Counsel</w:t>
            </w:r>
          </w:p>
        </w:tc>
      </w:tr>
      <w:tr>
        <w:trPr>
          <w:trHeight w:val="216"/>
        </w:trPr>
        <w:tc>
          <w:tcPr>
            <w:tcW w:w="3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Wilmer Cutler Pickering Hale and Dorr LLP</w:t>
            </w:r>
          </w:p>
        </w:tc>
        <w:tc>
          <w:tcPr>
            <w:tcW w:w="440" w:type="dxa"/>
            <w:vAlign w:val="bottom"/>
          </w:tcPr>
          <w:p>
            <w:pPr>
              <w:spacing w:after="0"/>
              <w:rPr>
                <w:sz w:val="18"/>
                <w:szCs w:val="18"/>
                <w:color w:val="auto"/>
              </w:rPr>
            </w:pPr>
          </w:p>
        </w:tc>
        <w:tc>
          <w:tcPr>
            <w:tcW w:w="3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Voyager Therapeutics, Inc.</w:t>
            </w:r>
          </w:p>
        </w:tc>
        <w:tc>
          <w:tcPr>
            <w:tcW w:w="37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Voyager Therapeutics, Inc.</w:t>
            </w:r>
          </w:p>
        </w:tc>
      </w:tr>
      <w:tr>
        <w:trPr>
          <w:trHeight w:val="216"/>
        </w:trPr>
        <w:tc>
          <w:tcPr>
            <w:tcW w:w="3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7 World Trade Center</w:t>
            </w:r>
          </w:p>
        </w:tc>
        <w:tc>
          <w:tcPr>
            <w:tcW w:w="440" w:type="dxa"/>
            <w:vAlign w:val="bottom"/>
          </w:tcPr>
          <w:p>
            <w:pPr>
              <w:spacing w:after="0"/>
              <w:rPr>
                <w:sz w:val="18"/>
                <w:szCs w:val="18"/>
                <w:color w:val="auto"/>
              </w:rPr>
            </w:pPr>
          </w:p>
        </w:tc>
        <w:tc>
          <w:tcPr>
            <w:tcW w:w="3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64 Sidney Street</w:t>
            </w:r>
          </w:p>
        </w:tc>
        <w:tc>
          <w:tcPr>
            <w:tcW w:w="37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64 Sidney Street</w:t>
            </w:r>
          </w:p>
        </w:tc>
      </w:tr>
      <w:tr>
        <w:trPr>
          <w:trHeight w:val="216"/>
        </w:trPr>
        <w:tc>
          <w:tcPr>
            <w:tcW w:w="3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250 Greenwich Street</w:t>
            </w:r>
          </w:p>
        </w:tc>
        <w:tc>
          <w:tcPr>
            <w:tcW w:w="440" w:type="dxa"/>
            <w:vAlign w:val="bottom"/>
          </w:tcPr>
          <w:p>
            <w:pPr>
              <w:spacing w:after="0"/>
              <w:rPr>
                <w:sz w:val="18"/>
                <w:szCs w:val="18"/>
                <w:color w:val="auto"/>
              </w:rPr>
            </w:pPr>
          </w:p>
        </w:tc>
        <w:tc>
          <w:tcPr>
            <w:tcW w:w="3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c>
          <w:tcPr>
            <w:tcW w:w="37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r>
      <w:tr>
        <w:trPr>
          <w:trHeight w:val="216"/>
        </w:trPr>
        <w:tc>
          <w:tcPr>
            <w:tcW w:w="3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 10007</w:t>
            </w:r>
          </w:p>
        </w:tc>
        <w:tc>
          <w:tcPr>
            <w:tcW w:w="440" w:type="dxa"/>
            <w:vAlign w:val="bottom"/>
          </w:tcPr>
          <w:p>
            <w:pPr>
              <w:spacing w:after="0"/>
              <w:rPr>
                <w:sz w:val="18"/>
                <w:szCs w:val="18"/>
                <w:color w:val="auto"/>
              </w:rPr>
            </w:pPr>
          </w:p>
        </w:tc>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(857) 259-5340</w:t>
            </w:r>
          </w:p>
        </w:tc>
        <w:tc>
          <w:tcPr>
            <w:tcW w:w="37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(857) 259-5340</w:t>
            </w:r>
          </w:p>
        </w:tc>
      </w:tr>
      <w:tr>
        <w:trPr>
          <w:trHeight w:val="238"/>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230-8800</w:t>
            </w:r>
          </w:p>
        </w:tc>
        <w:tc>
          <w:tcPr>
            <w:tcW w:w="4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740" w:type="dxa"/>
            <w:vAlign w:val="bottom"/>
          </w:tcPr>
          <w:p>
            <w:pPr>
              <w:spacing w:after="0"/>
              <w:rPr>
                <w:sz w:val="20"/>
                <w:szCs w:val="20"/>
                <w:color w:val="auto"/>
              </w:rPr>
            </w:pPr>
          </w:p>
        </w:tc>
      </w:tr>
    </w:tbl>
    <w:p>
      <w:pPr>
        <w:spacing w:after="0" w:line="211"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468" w:right="499" w:bottom="1440" w:gutter="0" w:footer="0" w:header="0"/>
        </w:sectPr>
      </w:pPr>
    </w:p>
    <w:p>
      <w:pPr>
        <w:spacing w:after="0" w:line="17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28" w:lineRule="exact"/>
        <w:rPr>
          <w:sz w:val="24"/>
          <w:szCs w:val="24"/>
          <w:color w:val="auto"/>
        </w:rPr>
      </w:pPr>
    </w:p>
    <w:p>
      <w:pPr>
        <w:sectPr>
          <w:pgSz w:w="11900" w:h="16838" w:orient="portrait"/>
          <w:cols w:equalWidth="0" w:num="2">
            <w:col w:w="7180" w:space="720"/>
            <w:col w:w="3180"/>
          </w:cols>
          <w:pgMar w:left="320" w:top="468" w:right="499" w:bottom="1440" w:gutter="0" w:footer="0" w:header="0"/>
          <w:type w:val="continuous"/>
        </w:sectPr>
      </w:pPr>
    </w:p>
    <w:p>
      <w:pPr>
        <w:spacing w:after="0" w:line="8" w:lineRule="exact"/>
        <w:rPr>
          <w:sz w:val="24"/>
          <w:szCs w:val="24"/>
          <w:color w:val="auto"/>
        </w:r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400" w:space="720"/>
            <w:col w:w="3960"/>
          </w:cols>
          <w:pgMar w:left="320" w:top="468" w:right="499" w:bottom="1440" w:gutter="0" w:footer="0" w:header="0"/>
          <w:type w:val="continuous"/>
        </w:sectPr>
      </w:pPr>
    </w:p>
    <w:p>
      <w:pPr>
        <w:spacing w:after="0" w:line="65" w:lineRule="exact"/>
        <w:rPr>
          <w:sz w:val="24"/>
          <w:szCs w:val="24"/>
          <w:color w:val="auto"/>
        </w:rPr>
      </w:pPr>
    </w:p>
    <w:p>
      <w:pPr>
        <w:ind w:left="712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ectPr>
          <w:pgSz w:w="11900" w:h="16838" w:orient="portrait"/>
          <w:cols w:equalWidth="0" w:num="1">
            <w:col w:w="11080"/>
          </w:cols>
          <w:pgMar w:left="320" w:top="468" w:right="499" w:bottom="1440" w:gutter="0" w:footer="0" w:header="0"/>
          <w:type w:val="continuous"/>
        </w:sect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468" w:right="49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 is omitted from this registration statement and included in documents sent or given to participants in the plans covered by this registration statement pursuant to Rule 428(b)(1) of the Securities Act of 1933, as amended (the “Securities Act”) and the Note to Part I of Form S-8.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written statement required by Item 2 is omitted from this registration statement and included in documents sent or given to participants in the plans covered by this registration statement pursuant to Rule 428(b)(1) of the Securities Act and the Note to Part I of Form S-8.</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180"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latest annual report filed pursuant to Section 13(a) or 15(d) of the Exchange Act or the latest prospectus filed pursuant to</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under the Securities Act that contains audited financial statements for the registrant’s latest fiscal year for which such statements have been filed.</w:t>
      </w:r>
    </w:p>
    <w:p>
      <w:pPr>
        <w:spacing w:after="0" w:line="18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document referred to in (a) above.</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Section 102(b)(7) of the DGCL provides, generally, that a corporation’s certificate of incorporation may contain a provision eliminating or limiting the personal liability of a director to the corporation or its shareholders for monetary damages for breach of fiduciary duty as a director, provided that such provision may not eliminate or limit the liability of a director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87" w:lineRule="exact"/>
        <w:rPr>
          <w:sz w:val="20"/>
          <w:szCs w:val="20"/>
          <w:color w:val="auto"/>
        </w:rPr>
      </w:pPr>
    </w:p>
    <w:p>
      <w:pPr>
        <w:jc w:val="both"/>
        <w:ind w:right="440" w:firstLine="648"/>
        <w:spacing w:after="0" w:line="289" w:lineRule="auto"/>
        <w:rPr>
          <w:sz w:val="20"/>
          <w:szCs w:val="20"/>
          <w:color w:val="auto"/>
        </w:rPr>
      </w:pPr>
      <w:r>
        <w:rPr>
          <w:rFonts w:ascii="Times New Roman" w:cs="Times New Roman" w:eastAsia="Times New Roman" w:hAnsi="Times New Roman"/>
          <w:sz w:val="17"/>
          <w:szCs w:val="17"/>
          <w:color w:val="auto"/>
        </w:rPr>
        <w:t>The registrant’s certificate of incorporation and bylaws limit or eliminate the personal liability of directors for breach of fiduciary duty to the maximum extent permitted by the DGCL and provides that no director will have personal liability to the registrant or to its stockholders for monetary damages for breach of fiduciary duty or other duty as a director. However, these provisions do not eliminate or limit the liability of any of directors:</w:t>
      </w:r>
    </w:p>
    <w:p>
      <w:pPr>
        <w:spacing w:after="0" w:line="158"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registrant or its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stock repurchases or other distributions;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registrant’s bylaws provide that:</w:t>
      </w:r>
    </w:p>
    <w:p>
      <w:pPr>
        <w:spacing w:after="0" w:line="225" w:lineRule="exact"/>
        <w:rPr>
          <w:sz w:val="20"/>
          <w:szCs w:val="20"/>
          <w:color w:val="auto"/>
        </w:rPr>
      </w:pPr>
    </w:p>
    <w:p>
      <w:pPr>
        <w:ind w:left="980" w:right="1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indemnify its directors, officers and, in the discretion of the board of directors, certain employees to the fullest extent permitted by the DGCL, as it now exists or may in the future be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advance reasonable expenses, including attorneys’ fees, to its directors and, in the discretion of the board of directors, to its officers and certain employees, in connection with legal proceedings relating to their service for or on behalf of the registrant, subject to limited exceptions.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These agreements provide that the registrant will indemnify the director or executive officer to the fullest extent permitted by Delaware law for claims arising in his or her capacity as a director or officer of the registrant or in connection with their service at the registrant’s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 Such agreements include the advancement of expenses, including attorneys’ fees (but excluding judgments, fines and settlement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certain of the directors may have certain rights to indemnification, advancement of expenses or insurance provided by their affiliates,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the affiliates of those directors to advance expenses or to provide indemnification for the expenses or liabilities incurred by those directors are secondary. The registrant also maintains a general liability insurance policy which covers certain liabilities of its directors and officers arising out of claims based on acts or omissions in their capacities as directors or officers, including liabilities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904" w:right="35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27305</wp:posOffset>
            </wp:positionV>
            <wp:extent cx="6677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20" w:space="720"/>
            <w:col w:w="5680"/>
          </w:cols>
          <w:pgMar w:left="320" w:top="904" w:right="359" w:bottom="1440" w:gutter="0" w:footer="0" w:header="0"/>
          <w:type w:val="continuous"/>
        </w:sectPr>
      </w:pPr>
    </w:p>
    <w:p>
      <w:pPr>
        <w:ind w:left="720" w:right="40" w:hanging="714"/>
        <w:spacing w:after="0" w:line="276" w:lineRule="auto"/>
        <w:tabs>
          <w:tab w:leader="none" w:pos="700" w:val="left"/>
        </w:tabs>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6">
        <w:r>
          <w:rPr>
            <w:rFonts w:ascii="Times New Roman" w:cs="Times New Roman" w:eastAsia="Times New Roman" w:hAnsi="Times New Roman"/>
            <w:sz w:val="18"/>
            <w:szCs w:val="18"/>
            <w:u w:val="single" w:color="auto"/>
            <w:color w:val="0000EE"/>
          </w:rPr>
          <w:t>Specimen Common Stock Certificate of the Registrant (Incorporated by reference to Exhibit 4.1 to the Registrant’s Annual Report on Form 10-K</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(File No. 001-37625) filed on March 14, 2018).</w:t>
        </w:r>
      </w:hyperlink>
    </w:p>
    <w:p>
      <w:pPr>
        <w:spacing w:after="0" w:line="167" w:lineRule="exact"/>
        <w:rPr>
          <w:rFonts w:ascii="Times New Roman" w:cs="Times New Roman" w:eastAsia="Times New Roman" w:hAnsi="Times New Roman"/>
          <w:sz w:val="18"/>
          <w:szCs w:val="18"/>
          <w:u w:val="single" w:color="auto"/>
          <w:color w:val="0000EE"/>
        </w:rPr>
      </w:pPr>
    </w:p>
    <w:p>
      <w:pPr>
        <w:ind w:left="720" w:right="80" w:hanging="714"/>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17">
        <w:r>
          <w:rPr>
            <w:rFonts w:ascii="Times New Roman" w:cs="Times New Roman" w:eastAsia="Times New Roman" w:hAnsi="Times New Roman"/>
            <w:sz w:val="18"/>
            <w:szCs w:val="18"/>
            <w:u w:val="single" w:color="auto"/>
            <w:color w:val="0000EE"/>
          </w:rPr>
          <w:t>Fifth Amended and Restated Certificate of Incorporation (Incorporated by reference to Exhibit 3.1 to the Registrant’s Current Report on Form 8-</w:t>
        </w:r>
      </w:hyperlink>
      <w:hyperlink r:id="rId17">
        <w:r>
          <w:rPr>
            <w:rFonts w:ascii="Times New Roman" w:cs="Times New Roman" w:eastAsia="Times New Roman" w:hAnsi="Times New Roman"/>
            <w:sz w:val="18"/>
            <w:szCs w:val="18"/>
            <w:u w:val="single" w:color="auto"/>
            <w:color w:val="0000EE"/>
          </w:rPr>
          <w:t>K (File No. 001-37625) filed on November 16, 2015).</w:t>
        </w:r>
      </w:hyperlink>
    </w:p>
    <w:p>
      <w:pPr>
        <w:spacing w:after="0" w:line="162" w:lineRule="exact"/>
        <w:rPr>
          <w:rFonts w:ascii="Times New Roman" w:cs="Times New Roman" w:eastAsia="Times New Roman" w:hAnsi="Times New Roman"/>
          <w:sz w:val="18"/>
          <w:szCs w:val="18"/>
          <w:u w:val="single" w:color="auto"/>
          <w:color w:val="0000EE"/>
        </w:rPr>
      </w:pPr>
    </w:p>
    <w:p>
      <w:pPr>
        <w:ind w:left="720" w:right="200" w:hanging="714"/>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18">
        <w:r>
          <w:rPr>
            <w:rFonts w:ascii="Times New Roman" w:cs="Times New Roman" w:eastAsia="Times New Roman" w:hAnsi="Times New Roman"/>
            <w:sz w:val="18"/>
            <w:szCs w:val="18"/>
            <w:u w:val="single" w:color="auto"/>
            <w:color w:val="0000EE"/>
          </w:rPr>
          <w:t>Amended and Restated Bylaws (Incorporated by reference to Exhibit 3.2 to the Registrant’s Current Report on Form 8-K (File No. 001-37625)</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filed on November 16, 2015).</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Wilmer Cutler Pickering Hale and Dorr LLP, counsel to the Registrant.</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Wilmer Cutler Pickering Hale and Dorr LLP (Included in Exhibit 5.1).</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the signature page of this Registration Statement).</w:t>
      </w:r>
    </w:p>
    <w:p>
      <w:pPr>
        <w:spacing w:after="0" w:line="225" w:lineRule="exact"/>
        <w:rPr>
          <w:rFonts w:ascii="Times New Roman" w:cs="Times New Roman" w:eastAsia="Times New Roman" w:hAnsi="Times New Roman"/>
          <w:sz w:val="18"/>
          <w:szCs w:val="18"/>
          <w:u w:val="single" w:color="auto"/>
          <w:color w:val="0000EE"/>
        </w:rPr>
      </w:pPr>
    </w:p>
    <w:p>
      <w:pPr>
        <w:ind w:left="700" w:right="220" w:hanging="687"/>
        <w:spacing w:after="0" w:line="282" w:lineRule="auto"/>
        <w:tabs>
          <w:tab w:leader="none" w:pos="680" w:val="left"/>
        </w:tabs>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19">
        <w:r>
          <w:rPr>
            <w:rFonts w:ascii="Times New Roman" w:cs="Times New Roman" w:eastAsia="Times New Roman" w:hAnsi="Times New Roman"/>
            <w:sz w:val="18"/>
            <w:szCs w:val="18"/>
            <w:u w:val="single" w:color="auto"/>
            <w:color w:val="0000EE"/>
          </w:rPr>
          <w:t>2015 Stock Option and Incentive Plan and forms of award agreements thereunder (Incorporated by reference to Exhibit 10.2 to the Registrant’s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Registration Statement on Form S-1, as amended (File No. 333-207367) filed on October 28, 2015).</w:t>
        </w:r>
      </w:hyperlink>
    </w:p>
    <w:p>
      <w:pPr>
        <w:spacing w:after="0" w:line="162" w:lineRule="exact"/>
        <w:rPr>
          <w:rFonts w:ascii="Times New Roman" w:cs="Times New Roman" w:eastAsia="Times New Roman" w:hAnsi="Times New Roman"/>
          <w:sz w:val="18"/>
          <w:szCs w:val="18"/>
          <w:u w:val="single" w:color="auto"/>
          <w:color w:val="0000EE"/>
        </w:rPr>
      </w:pPr>
    </w:p>
    <w:p>
      <w:pPr>
        <w:ind w:left="700" w:right="460" w:hanging="687"/>
        <w:spacing w:after="0" w:line="282" w:lineRule="auto"/>
        <w:tabs>
          <w:tab w:leader="none" w:pos="680" w:val="left"/>
        </w:tabs>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r:id="rId20">
        <w:r>
          <w:rPr>
            <w:rFonts w:ascii="Times New Roman" w:cs="Times New Roman" w:eastAsia="Times New Roman" w:hAnsi="Times New Roman"/>
            <w:sz w:val="18"/>
            <w:szCs w:val="18"/>
            <w:u w:val="single" w:color="auto"/>
            <w:color w:val="0000EE"/>
          </w:rPr>
          <w:t>2015 Employee Stock Purchase Plan (Incorporated by reference to Exhibit 10.12 to the Registrant’s Registration Statement on Form S-1, as</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amended (File No. 333-207367) filed on October 28, 2015).</w:t>
        </w:r>
      </w:hyperlink>
    </w:p>
    <w:p>
      <w:pPr>
        <w:spacing w:after="0" w:line="162" w:lineRule="exact"/>
        <w:rPr>
          <w:rFonts w:ascii="Times New Roman" w:cs="Times New Roman" w:eastAsia="Times New Roman" w:hAnsi="Times New Roman"/>
          <w:sz w:val="18"/>
          <w:szCs w:val="18"/>
          <w:u w:val="single" w:color="auto"/>
          <w:color w:val="0000EE"/>
        </w:rPr>
      </w:pPr>
    </w:p>
    <w:p>
      <w:pPr>
        <w:ind w:left="700" w:right="440" w:hanging="687"/>
        <w:spacing w:after="0" w:line="282" w:lineRule="auto"/>
        <w:tabs>
          <w:tab w:leader="none" w:pos="680" w:val="left"/>
        </w:tabs>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8"/>
            <w:szCs w:val="18"/>
            <w:u w:val="single" w:color="auto"/>
            <w:color w:val="0000EE"/>
          </w:rPr>
          <w:t>Amendment No. 1 to 2015 Employee Stock Purchase Plan (Incorporated by reference to Exhibit 10.21 to the Registrant’s Annual Report 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Form 10-K (File No. 001-37625) filed on March 14, 2018).</w:t>
        </w:r>
      </w:hyperlink>
    </w:p>
    <w:p>
      <w:pPr>
        <w:spacing w:after="0" w:line="162" w:lineRule="exact"/>
        <w:rPr>
          <w:rFonts w:ascii="Times New Roman" w:cs="Times New Roman" w:eastAsia="Times New Roman" w:hAnsi="Times New Roman"/>
          <w:sz w:val="18"/>
          <w:szCs w:val="18"/>
          <w:u w:val="single" w:color="auto"/>
          <w:color w:val="0000EE"/>
        </w:rPr>
      </w:pPr>
    </w:p>
    <w:p>
      <w:pPr>
        <w:ind w:left="700" w:right="300" w:hanging="687"/>
        <w:spacing w:after="0" w:line="282" w:lineRule="auto"/>
        <w:tabs>
          <w:tab w:leader="none" w:pos="680" w:val="left"/>
        </w:tabs>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99.4</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8"/>
            <w:szCs w:val="18"/>
            <w:u w:val="single" w:color="auto"/>
            <w:color w:val="0000EE"/>
          </w:rPr>
          <w:t>Form of Non-Qualified Stock Option Agreement for Inducement Grant (Incorporated by reference to Exhibit 10.27 to the Registrant’s Annual</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Report on Form 10-K (File No. 001-37625) filed February 26, 2019).</w:t>
        </w:r>
      </w:hyperlink>
    </w:p>
    <w:p>
      <w:pPr>
        <w:spacing w:after="0" w:line="162" w:lineRule="exact"/>
        <w:rPr>
          <w:rFonts w:ascii="Times New Roman" w:cs="Times New Roman" w:eastAsia="Times New Roman" w:hAnsi="Times New Roman"/>
          <w:sz w:val="18"/>
          <w:szCs w:val="18"/>
          <w:u w:val="single" w:color="auto"/>
          <w:color w:val="0000EE"/>
        </w:rPr>
      </w:pPr>
    </w:p>
    <w:p>
      <w:pPr>
        <w:ind w:left="700" w:right="40" w:hanging="687"/>
        <w:spacing w:after="0" w:line="282" w:lineRule="auto"/>
        <w:tabs>
          <w:tab w:leader="none" w:pos="68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99.5</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Form of Restricted Stock Unit Agreement for Inducement Grant (Incorporated by reference to Exhibit 10.33 to the Registrant’s Annual Report 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Form 10-K (File No. 001-37625) filed February 26, 2019).</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980"/>
        <w:spacing w:after="0"/>
        <w:tabs>
          <w:tab w:leader="none" w:pos="16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ectPr>
          <w:pgSz w:w="11900" w:h="16838" w:orient="portrait"/>
          <w:cols w:equalWidth="0" w:num="1">
            <w:col w:w="11220"/>
          </w:cols>
          <w:pgMar w:left="320" w:top="900" w:right="35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200" w:lineRule="exact"/>
        <w:rPr>
          <w:sz w:val="20"/>
          <w:szCs w:val="20"/>
          <w:color w:val="auto"/>
        </w:rPr>
      </w:pPr>
    </w:p>
    <w:p>
      <w:pPr>
        <w:sectPr>
          <w:pgSz w:w="11900" w:h="16838" w:orient="portrait"/>
          <w:cols w:equalWidth="0" w:num="2">
            <w:col w:w="2160" w:space="460"/>
            <w:col w:w="8600"/>
          </w:cols>
          <w:pgMar w:left="320" w:top="900" w:right="359" w:bottom="1440" w:gutter="0" w:footer="0" w:header="0"/>
          <w:type w:val="continuous"/>
        </w:sectPr>
      </w:pPr>
    </w:p>
    <w:p>
      <w:pPr>
        <w:spacing w:after="0" w:line="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firstLine="22"/>
        <w:spacing w:after="0" w:line="254" w:lineRule="auto"/>
        <w:rPr>
          <w:sz w:val="20"/>
          <w:szCs w:val="20"/>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2" w:lineRule="exact"/>
        <w:rPr>
          <w:sz w:val="20"/>
          <w:szCs w:val="20"/>
          <w:color w:val="auto"/>
        </w:rPr>
      </w:pPr>
    </w:p>
    <w:p>
      <w:pPr>
        <w:sectPr>
          <w:pgSz w:w="11900" w:h="16838" w:orient="portrait"/>
          <w:cols w:equalWidth="0" w:num="2">
            <w:col w:w="2220" w:space="380"/>
            <w:col w:w="8620"/>
          </w:cols>
          <w:pgMar w:left="320" w:top="900" w:right="35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br w:type="column"/>
      </w:r>
    </w:p>
    <w:p>
      <w:pPr>
        <w:ind w:right="100" w:firstLine="27"/>
        <w:spacing w:after="0" w:line="282" w:lineRule="auto"/>
        <w:rPr>
          <w:sz w:val="20"/>
          <w:szCs w:val="20"/>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sectPr>
          <w:pgSz w:w="11900" w:h="16838" w:orient="portrait"/>
          <w:cols w:equalWidth="0" w:num="2">
            <w:col w:w="2260" w:space="340"/>
            <w:col w:w="8620"/>
          </w:cols>
          <w:pgMar w:left="320" w:top="900" w:right="359" w:bottom="1440" w:gutter="0" w:footer="0" w:header="0"/>
          <w:type w:val="continuous"/>
        </w:sectPr>
      </w:pPr>
    </w:p>
    <w:p>
      <w:pPr>
        <w:ind w:left="660"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1600" w:hanging="647"/>
        <w:spacing w:after="0" w:line="266" w:lineRule="auto"/>
        <w:tabs>
          <w:tab w:leader="none" w:pos="15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6" w:lineRule="exact"/>
        <w:rPr>
          <w:sz w:val="20"/>
          <w:szCs w:val="20"/>
          <w:color w:val="auto"/>
        </w:rPr>
      </w:pPr>
    </w:p>
    <w:p>
      <w:pPr>
        <w:ind w:left="1600" w:right="220" w:hanging="647"/>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660" w:right="20" w:hanging="328"/>
        <w:spacing w:after="0" w:line="25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3"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Cambridge, Massachusetts, on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2023.</w:t>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VOYAGER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Alfred Sandrock,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Alfred Sandrock, M.D.,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Voyager Therapeutics, Inc., hereby severally constitute and appoint Alfred Sandrock and Peter Pfreundschuh,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Voyager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Alfred Sandrock, M.D., Ph.D.</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Alfred Sandrock, M.D., Ph.D.</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Peter P. Pfreundschuh</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Peter P. Pfreundschuh</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Higgins</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(Chairman of the Board)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Michael Higgins</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Grace E. Colón, Ph.D.</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Grace E. Colón, Ph.D.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Jim Geraghty</w:t>
            </w:r>
          </w:p>
        </w:tc>
        <w:tc>
          <w:tcPr>
            <w:tcW w:w="220" w:type="dxa"/>
            <w:vAlign w:val="bottom"/>
          </w:tcPr>
          <w:p>
            <w:pPr>
              <w:spacing w:after="0"/>
              <w:rPr>
                <w:sz w:val="24"/>
                <w:szCs w:val="24"/>
                <w:color w:val="auto"/>
              </w:rPr>
            </w:pP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Jim Geraghty</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/s/ Steven Hyman, M.D.</w:t>
            </w:r>
          </w:p>
        </w:tc>
        <w:tc>
          <w:tcPr>
            <w:tcW w:w="220" w:type="dxa"/>
            <w:vAlign w:val="bottom"/>
          </w:tcPr>
          <w:p>
            <w:pPr>
              <w:spacing w:after="0"/>
              <w:rPr>
                <w:sz w:val="24"/>
                <w:szCs w:val="24"/>
                <w:color w:val="auto"/>
              </w:rPr>
            </w:pP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Steven Hyman, M.D.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Catherine J. Mackey, M.D.</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Catherine J. Mackey, M.D.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Jude Onyia, Ph.D.</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Jude Onyia, Ph.D.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Glenn Pierce, M.D., Ph.D.</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Glenn Pierce, M.D., Ph.D.</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/s/Nancy Vitale</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Nancy Vitale</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5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156845</wp:posOffset>
            </wp:positionV>
            <wp:extent cx="6858000" cy="1491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8580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+1 212 230-8800 (t)</w:t>
      </w:r>
    </w:p>
    <w:p>
      <w:pPr>
        <w:spacing w:after="0" w:line="27"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+1 212 230 8888 (f)</w:t>
      </w:r>
    </w:p>
    <w:p>
      <w:pPr>
        <w:spacing w:after="0" w:line="9"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7"/>
          <w:szCs w:val="17"/>
          <w:color w:val="auto"/>
        </w:rPr>
        <w:t>wilmerhale.com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Sidney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07"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8"/>
          <w:szCs w:val="18"/>
          <w:color w:val="auto"/>
        </w:rPr>
        <w:t>Re:</w:t>
        <w:tab/>
        <w:t>2015 Stock Option and Incentive Plan</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2015 Employee Stock Purchase Plan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Inducement Stock Option Awards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Inducement Restricted Stock Unit Awards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with the Securities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an aggregate of 2,691,481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Voyager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(i) an aggregate of 1,931,481 shares of Common Stock (the “</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 issuable under the Company’s 2015 Stock Option and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the Company’s 2015 Employee Stock Purchase Plan (collectively,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(ii) an aggregate of 490,000 shares of Common Stock issuable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nonqualified stock option agreements (the “</w:t>
      </w:r>
      <w:r>
        <w:rPr>
          <w:rFonts w:ascii="Times New Roman" w:cs="Times New Roman" w:eastAsia="Times New Roman" w:hAnsi="Times New Roman"/>
          <w:sz w:val="18"/>
          <w:szCs w:val="18"/>
          <w:b w:val="1"/>
          <w:bCs w:val="1"/>
          <w:color w:val="auto"/>
        </w:rPr>
        <w:t>Inducement Stock Option Award Agreements</w:t>
      </w:r>
      <w:r>
        <w:rPr>
          <w:rFonts w:ascii="Times New Roman" w:cs="Times New Roman" w:eastAsia="Times New Roman" w:hAnsi="Times New Roman"/>
          <w:sz w:val="18"/>
          <w:szCs w:val="18"/>
          <w:color w:val="auto"/>
        </w:rPr>
        <w:t>”) providing for inducement grants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various individuals, which were entered into as material inducements to the individuals’ acceptances of employment with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upon such individuals’ commencement dates of employment with the Company, pursuant to Nasdaq Stock Market Rule 5635(c)(4)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Inducement Stock Option Award Shares</w:t>
      </w:r>
      <w:r>
        <w:rPr>
          <w:rFonts w:ascii="Times New Roman" w:cs="Times New Roman" w:eastAsia="Times New Roman" w:hAnsi="Times New Roman"/>
          <w:sz w:val="18"/>
          <w:szCs w:val="18"/>
          <w:color w:val="auto"/>
        </w:rPr>
        <w:t>”), and (iii) an aggregate of 270,000 shares of Common Stock issuable pursuant to restricted stock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(the “</w:t>
      </w:r>
      <w:r>
        <w:rPr>
          <w:rFonts w:ascii="Times New Roman" w:cs="Times New Roman" w:eastAsia="Times New Roman" w:hAnsi="Times New Roman"/>
          <w:sz w:val="18"/>
          <w:szCs w:val="18"/>
          <w:b w:val="1"/>
          <w:bCs w:val="1"/>
          <w:color w:val="auto"/>
        </w:rPr>
        <w:t>Inducement Restricted Stock Unit Award Agreements</w:t>
      </w:r>
      <w:r>
        <w:rPr>
          <w:rFonts w:ascii="Times New Roman" w:cs="Times New Roman" w:eastAsia="Times New Roman" w:hAnsi="Times New Roman"/>
          <w:sz w:val="18"/>
          <w:szCs w:val="18"/>
          <w:color w:val="auto"/>
        </w:rPr>
        <w:t>” and, collectively with the Inducement Stock Option Award Agreements,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Inducement Award Agreements</w:t>
      </w:r>
      <w:r>
        <w:rPr>
          <w:rFonts w:ascii="Times New Roman" w:cs="Times New Roman" w:eastAsia="Times New Roman" w:hAnsi="Times New Roman"/>
          <w:sz w:val="18"/>
          <w:szCs w:val="18"/>
          <w:color w:val="auto"/>
        </w:rPr>
        <w:t>”) providing for employee inducement grants between the Company and various individuals, which were entered into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inducements to the individuals’ acceptances of employment with the Company and effective upon the first day of the first calendar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such individuals’ commencement dates of employment with the Company, pursuant to Nasdaq Stock Market Rule 5635(c)(4)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Inducement Restricted Stock Unit Award Shares</w:t>
      </w:r>
      <w:r>
        <w:rPr>
          <w:rFonts w:ascii="Times New Roman" w:cs="Times New Roman" w:eastAsia="Times New Roman" w:hAnsi="Times New Roman"/>
          <w:sz w:val="18"/>
          <w:szCs w:val="18"/>
          <w:color w:val="auto"/>
        </w:rPr>
        <w:t>” and, collectively with the Plan Shares and the Inducement Stock Option Award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Plans and such other documents relating to the Company as we have deemed material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123190</wp:posOffset>
            </wp:positionV>
            <wp:extent cx="685800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858000" cy="4368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assume that the appropriate action will be taken, prior to the offer and sale of the Shares in accordance with the Plans or the Inducement Award Agreements, as applicable, to register and qualify the Shares for sale under all applicable state securities or “blue sky”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offer and sale of the Shares while the Registration Statement is in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Plans or the Inducement Award Agreements, as applicable, the Shares will be validly issued, fully paid and nonassessable.</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2015 Stock Option and Incentive Plan, the 2015 Employee Stock Purchase Plan, Inducement Stock Option Grant Awards, and Inducement Restricted Stock Unit Awards of Voyager Therapeutics, Inc. of our report dated March 7, 2023, with respect to the consolidated financial statements of Voyager Therapeutics, Inc. included in its Annual Report (Form 10-</w:t>
      </w:r>
    </w:p>
    <w:p>
      <w:pPr>
        <w:spacing w:after="0" w:line="2" w:lineRule="exact"/>
        <w:rPr>
          <w:sz w:val="20"/>
          <w:szCs w:val="20"/>
          <w:color w:val="auto"/>
        </w:rPr>
      </w:pPr>
    </w:p>
    <w:p>
      <w:pPr>
        <w:ind w:right="4380" w:firstLine="8"/>
        <w:spacing w:after="0" w:line="490" w:lineRule="auto"/>
        <w:tabs>
          <w:tab w:leader="none" w:pos="2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filed with the Securities and Exchange Commission. /s/ Ernst &amp; Young LLP</w:t>
      </w: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Exhibit 107</w:t>
            </w:r>
          </w:p>
        </w:tc>
      </w:tr>
      <w:tr>
        <w:trPr>
          <w:trHeight w:val="364"/>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(Form Type)</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6"/>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Voyager Therapeutics,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80" w:type="dxa"/>
            <w:vAlign w:val="bottom"/>
            <w:gridSpan w:val="11"/>
          </w:tcPr>
          <w:p>
            <w:pPr>
              <w:jc w:val="center"/>
              <w:ind w:right="2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9"/>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Table 1—Newly Registered Securities</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2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0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2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200" w:type="dxa"/>
            <w:vAlign w:val="bottom"/>
          </w:tcPr>
          <w:p>
            <w:pPr>
              <w:spacing w:after="0"/>
              <w:rPr>
                <w:sz w:val="20"/>
                <w:szCs w:val="20"/>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Class Title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91"/>
        </w:trPr>
        <w:tc>
          <w:tcPr>
            <w:tcW w:w="9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9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60" w:type="dxa"/>
            <w:vAlign w:val="bottom"/>
            <w:shd w:val="clear" w:color="auto" w:fill="CCEEFF"/>
          </w:tcPr>
          <w:p>
            <w:pPr>
              <w:spacing w:after="0"/>
              <w:rPr>
                <w:sz w:val="20"/>
                <w:szCs w:val="20"/>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1,931,481(2)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13,868,033.58(3)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1,528.26</w:t>
            </w:r>
          </w:p>
        </w:tc>
      </w:tr>
      <w:tr>
        <w:trPr>
          <w:trHeight w:val="198"/>
        </w:trPr>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276,000(4)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1,705,680.00(5)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187.97</w:t>
            </w:r>
          </w:p>
        </w:tc>
      </w:tr>
      <w:tr>
        <w:trPr>
          <w:trHeight w:val="198"/>
        </w:trPr>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60" w:type="dxa"/>
            <w:vAlign w:val="bottom"/>
            <w:shd w:val="clear" w:color="auto" w:fill="CCEEFF"/>
          </w:tcPr>
          <w:p>
            <w:pPr>
              <w:spacing w:after="0"/>
              <w:rPr>
                <w:sz w:val="20"/>
                <w:szCs w:val="20"/>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360,600.00(5)</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39.74</w:t>
            </w:r>
          </w:p>
        </w:tc>
      </w:tr>
      <w:tr>
        <w:trPr>
          <w:trHeight w:val="198"/>
        </w:trPr>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300,780.00(5)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r>
      <w:tr>
        <w:trPr>
          <w:trHeight w:val="198"/>
        </w:trPr>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60" w:type="dxa"/>
            <w:vAlign w:val="bottom"/>
            <w:shd w:val="clear" w:color="auto" w:fill="CCEEFF"/>
          </w:tcPr>
          <w:p>
            <w:pPr>
              <w:spacing w:after="0"/>
              <w:rPr>
                <w:sz w:val="20"/>
                <w:szCs w:val="20"/>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916,000.00(5)</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100.95</w:t>
            </w:r>
          </w:p>
        </w:tc>
      </w:tr>
      <w:tr>
        <w:trPr>
          <w:trHeight w:val="198"/>
        </w:trPr>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163,000(6)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1,170,340.00(7)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128.98</w:t>
            </w:r>
          </w:p>
        </w:tc>
      </w:tr>
      <w:tr>
        <w:trPr>
          <w:trHeight w:val="198"/>
        </w:trPr>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960" w:type="dxa"/>
            <w:vAlign w:val="bottom"/>
            <w:shd w:val="clear" w:color="auto" w:fill="CCEEFF"/>
          </w:tcPr>
          <w:p>
            <w:pPr>
              <w:spacing w:after="0"/>
              <w:rPr>
                <w:sz w:val="20"/>
                <w:szCs w:val="20"/>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215,400.00(7)</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w:t>
            </w:r>
          </w:p>
        </w:tc>
      </w:tr>
      <w:tr>
        <w:trPr>
          <w:trHeight w:val="198"/>
        </w:trPr>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193,860.00(7)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w:t>
            </w:r>
          </w:p>
        </w:tc>
      </w:tr>
      <w:tr>
        <w:trPr>
          <w:trHeight w:val="198"/>
        </w:trPr>
        <w:tc>
          <w:tcPr>
            <w:tcW w:w="9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8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$0.001 par value per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$110.20 per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96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359,000.00(7)</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19,089,693.58</w:t>
            </w:r>
          </w:p>
        </w:tc>
        <w:tc>
          <w:tcPr>
            <w:tcW w:w="224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2,103.73</w:t>
            </w:r>
          </w:p>
        </w:tc>
        <w:tc>
          <w:tcPr>
            <w:tcW w:w="80" w:type="dxa"/>
            <w:vAlign w:val="bottom"/>
          </w:tcPr>
          <w:p>
            <w:pPr>
              <w:spacing w:after="0"/>
              <w:rPr>
                <w:sz w:val="18"/>
                <w:szCs w:val="18"/>
                <w:color w:val="auto"/>
              </w:rPr>
            </w:pPr>
          </w:p>
        </w:tc>
      </w:tr>
      <w:tr>
        <w:trPr>
          <w:trHeight w:val="210"/>
        </w:trPr>
        <w:tc>
          <w:tcPr>
            <w:tcW w:w="6760" w:type="dxa"/>
            <w:vAlign w:val="bottom"/>
            <w:tcBorders>
              <w:top w:val="single" w:sz="8" w:color="CCEEFF"/>
            </w:tcBorders>
            <w:shd w:val="clear" w:color="auto" w:fill="CCEEFF"/>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14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ind w:left="46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108"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1,545,185 shares issuable under the 2015 Stock Option and Incentive Plan and (ii) 386,296 shares issuable under the 2015 Employee Stock Purchase Plan.</w:t>
      </w:r>
    </w:p>
    <w:p>
      <w:pPr>
        <w:spacing w:after="0" w:line="94"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March 2, 2023, in accordance with Rule 457(c) under the Securities Act, for the 1,931,481 shares issuable in the aggregate under the 2015 Stock Option and Incentive Plan and 2015 Employee Stock Purchase Plan that are not subject to outstanding equity awards.</w:t>
      </w:r>
    </w:p>
    <w:p>
      <w:pPr>
        <w:spacing w:after="0" w:line="112"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issuable under inducement stock option awards granted by the Registrant as a material inducement to the individual’s acceptance of employment with the Registrant in accordance with Nasdaq Listing Rule 5635(c)(4) (each, an “Inducement Stock Option Award”).</w:t>
      </w:r>
    </w:p>
    <w:p>
      <w:pPr>
        <w:spacing w:after="0" w:line="94" w:lineRule="exact"/>
        <w:rPr>
          <w:rFonts w:ascii="Times New Roman" w:cs="Times New Roman" w:eastAsia="Times New Roman" w:hAnsi="Times New Roman"/>
          <w:sz w:val="18"/>
          <w:szCs w:val="18"/>
          <w:color w:val="auto"/>
        </w:rPr>
      </w:pPr>
    </w:p>
    <w:p>
      <w:pPr>
        <w:ind w:left="460" w:right="22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of the Securities Act. The price per share and aggregate offering price are calculated on the basis of the exercise price of the shares underlying the applicable Inducement Stock Option Award.</w:t>
      </w:r>
    </w:p>
    <w:p>
      <w:pPr>
        <w:spacing w:after="0" w:line="94" w:lineRule="exact"/>
        <w:rPr>
          <w:rFonts w:ascii="Times New Roman" w:cs="Times New Roman" w:eastAsia="Times New Roman" w:hAnsi="Times New Roman"/>
          <w:sz w:val="18"/>
          <w:szCs w:val="18"/>
          <w:color w:val="auto"/>
        </w:rPr>
      </w:pPr>
    </w:p>
    <w:p>
      <w:pPr>
        <w:jc w:val="both"/>
        <w:ind w:left="460" w:right="42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issuable under inducement restricted stock unit awards granted by the Registrant as a material inducement to the individual’s acceptance of employment with the Registrant in accordance with Nasdaq Listing Rule 5635(c)(4) (each, an “Inducement Restricted Stock Unit Award”).</w:t>
      </w:r>
    </w:p>
    <w:p>
      <w:pPr>
        <w:spacing w:after="0" w:line="108" w:lineRule="exact"/>
        <w:rPr>
          <w:rFonts w:ascii="Times New Roman" w:cs="Times New Roman" w:eastAsia="Times New Roman" w:hAnsi="Times New Roman"/>
          <w:sz w:val="18"/>
          <w:szCs w:val="18"/>
          <w:color w:val="auto"/>
        </w:rPr>
      </w:pPr>
    </w:p>
    <w:p>
      <w:pPr>
        <w:ind w:left="460" w:right="32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March 2, 2023, in accordance with Rule 457(c) under the Securities Act, for the shares issuable upon settlement of the applicable Inducement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57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upperLetter"/>
      <w:start w:val="1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jpe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16" Type="http://schemas.openxmlformats.org/officeDocument/2006/relationships/hyperlink" Target="https://www.sec.gov/Archives/edgar/data/1640266/000155837018002038/vygr-20171231ex4167a89f3.htm" TargetMode="External"/><Relationship Id="rId17" Type="http://schemas.openxmlformats.org/officeDocument/2006/relationships/hyperlink" Target="https://www.sec.gov/Archives/edgar/data/1640266/000110465915079337/a15-23518_1ex3d1.htm" TargetMode="External"/><Relationship Id="rId18" Type="http://schemas.openxmlformats.org/officeDocument/2006/relationships/hyperlink" Target="https://www.sec.gov/Archives/edgar/data/1640266/000110465915079337/a15-23518_1ex3d2.htm" TargetMode="External"/><Relationship Id="rId19" Type="http://schemas.openxmlformats.org/officeDocument/2006/relationships/hyperlink" Target="https://www.sec.gov/Archives/edgar/data/1640266/000104746915008107/a2226324zex-10_2.htm" TargetMode="External"/><Relationship Id="rId20" Type="http://schemas.openxmlformats.org/officeDocument/2006/relationships/hyperlink" Target="https://www.sec.gov/Archives/edgar/data/1640266/000104746915008107/a2226324zex-10_12.htm" TargetMode="External"/><Relationship Id="rId21" Type="http://schemas.openxmlformats.org/officeDocument/2006/relationships/hyperlink" Target="https://www.sec.gov/Archives/edgar/data/1640266/000155837018002038/vygr-20171231ex1021617d8.htm" TargetMode="External"/><Relationship Id="rId22" Type="http://schemas.openxmlformats.org/officeDocument/2006/relationships/hyperlink" Target="https://www.sec.gov/Archives/edgar/data/1640266/000155837019001105/vygr-20181231ex1027c834c.htm" TargetMode="External"/><Relationship Id="rId23" Type="http://schemas.openxmlformats.org/officeDocument/2006/relationships/hyperlink" Target="https://www.sec.gov/Archives/edgar/data/1640266/000155837019001105/vygr-20181231ex103393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2023-03-07T06:25:56Z</dcterms:created>
  <dcterms:modified xsi:type="dcterms:W3CDTF">2023-03-07T06:25:56Z</dcterms:modified>
</cp:coreProperties>
</file>