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422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2321"/>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64770</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97790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19" w:lineRule="exact"/>
        <w:rPr>
          <w:sz w:val="24"/>
          <w:szCs w:val="24"/>
          <w:color w:val="auto"/>
        </w:rPr>
      </w:pPr>
    </w:p>
    <w:p>
      <w:pPr>
        <w:ind w:left="21"/>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41" w:hanging="441"/>
        <w:spacing w:after="0"/>
        <w:tabs>
          <w:tab w:leader="none" w:pos="441"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9" w:lineRule="exact"/>
        <w:rPr>
          <w:rFonts w:ascii="MS PGothic" w:cs="MS PGothic" w:eastAsia="MS PGothic" w:hAnsi="MS PGothic"/>
          <w:sz w:val="18"/>
          <w:szCs w:val="18"/>
          <w:color w:val="auto"/>
        </w:rPr>
      </w:pPr>
    </w:p>
    <w:p>
      <w:pPr>
        <w:ind w:left="3681"/>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fiscal year ended December 31, 2019</w:t>
      </w:r>
    </w:p>
    <w:p>
      <w:pPr>
        <w:spacing w:after="0" w:line="1" w:lineRule="exact"/>
        <w:rPr>
          <w:rFonts w:ascii="MS PGothic" w:cs="MS PGothic" w:eastAsia="MS PGothic" w:hAnsi="MS PGothic"/>
          <w:sz w:val="18"/>
          <w:szCs w:val="18"/>
          <w:color w:val="auto"/>
        </w:rPr>
      </w:pPr>
    </w:p>
    <w:p>
      <w:pPr>
        <w:ind w:left="4921"/>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OR</w:t>
      </w:r>
    </w:p>
    <w:p>
      <w:pPr>
        <w:ind w:left="441" w:hanging="441"/>
        <w:spacing w:after="0" w:line="180" w:lineRule="auto"/>
        <w:tabs>
          <w:tab w:leader="none" w:pos="441" w:val="left"/>
        </w:tabs>
        <w:numPr>
          <w:ilvl w:val="0"/>
          <w:numId w:val="2"/>
        </w:numPr>
        <w:rPr>
          <w:rFonts w:ascii="MS PGothic" w:cs="MS PGothic" w:eastAsia="MS PGothic" w:hAnsi="MS PGothic"/>
          <w:sz w:val="29"/>
          <w:szCs w:val="29"/>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61" w:lineRule="exact"/>
        <w:rPr>
          <w:sz w:val="24"/>
          <w:szCs w:val="24"/>
          <w:color w:val="auto"/>
        </w:rPr>
      </w:pPr>
    </w:p>
    <w:tbl>
      <w:tblPr>
        <w:tblLayout w:type="fixed"/>
        <w:tblInd w:w="1" w:type="dxa"/>
        <w:tblCellMar>
          <w:top w:w="0" w:type="dxa"/>
          <w:left w:w="0" w:type="dxa"/>
          <w:bottom w:w="0" w:type="dxa"/>
          <w:right w:w="0" w:type="dxa"/>
        </w:tblCellMar>
      </w:tblPr>
      <w:tr>
        <w:trPr>
          <w:trHeight w:val="161"/>
        </w:trPr>
        <w:tc>
          <w:tcPr>
            <w:tcW w:w="5100" w:type="dxa"/>
            <w:vAlign w:val="bottom"/>
            <w:gridSpan w:val="4"/>
          </w:tcPr>
          <w:p>
            <w:pPr>
              <w:ind w:left="3200"/>
              <w:spacing w:after="0"/>
              <w:rPr>
                <w:sz w:val="20"/>
                <w:szCs w:val="20"/>
                <w:color w:val="auto"/>
              </w:rPr>
            </w:pPr>
            <w:r>
              <w:rPr>
                <w:rFonts w:ascii="Arial" w:cs="Arial" w:eastAsia="Arial" w:hAnsi="Arial"/>
                <w:sz w:val="14"/>
                <w:szCs w:val="14"/>
                <w:b w:val="1"/>
                <w:bCs w:val="1"/>
                <w:color w:val="auto"/>
                <w:w w:val="95"/>
              </w:rPr>
              <w:t>For the transition period from</w:t>
            </w:r>
          </w:p>
        </w:tc>
        <w:tc>
          <w:tcPr>
            <w:tcW w:w="860" w:type="dxa"/>
            <w:vAlign w:val="bottom"/>
            <w:tcBorders>
              <w:bottom w:val="single" w:sz="8" w:color="auto"/>
            </w:tcBorders>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gridSpan w:val="3"/>
          </w:tcPr>
          <w:p>
            <w:pPr>
              <w:spacing w:after="0"/>
              <w:rPr>
                <w:sz w:val="14"/>
                <w:szCs w:val="14"/>
                <w:color w:val="auto"/>
              </w:rPr>
            </w:pPr>
          </w:p>
        </w:tc>
        <w:tc>
          <w:tcPr>
            <w:tcW w:w="3220" w:type="dxa"/>
            <w:vAlign w:val="bottom"/>
          </w:tcPr>
          <w:p>
            <w:pPr>
              <w:spacing w:after="0"/>
              <w:rPr>
                <w:sz w:val="14"/>
                <w:szCs w:val="14"/>
                <w:color w:val="auto"/>
              </w:rPr>
            </w:pPr>
          </w:p>
        </w:tc>
      </w:tr>
      <w:tr>
        <w:trPr>
          <w:trHeight w:val="238"/>
        </w:trPr>
        <w:tc>
          <w:tcPr>
            <w:tcW w:w="3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00" w:type="dxa"/>
            <w:vAlign w:val="bottom"/>
            <w:gridSpan w:val="8"/>
          </w:tcPr>
          <w:p>
            <w:pPr>
              <w:jc w:val="center"/>
              <w:ind w:right="3719"/>
              <w:spacing w:after="0"/>
              <w:rPr>
                <w:sz w:val="20"/>
                <w:szCs w:val="20"/>
                <w:color w:val="auto"/>
              </w:rPr>
            </w:pPr>
            <w:r>
              <w:rPr>
                <w:rFonts w:ascii="Arial" w:cs="Arial" w:eastAsia="Arial" w:hAnsi="Arial"/>
                <w:sz w:val="14"/>
                <w:szCs w:val="14"/>
                <w:b w:val="1"/>
                <w:bCs w:val="1"/>
                <w:color w:val="auto"/>
                <w:w w:val="93"/>
              </w:rPr>
              <w:t>Commission File Number: 001-37625</w:t>
            </w:r>
          </w:p>
        </w:tc>
      </w:tr>
      <w:tr>
        <w:trPr>
          <w:trHeight w:val="107"/>
        </w:trPr>
        <w:tc>
          <w:tcPr>
            <w:tcW w:w="3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4"/>
          </w:tcPr>
          <w:p>
            <w:pPr>
              <w:spacing w:after="0"/>
              <w:rPr>
                <w:sz w:val="9"/>
                <w:szCs w:val="9"/>
                <w:color w:val="auto"/>
              </w:rPr>
            </w:pPr>
          </w:p>
        </w:tc>
        <w:tc>
          <w:tcPr>
            <w:tcW w:w="220" w:type="dxa"/>
            <w:vAlign w:val="bottom"/>
          </w:tcPr>
          <w:p>
            <w:pPr>
              <w:spacing w:after="0"/>
              <w:rPr>
                <w:sz w:val="9"/>
                <w:szCs w:val="9"/>
                <w:color w:val="auto"/>
              </w:rPr>
            </w:pPr>
          </w:p>
        </w:tc>
        <w:tc>
          <w:tcPr>
            <w:tcW w:w="3560" w:type="dxa"/>
            <w:vAlign w:val="bottom"/>
            <w:gridSpan w:val="2"/>
          </w:tcPr>
          <w:p>
            <w:pPr>
              <w:spacing w:after="0"/>
              <w:rPr>
                <w:sz w:val="9"/>
                <w:szCs w:val="9"/>
                <w:color w:val="auto"/>
              </w:rPr>
            </w:pPr>
          </w:p>
        </w:tc>
      </w:tr>
      <w:tr>
        <w:trPr>
          <w:trHeight w:val="403"/>
        </w:trPr>
        <w:tc>
          <w:tcPr>
            <w:tcW w:w="3340" w:type="dxa"/>
            <w:vAlign w:val="bottom"/>
          </w:tcPr>
          <w:p>
            <w:pPr>
              <w:spacing w:after="0"/>
              <w:rPr>
                <w:sz w:val="24"/>
                <w:szCs w:val="24"/>
                <w:color w:val="auto"/>
              </w:rPr>
            </w:pPr>
          </w:p>
        </w:tc>
        <w:tc>
          <w:tcPr>
            <w:tcW w:w="6740" w:type="dxa"/>
            <w:vAlign w:val="bottom"/>
            <w:gridSpan w:val="9"/>
          </w:tcPr>
          <w:p>
            <w:pPr>
              <w:jc w:val="center"/>
              <w:ind w:right="3279"/>
              <w:spacing w:after="0"/>
              <w:rPr>
                <w:sz w:val="20"/>
                <w:szCs w:val="20"/>
                <w:color w:val="auto"/>
              </w:rPr>
            </w:pPr>
            <w:r>
              <w:rPr>
                <w:rFonts w:ascii="Arial" w:cs="Arial" w:eastAsia="Arial" w:hAnsi="Arial"/>
                <w:sz w:val="29"/>
                <w:szCs w:val="29"/>
                <w:b w:val="1"/>
                <w:bCs w:val="1"/>
                <w:color w:val="auto"/>
                <w:w w:val="89"/>
              </w:rPr>
              <w:t>Voyager Therapeutics, Inc.</w:t>
            </w:r>
          </w:p>
        </w:tc>
      </w:tr>
      <w:tr>
        <w:trPr>
          <w:trHeight w:val="186"/>
        </w:trPr>
        <w:tc>
          <w:tcPr>
            <w:tcW w:w="3340" w:type="dxa"/>
            <w:vAlign w:val="bottom"/>
          </w:tcPr>
          <w:p>
            <w:pPr>
              <w:spacing w:after="0"/>
              <w:rPr>
                <w:sz w:val="16"/>
                <w:szCs w:val="16"/>
                <w:color w:val="auto"/>
              </w:rPr>
            </w:pPr>
          </w:p>
        </w:tc>
        <w:tc>
          <w:tcPr>
            <w:tcW w:w="6740" w:type="dxa"/>
            <w:vAlign w:val="bottom"/>
            <w:gridSpan w:val="9"/>
          </w:tcPr>
          <w:p>
            <w:pPr>
              <w:jc w:val="center"/>
              <w:ind w:right="3279"/>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114"/>
        </w:trPr>
        <w:tc>
          <w:tcPr>
            <w:tcW w:w="3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3560" w:type="dxa"/>
            <w:vAlign w:val="bottom"/>
            <w:gridSpan w:val="2"/>
          </w:tcPr>
          <w:p>
            <w:pPr>
              <w:spacing w:after="0"/>
              <w:rPr>
                <w:sz w:val="9"/>
                <w:szCs w:val="9"/>
                <w:color w:val="auto"/>
              </w:rPr>
            </w:pPr>
          </w:p>
        </w:tc>
      </w:tr>
      <w:tr>
        <w:trPr>
          <w:trHeight w:val="310"/>
        </w:trPr>
        <w:tc>
          <w:tcPr>
            <w:tcW w:w="3340" w:type="dxa"/>
            <w:vAlign w:val="bottom"/>
          </w:tcPr>
          <w:p>
            <w:pPr>
              <w:jc w:val="center"/>
              <w:ind w:left="1574"/>
              <w:spacing w:after="0"/>
              <w:rPr>
                <w:sz w:val="20"/>
                <w:szCs w:val="20"/>
                <w:color w:val="auto"/>
              </w:rPr>
            </w:pPr>
            <w:r>
              <w:rPr>
                <w:rFonts w:ascii="Arial" w:cs="Arial" w:eastAsia="Arial" w:hAnsi="Arial"/>
                <w:sz w:val="14"/>
                <w:szCs w:val="14"/>
                <w:b w:val="1"/>
                <w:bCs w:val="1"/>
                <w:color w:val="auto"/>
                <w:w w:val="94"/>
              </w:rPr>
              <w:t>Delaware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gridSpan w:val="5"/>
          </w:tcPr>
          <w:p>
            <w:pPr>
              <w:jc w:val="right"/>
              <w:ind w:right="2079"/>
              <w:spacing w:after="0"/>
              <w:rPr>
                <w:sz w:val="20"/>
                <w:szCs w:val="20"/>
                <w:color w:val="auto"/>
              </w:rPr>
            </w:pPr>
            <w:r>
              <w:rPr>
                <w:rFonts w:ascii="Arial" w:cs="Arial" w:eastAsia="Arial" w:hAnsi="Arial"/>
                <w:sz w:val="14"/>
                <w:szCs w:val="14"/>
                <w:b w:val="1"/>
                <w:bCs w:val="1"/>
                <w:color w:val="auto"/>
              </w:rPr>
              <w:t>46-3003182</w:t>
            </w:r>
          </w:p>
        </w:tc>
      </w:tr>
      <w:tr>
        <w:trPr>
          <w:trHeight w:val="135"/>
        </w:trPr>
        <w:tc>
          <w:tcPr>
            <w:tcW w:w="3340" w:type="dxa"/>
            <w:vAlign w:val="bottom"/>
          </w:tcPr>
          <w:p>
            <w:pPr>
              <w:jc w:val="center"/>
              <w:ind w:left="1554"/>
              <w:spacing w:after="0"/>
              <w:rPr>
                <w:sz w:val="20"/>
                <w:szCs w:val="20"/>
                <w:color w:val="auto"/>
              </w:rPr>
            </w:pPr>
            <w:r>
              <w:rPr>
                <w:rFonts w:ascii="Arial" w:cs="Arial" w:eastAsia="Arial" w:hAnsi="Arial"/>
                <w:sz w:val="11"/>
                <w:szCs w:val="11"/>
                <w:b w:val="1"/>
                <w:bCs w:val="1"/>
                <w:color w:val="auto"/>
                <w:w w:val="89"/>
              </w:rPr>
              <w:t>(State or Other Jurisdiction of</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20" w:type="dxa"/>
            <w:vAlign w:val="bottom"/>
          </w:tcPr>
          <w:p>
            <w:pPr>
              <w:jc w:val="center"/>
              <w:ind w:right="1679"/>
              <w:spacing w:after="0"/>
              <w:rPr>
                <w:sz w:val="20"/>
                <w:szCs w:val="20"/>
                <w:color w:val="auto"/>
              </w:rPr>
            </w:pPr>
            <w:r>
              <w:rPr>
                <w:rFonts w:ascii="Arial" w:cs="Arial" w:eastAsia="Arial" w:hAnsi="Arial"/>
                <w:sz w:val="11"/>
                <w:szCs w:val="11"/>
                <w:b w:val="1"/>
                <w:bCs w:val="1"/>
                <w:color w:val="auto"/>
                <w:w w:val="90"/>
              </w:rPr>
              <w:t>(IRS Employer</w:t>
            </w:r>
          </w:p>
        </w:tc>
      </w:tr>
      <w:tr>
        <w:trPr>
          <w:trHeight w:val="140"/>
        </w:trPr>
        <w:tc>
          <w:tcPr>
            <w:tcW w:w="3340" w:type="dxa"/>
            <w:vAlign w:val="bottom"/>
          </w:tcPr>
          <w:p>
            <w:pPr>
              <w:jc w:val="center"/>
              <w:ind w:left="1534"/>
              <w:spacing w:after="0"/>
              <w:rPr>
                <w:sz w:val="20"/>
                <w:szCs w:val="20"/>
                <w:color w:val="auto"/>
              </w:rPr>
            </w:pPr>
            <w:r>
              <w:rPr>
                <w:rFonts w:ascii="Arial" w:cs="Arial" w:eastAsia="Arial" w:hAnsi="Arial"/>
                <w:sz w:val="11"/>
                <w:szCs w:val="11"/>
                <w:b w:val="1"/>
                <w:bCs w:val="1"/>
                <w:color w:val="auto"/>
                <w:w w:val="91"/>
              </w:rPr>
              <w:t>Incorporation or Organization)</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20" w:type="dxa"/>
            <w:vAlign w:val="bottom"/>
          </w:tcPr>
          <w:p>
            <w:pPr>
              <w:jc w:val="center"/>
              <w:ind w:right="1679"/>
              <w:spacing w:after="0"/>
              <w:rPr>
                <w:sz w:val="20"/>
                <w:szCs w:val="20"/>
                <w:color w:val="auto"/>
              </w:rPr>
            </w:pPr>
            <w:r>
              <w:rPr>
                <w:rFonts w:ascii="Arial" w:cs="Arial" w:eastAsia="Arial" w:hAnsi="Arial"/>
                <w:sz w:val="11"/>
                <w:szCs w:val="11"/>
                <w:b w:val="1"/>
                <w:bCs w:val="1"/>
                <w:color w:val="auto"/>
                <w:w w:val="90"/>
              </w:rPr>
              <w:t>Identification No.)</w:t>
            </w:r>
          </w:p>
        </w:tc>
      </w:tr>
      <w:tr>
        <w:trPr>
          <w:trHeight w:val="269"/>
        </w:trPr>
        <w:tc>
          <w:tcPr>
            <w:tcW w:w="3340" w:type="dxa"/>
            <w:vAlign w:val="bottom"/>
          </w:tcPr>
          <w:p>
            <w:pPr>
              <w:jc w:val="center"/>
              <w:ind w:left="1554"/>
              <w:spacing w:after="0"/>
              <w:rPr>
                <w:sz w:val="20"/>
                <w:szCs w:val="20"/>
                <w:color w:val="auto"/>
              </w:rPr>
            </w:pPr>
            <w:r>
              <w:rPr>
                <w:rFonts w:ascii="Arial" w:cs="Arial" w:eastAsia="Arial" w:hAnsi="Arial"/>
                <w:sz w:val="14"/>
                <w:szCs w:val="14"/>
                <w:b w:val="1"/>
                <w:bCs w:val="1"/>
                <w:color w:val="auto"/>
                <w:w w:val="92"/>
              </w:rPr>
              <w:t>75 Sidney Street,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185"/>
        </w:trPr>
        <w:tc>
          <w:tcPr>
            <w:tcW w:w="3340" w:type="dxa"/>
            <w:vAlign w:val="bottom"/>
          </w:tcPr>
          <w:p>
            <w:pPr>
              <w:jc w:val="center"/>
              <w:ind w:left="1534"/>
              <w:spacing w:after="0"/>
              <w:rPr>
                <w:sz w:val="20"/>
                <w:szCs w:val="20"/>
                <w:color w:val="auto"/>
              </w:rPr>
            </w:pPr>
            <w:r>
              <w:rPr>
                <w:rFonts w:ascii="Arial" w:cs="Arial" w:eastAsia="Arial" w:hAnsi="Arial"/>
                <w:sz w:val="14"/>
                <w:szCs w:val="14"/>
                <w:b w:val="1"/>
                <w:bCs w:val="1"/>
                <w:color w:val="auto"/>
                <w:w w:val="91"/>
              </w:rPr>
              <w:t>Cambridge, Massachusetts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120" w:type="dxa"/>
            <w:vAlign w:val="bottom"/>
            <w:gridSpan w:val="5"/>
          </w:tcPr>
          <w:p>
            <w:pPr>
              <w:jc w:val="right"/>
              <w:ind w:right="2239"/>
              <w:spacing w:after="0"/>
              <w:rPr>
                <w:sz w:val="20"/>
                <w:szCs w:val="20"/>
                <w:color w:val="auto"/>
              </w:rPr>
            </w:pPr>
            <w:r>
              <w:rPr>
                <w:rFonts w:ascii="Arial" w:cs="Arial" w:eastAsia="Arial" w:hAnsi="Arial"/>
                <w:sz w:val="14"/>
                <w:szCs w:val="14"/>
                <w:b w:val="1"/>
                <w:bCs w:val="1"/>
                <w:color w:val="auto"/>
              </w:rPr>
              <w:t>02139</w:t>
            </w:r>
          </w:p>
        </w:tc>
      </w:tr>
      <w:tr>
        <w:trPr>
          <w:trHeight w:val="140"/>
        </w:trPr>
        <w:tc>
          <w:tcPr>
            <w:tcW w:w="5960" w:type="dxa"/>
            <w:vAlign w:val="bottom"/>
            <w:gridSpan w:val="5"/>
          </w:tcPr>
          <w:p>
            <w:pPr>
              <w:jc w:val="center"/>
              <w:ind w:right="100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20" w:type="dxa"/>
            <w:vAlign w:val="bottom"/>
          </w:tcPr>
          <w:p>
            <w:pPr>
              <w:jc w:val="center"/>
              <w:ind w:right="1679"/>
              <w:spacing w:after="0"/>
              <w:rPr>
                <w:sz w:val="20"/>
                <w:szCs w:val="20"/>
                <w:color w:val="auto"/>
              </w:rPr>
            </w:pPr>
            <w:r>
              <w:rPr>
                <w:rFonts w:ascii="Arial" w:cs="Arial" w:eastAsia="Arial" w:hAnsi="Arial"/>
                <w:sz w:val="11"/>
                <w:szCs w:val="11"/>
                <w:b w:val="1"/>
                <w:bCs w:val="1"/>
                <w:color w:val="auto"/>
                <w:w w:val="95"/>
              </w:rPr>
              <w:t>(Zip Code)</w:t>
            </w:r>
          </w:p>
        </w:tc>
      </w:tr>
      <w:tr>
        <w:trPr>
          <w:trHeight w:val="440"/>
        </w:trPr>
        <w:tc>
          <w:tcPr>
            <w:tcW w:w="3340" w:type="dxa"/>
            <w:vAlign w:val="bottom"/>
          </w:tcPr>
          <w:p>
            <w:pPr>
              <w:spacing w:after="0"/>
              <w:rPr>
                <w:sz w:val="24"/>
                <w:szCs w:val="24"/>
                <w:color w:val="auto"/>
              </w:rPr>
            </w:pPr>
          </w:p>
        </w:tc>
        <w:tc>
          <w:tcPr>
            <w:tcW w:w="2620" w:type="dxa"/>
            <w:vAlign w:val="bottom"/>
            <w:gridSpan w:val="4"/>
          </w:tcPr>
          <w:p>
            <w:pPr>
              <w:jc w:val="center"/>
              <w:ind w:left="677"/>
              <w:spacing w:after="0"/>
              <w:rPr>
                <w:sz w:val="20"/>
                <w:szCs w:val="20"/>
                <w:color w:val="auto"/>
              </w:rPr>
            </w:pPr>
            <w:r>
              <w:rPr>
                <w:rFonts w:ascii="Arial" w:cs="Arial" w:eastAsia="Arial" w:hAnsi="Arial"/>
                <w:sz w:val="14"/>
                <w:szCs w:val="14"/>
                <w:b w:val="1"/>
                <w:bCs w:val="1"/>
                <w:color w:val="auto"/>
                <w:w w:val="93"/>
              </w:rPr>
              <w:t>(857) 259-5340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40"/>
        </w:trPr>
        <w:tc>
          <w:tcPr>
            <w:tcW w:w="3340" w:type="dxa"/>
            <w:vAlign w:val="bottom"/>
          </w:tcPr>
          <w:p>
            <w:pPr>
              <w:spacing w:after="0"/>
              <w:rPr>
                <w:sz w:val="12"/>
                <w:szCs w:val="12"/>
                <w:color w:val="auto"/>
              </w:rPr>
            </w:pPr>
          </w:p>
        </w:tc>
        <w:tc>
          <w:tcPr>
            <w:tcW w:w="6740" w:type="dxa"/>
            <w:vAlign w:val="bottom"/>
            <w:gridSpan w:val="9"/>
          </w:tcPr>
          <w:p>
            <w:pPr>
              <w:jc w:val="center"/>
              <w:ind w:right="3299"/>
              <w:spacing w:after="0"/>
              <w:rPr>
                <w:sz w:val="20"/>
                <w:szCs w:val="20"/>
                <w:color w:val="auto"/>
              </w:rPr>
            </w:pPr>
            <w:r>
              <w:rPr>
                <w:rFonts w:ascii="Arial" w:cs="Arial" w:eastAsia="Arial" w:hAnsi="Arial"/>
                <w:sz w:val="11"/>
                <w:szCs w:val="11"/>
                <w:b w:val="1"/>
                <w:bCs w:val="1"/>
                <w:color w:val="auto"/>
                <w:w w:val="88"/>
              </w:rPr>
              <w:t>(Registrant’s Telephone Number, Including Area Code)</w:t>
            </w:r>
          </w:p>
        </w:tc>
      </w:tr>
      <w:tr>
        <w:trPr>
          <w:trHeight w:val="103"/>
        </w:trPr>
        <w:tc>
          <w:tcPr>
            <w:tcW w:w="33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2520" w:type="dxa"/>
            <w:vAlign w:val="bottom"/>
            <w:tcBorders>
              <w:bottom w:val="single" w:sz="8" w:color="auto"/>
            </w:tcBorders>
            <w:gridSpan w:val="5"/>
          </w:tcPr>
          <w:p>
            <w:pPr>
              <w:spacing w:after="0"/>
              <w:rPr>
                <w:sz w:val="8"/>
                <w:szCs w:val="8"/>
                <w:color w:val="auto"/>
              </w:rPr>
            </w:pPr>
          </w:p>
        </w:tc>
        <w:tc>
          <w:tcPr>
            <w:tcW w:w="3560" w:type="dxa"/>
            <w:vAlign w:val="bottom"/>
            <w:gridSpan w:val="2"/>
          </w:tcPr>
          <w:p>
            <w:pPr>
              <w:spacing w:after="0"/>
              <w:rPr>
                <w:sz w:val="8"/>
                <w:szCs w:val="8"/>
                <w:color w:val="auto"/>
              </w:rPr>
            </w:pPr>
          </w:p>
        </w:tc>
      </w:tr>
      <w:tr>
        <w:trPr>
          <w:trHeight w:val="360"/>
        </w:trPr>
        <w:tc>
          <w:tcPr>
            <w:tcW w:w="3340" w:type="dxa"/>
            <w:vAlign w:val="bottom"/>
          </w:tcPr>
          <w:p>
            <w:pPr>
              <w:spacing w:after="0"/>
              <w:rPr>
                <w:sz w:val="24"/>
                <w:szCs w:val="24"/>
                <w:color w:val="auto"/>
              </w:rPr>
            </w:pPr>
          </w:p>
        </w:tc>
        <w:tc>
          <w:tcPr>
            <w:tcW w:w="6740" w:type="dxa"/>
            <w:vAlign w:val="bottom"/>
            <w:gridSpan w:val="9"/>
          </w:tcPr>
          <w:p>
            <w:pPr>
              <w:jc w:val="center"/>
              <w:ind w:right="3279"/>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66"/>
        </w:trPr>
        <w:tc>
          <w:tcPr>
            <w:tcW w:w="33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r>
      <w:tr>
        <w:trPr>
          <w:trHeight w:val="176"/>
        </w:trPr>
        <w:tc>
          <w:tcPr>
            <w:tcW w:w="3340" w:type="dxa"/>
            <w:vAlign w:val="bottom"/>
          </w:tcPr>
          <w:p>
            <w:pPr>
              <w:jc w:val="center"/>
              <w:ind w:left="394"/>
              <w:spacing w:after="0"/>
              <w:rPr>
                <w:sz w:val="20"/>
                <w:szCs w:val="20"/>
                <w:color w:val="auto"/>
              </w:rPr>
            </w:pPr>
            <w:r>
              <w:rPr>
                <w:rFonts w:ascii="Arial" w:cs="Arial" w:eastAsia="Arial" w:hAnsi="Arial"/>
                <w:sz w:val="14"/>
                <w:szCs w:val="14"/>
                <w:color w:val="auto"/>
                <w:w w:val="92"/>
              </w:rPr>
              <w:t>Title of each class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Trading Symbol(s)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20" w:type="dxa"/>
            <w:vAlign w:val="bottom"/>
          </w:tcPr>
          <w:p>
            <w:pPr>
              <w:jc w:val="center"/>
              <w:ind w:right="539"/>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176"/>
        </w:trPr>
        <w:tc>
          <w:tcPr>
            <w:tcW w:w="3340" w:type="dxa"/>
            <w:vAlign w:val="bottom"/>
          </w:tcPr>
          <w:p>
            <w:pPr>
              <w:jc w:val="center"/>
              <w:ind w:left="394"/>
              <w:spacing w:after="0"/>
              <w:rPr>
                <w:sz w:val="20"/>
                <w:szCs w:val="20"/>
                <w:color w:val="auto"/>
              </w:rPr>
            </w:pPr>
            <w:r>
              <w:rPr>
                <w:rFonts w:ascii="Arial" w:cs="Arial" w:eastAsia="Arial" w:hAnsi="Arial"/>
                <w:sz w:val="14"/>
                <w:szCs w:val="14"/>
                <w:color w:val="auto"/>
                <w:w w:val="92"/>
              </w:rPr>
              <w:t>Common Stock, $0.001 par value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2"/>
          </w:tcPr>
          <w:p>
            <w:pPr>
              <w:jc w:val="center"/>
              <w:ind w:left="28"/>
              <w:spacing w:after="0"/>
              <w:rPr>
                <w:sz w:val="20"/>
                <w:szCs w:val="20"/>
                <w:color w:val="auto"/>
              </w:rPr>
            </w:pPr>
            <w:r>
              <w:rPr>
                <w:rFonts w:ascii="Arial" w:cs="Arial" w:eastAsia="Arial" w:hAnsi="Arial"/>
                <w:sz w:val="14"/>
                <w:szCs w:val="14"/>
                <w:color w:val="auto"/>
              </w:rPr>
              <w:t>VYGR</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20" w:type="dxa"/>
            <w:vAlign w:val="bottom"/>
          </w:tcPr>
          <w:p>
            <w:pPr>
              <w:jc w:val="center"/>
              <w:ind w:right="539"/>
              <w:spacing w:after="0"/>
              <w:rPr>
                <w:sz w:val="20"/>
                <w:szCs w:val="20"/>
                <w:color w:val="auto"/>
              </w:rPr>
            </w:pPr>
            <w:r>
              <w:rPr>
                <w:rFonts w:ascii="Arial" w:cs="Arial" w:eastAsia="Arial" w:hAnsi="Arial"/>
                <w:sz w:val="14"/>
                <w:szCs w:val="14"/>
                <w:color w:val="auto"/>
                <w:w w:val="93"/>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6397625"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97625" cy="283210"/>
                    </a:xfrm>
                    <a:prstGeom prst="rect">
                      <a:avLst/>
                    </a:prstGeom>
                    <a:noFill/>
                  </pic:spPr>
                </pic:pic>
              </a:graphicData>
            </a:graphic>
          </wp:anchor>
        </w:drawing>
      </w:r>
    </w:p>
    <w:p>
      <w:pPr>
        <w:ind w:left="241" w:right="1940"/>
        <w:spacing w:after="0" w:line="18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4"/>
          <w:szCs w:val="14"/>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4"/>
          <w:szCs w:val="14"/>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ind w:left="1" w:right="100" w:firstLine="250"/>
        <w:spacing w:after="0" w:line="28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
        <w:spacing w:after="0" w:line="184" w:lineRule="exact"/>
        <w:tabs>
          <w:tab w:leader="none" w:pos="561" w:val="left"/>
        </w:tabs>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5"/>
          <w:szCs w:val="15"/>
          <w:color w:val="auto"/>
        </w:rPr>
        <w:t>☐</w:t>
      </w:r>
    </w:p>
    <w:p>
      <w:pPr>
        <w:ind w:left="241"/>
        <w:spacing w:after="0"/>
        <w:rPr>
          <w:sz w:val="20"/>
          <w:szCs w:val="20"/>
          <w:color w:val="auto"/>
        </w:rPr>
      </w:pPr>
      <w:r>
        <w:rPr>
          <w:rFonts w:ascii="Arial" w:cs="Arial" w:eastAsia="Arial" w:hAnsi="Arial"/>
          <w:sz w:val="13"/>
          <w:szCs w:val="13"/>
          <w:color w:val="auto"/>
        </w:rPr>
        <w:t>Indicate by check mark whether the registrant has submitted every Interactive Data File required to be submitted pursuant to Rule 405 of Regulation S-T (§ 232.405 of</w:t>
      </w:r>
    </w:p>
    <w:p>
      <w:pPr>
        <w:spacing w:after="0" w:line="17" w:lineRule="exact"/>
        <w:rPr>
          <w:sz w:val="24"/>
          <w:szCs w:val="24"/>
          <w:color w:val="auto"/>
        </w:rPr>
      </w:pPr>
    </w:p>
    <w:p>
      <w:pPr>
        <w:ind w:left="1"/>
        <w:spacing w:after="0" w:line="173" w:lineRule="exact"/>
        <w:tabs>
          <w:tab w:leader="none" w:pos="7781" w:val="left"/>
        </w:tabs>
        <w:rPr>
          <w:sz w:val="20"/>
          <w:szCs w:val="20"/>
          <w:color w:val="auto"/>
        </w:rPr>
      </w:pPr>
      <w:r>
        <w:rPr>
          <w:rFonts w:ascii="Arial" w:cs="Arial" w:eastAsia="Arial" w:hAnsi="Arial"/>
          <w:sz w:val="14"/>
          <w:szCs w:val="14"/>
          <w:color w:val="auto"/>
        </w:rPr>
        <w:t xml:space="preserve">this chapter) during the preceding 12 months (or for such shorter period that the registrant was required to submit such files).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5"/>
          <w:szCs w:val="15"/>
          <w:color w:val="auto"/>
        </w:rPr>
        <w:t>☐</w:t>
      </w:r>
    </w:p>
    <w:p>
      <w:pPr>
        <w:spacing w:after="0" w:line="12" w:lineRule="exact"/>
        <w:rPr>
          <w:sz w:val="24"/>
          <w:szCs w:val="24"/>
          <w:color w:val="auto"/>
        </w:rPr>
      </w:pPr>
    </w:p>
    <w:p>
      <w:pPr>
        <w:ind w:left="1" w:right="80" w:firstLine="250"/>
        <w:spacing w:after="0" w:line="24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001"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86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86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9"/>
        </w:trPr>
        <w:tc>
          <w:tcPr>
            <w:tcW w:w="15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760" w:type="dxa"/>
            <w:vAlign w:val="bottom"/>
          </w:tcPr>
          <w:p>
            <w:pPr>
              <w:ind w:left="186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bl>
    <w:p>
      <w:pPr>
        <w:ind w:left="1" w:right="380" w:firstLine="25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241"/>
        <w:spacing w:after="0" w:line="184" w:lineRule="exact"/>
        <w:tabs>
          <w:tab w:leader="none" w:pos="6781"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5"/>
          <w:szCs w:val="15"/>
          <w:color w:val="auto"/>
        </w:rPr>
        <w:t>☒</w:t>
      </w:r>
    </w:p>
    <w:p>
      <w:pPr>
        <w:spacing w:after="0" w:line="56" w:lineRule="exact"/>
        <w:rPr>
          <w:sz w:val="24"/>
          <w:szCs w:val="24"/>
          <w:color w:val="auto"/>
        </w:rPr>
      </w:pPr>
    </w:p>
    <w:p>
      <w:pPr>
        <w:ind w:left="1" w:right="80" w:firstLine="250"/>
        <w:spacing w:after="0" w:line="257" w:lineRule="auto"/>
        <w:rPr>
          <w:sz w:val="20"/>
          <w:szCs w:val="20"/>
          <w:color w:val="auto"/>
        </w:rPr>
      </w:pPr>
      <w:r>
        <w:rPr>
          <w:rFonts w:ascii="Arial" w:cs="Arial" w:eastAsia="Arial" w:hAnsi="Arial"/>
          <w:sz w:val="14"/>
          <w:szCs w:val="14"/>
          <w:color w:val="auto"/>
        </w:rPr>
        <w:t>The aggregate market value of Common Stock held by non-affiliates of the registrant computed by reference to the price of the registrant’s Common Stock as of June 28, 2019, the last business day of the registrant’s most recently completed second fiscal quarter, was approximately $686.3 million (based on the last reported sale price on the Nasdaq Global Select Market as of such date).</w:t>
      </w:r>
    </w:p>
    <w:p>
      <w:pPr>
        <w:spacing w:after="0" w:line="37" w:lineRule="exact"/>
        <w:rPr>
          <w:sz w:val="24"/>
          <w:szCs w:val="24"/>
          <w:color w:val="auto"/>
        </w:rPr>
      </w:pPr>
    </w:p>
    <w:p>
      <w:pPr>
        <w:ind w:left="241"/>
        <w:spacing w:after="0"/>
        <w:rPr>
          <w:sz w:val="20"/>
          <w:szCs w:val="20"/>
          <w:color w:val="auto"/>
        </w:rPr>
      </w:pPr>
      <w:r>
        <w:rPr>
          <w:rFonts w:ascii="Arial" w:cs="Arial" w:eastAsia="Arial" w:hAnsi="Arial"/>
          <w:sz w:val="14"/>
          <w:szCs w:val="14"/>
          <w:color w:val="auto"/>
        </w:rPr>
        <w:t>As of February 28, 2020, there were 37,153,159 shares of the registrant’s common stock, par value $0.001 per share, outstanding.</w:t>
      </w:r>
    </w:p>
    <w:p>
      <w:pPr>
        <w:spacing w:after="0" w:line="78" w:lineRule="exact"/>
        <w:rPr>
          <w:sz w:val="24"/>
          <w:szCs w:val="24"/>
          <w:color w:val="auto"/>
        </w:rPr>
      </w:pPr>
    </w:p>
    <w:p>
      <w:pPr>
        <w:ind w:left="3381"/>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left="1" w:right="120" w:firstLine="250"/>
        <w:spacing w:after="0" w:line="257" w:lineRule="auto"/>
        <w:rPr>
          <w:sz w:val="20"/>
          <w:szCs w:val="20"/>
          <w:color w:val="auto"/>
        </w:rPr>
      </w:pPr>
      <w:r>
        <w:rPr>
          <w:rFonts w:ascii="Arial" w:cs="Arial" w:eastAsia="Arial" w:hAnsi="Arial"/>
          <w:sz w:val="14"/>
          <w:szCs w:val="14"/>
          <w:color w:val="auto"/>
        </w:rPr>
        <w:t>Portions of the registrant’s definitive Proxy Statement relating to its 2020 Annual Meeting of Stockholders are incorporated by reference into Part III of this Annual Report on Form 10-K where indicated. Such Proxy Statement is expected to be filed with the U.S. Securities and Exchange Commission not later than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601345</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249555</wp:posOffset>
            </wp:positionV>
            <wp:extent cx="6388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198120</wp:posOffset>
            </wp:positionV>
            <wp:extent cx="63887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ectPr>
          <w:pgSz w:w="11900" w:h="16838" w:orient="portrait"/>
          <w:cols w:equalWidth="0" w:num="1">
            <w:col w:w="10081"/>
          </w:cols>
          <w:pgMar w:left="919" w:top="679"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71"/>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89"/>
              </w:rPr>
              <w:t>Table of Contents</w:t>
            </w:r>
          </w:p>
        </w:tc>
        <w:tc>
          <w:tcPr>
            <w:tcW w:w="74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183"/>
        </w:trPr>
        <w:tc>
          <w:tcPr>
            <w:tcW w:w="1280" w:type="dxa"/>
            <w:vAlign w:val="bottom"/>
            <w:gridSpan w:val="10"/>
          </w:tcPr>
          <w:p>
            <w:pPr>
              <w:spacing w:after="0" w:line="18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0" w:type="dxa"/>
            <w:vAlign w:val="bottom"/>
            <w:tcBorders>
              <w:top w:val="single" w:sz="8" w:color="0000EE"/>
            </w:tcBorders>
            <w:gridSpan w:val="2"/>
          </w:tcPr>
          <w:p>
            <w:pPr>
              <w:spacing w:after="0"/>
              <w:rPr>
                <w:sz w:val="18"/>
                <w:szCs w:val="18"/>
                <w:color w:val="auto"/>
              </w:rPr>
            </w:pPr>
          </w:p>
        </w:tc>
        <w:tc>
          <w:tcPr>
            <w:tcW w:w="660" w:type="dxa"/>
            <w:vAlign w:val="bottom"/>
            <w:gridSpan w:val="7"/>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1A.</w:t>
              </w:r>
            </w:hyperlink>
          </w:p>
        </w:tc>
        <w:tc>
          <w:tcPr>
            <w:tcW w:w="6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Risk Factors</w:t>
              </w:r>
            </w:hyperlink>
          </w:p>
        </w:tc>
        <w:tc>
          <w:tcPr>
            <w:tcW w:w="5880" w:type="dxa"/>
            <w:vAlign w:val="bottom"/>
            <w:gridSpan w:val="19"/>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Item 1B.</w:t>
              </w:r>
            </w:hyperlink>
          </w:p>
        </w:tc>
        <w:tc>
          <w:tcPr>
            <w:tcW w:w="640" w:type="dxa"/>
            <w:vAlign w:val="bottom"/>
            <w:gridSpan w:val="6"/>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Unresolved Staff Comments</w:t>
              </w:r>
            </w:hyperlink>
          </w:p>
        </w:tc>
        <w:tc>
          <w:tcPr>
            <w:tcW w:w="4740" w:type="dxa"/>
            <w:vAlign w:val="bottom"/>
            <w:gridSpan w:val="12"/>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Item 2.</w:t>
              </w:r>
            </w:hyperlink>
          </w:p>
        </w:tc>
        <w:tc>
          <w:tcPr>
            <w:tcW w:w="76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23">
              <w:r>
                <w:rPr>
                  <w:rFonts w:ascii="Arial" w:cs="Arial" w:eastAsia="Arial" w:hAnsi="Arial"/>
                  <w:sz w:val="18"/>
                  <w:szCs w:val="18"/>
                  <w:color w:val="0000EE"/>
                  <w:w w:val="87"/>
                </w:rPr>
                <w:t>Properties</w:t>
              </w:r>
            </w:hyperlink>
          </w:p>
        </w:tc>
        <w:tc>
          <w:tcPr>
            <w:tcW w:w="6060" w:type="dxa"/>
            <w:vAlign w:val="bottom"/>
            <w:gridSpan w:val="20"/>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0"/>
        </w:trPr>
        <w:tc>
          <w:tcPr>
            <w:tcW w:w="520" w:type="dxa"/>
            <w:vAlign w:val="bottom"/>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Item 3.</w:t>
              </w:r>
            </w:hyperlink>
          </w:p>
        </w:tc>
        <w:tc>
          <w:tcPr>
            <w:tcW w:w="76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Item 4.</w:t>
              </w:r>
            </w:hyperlink>
          </w:p>
        </w:tc>
        <w:tc>
          <w:tcPr>
            <w:tcW w:w="76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Mine Safety Disclosures</w:t>
              </w:r>
            </w:hyperlink>
          </w:p>
        </w:tc>
        <w:tc>
          <w:tcPr>
            <w:tcW w:w="5020" w:type="dxa"/>
            <w:vAlign w:val="bottom"/>
            <w:gridSpan w:val="1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39"/>
        </w:trPr>
        <w:tc>
          <w:tcPr>
            <w:tcW w:w="1280" w:type="dxa"/>
            <w:vAlign w:val="bottom"/>
            <w:gridSpan w:val="10"/>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II.</w:t>
              </w:r>
            </w:hyperlink>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Item 5.</w:t>
              </w:r>
            </w:hyperlink>
          </w:p>
        </w:tc>
        <w:tc>
          <w:tcPr>
            <w:tcW w:w="180" w:type="dxa"/>
            <w:vAlign w:val="bottom"/>
            <w:tcBorders>
              <w:top w:val="single" w:sz="8" w:color="0000EE"/>
            </w:tcBorders>
            <w:gridSpan w:val="5"/>
          </w:tcPr>
          <w:p>
            <w:pPr>
              <w:spacing w:after="0"/>
              <w:rPr>
                <w:sz w:val="18"/>
                <w:szCs w:val="18"/>
                <w:color w:val="auto"/>
              </w:rPr>
            </w:pPr>
          </w:p>
        </w:tc>
        <w:tc>
          <w:tcPr>
            <w:tcW w:w="58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Market for Registrant’s Common Equity, Related Stockholder Matters and Issuer</w:t>
              </w:r>
            </w:hyperlink>
          </w:p>
        </w:tc>
        <w:tc>
          <w:tcPr>
            <w:tcW w:w="740" w:type="dxa"/>
            <w:vAlign w:val="bottom"/>
          </w:tcPr>
          <w:p>
            <w:pPr>
              <w:spacing w:after="0"/>
              <w:rPr>
                <w:sz w:val="18"/>
                <w:szCs w:val="18"/>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tcBorders>
              <w:top w:val="single" w:sz="8" w:color="0000EE"/>
            </w:tcBorders>
            <w:gridSpan w:val="19"/>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Purchases of Equity Securities</w:t>
              </w:r>
            </w:hyperlink>
          </w:p>
        </w:tc>
        <w:tc>
          <w:tcPr>
            <w:tcW w:w="960" w:type="dxa"/>
            <w:vAlign w:val="bottom"/>
            <w:gridSpan w:val="3"/>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Item 6.</w:t>
              </w:r>
            </w:hyperlink>
          </w:p>
        </w:tc>
        <w:tc>
          <w:tcPr>
            <w:tcW w:w="76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Selected Financial Data</w:t>
              </w:r>
            </w:hyperlink>
          </w:p>
        </w:tc>
        <w:tc>
          <w:tcPr>
            <w:tcW w:w="480" w:type="dxa"/>
            <w:vAlign w:val="bottom"/>
            <w:tcBorders>
              <w:top w:val="single" w:sz="8" w:color="0000EE"/>
            </w:tcBorders>
            <w:gridSpan w:val="4"/>
          </w:tcPr>
          <w:p>
            <w:pPr>
              <w:spacing w:after="0"/>
              <w:rPr>
                <w:sz w:val="18"/>
                <w:szCs w:val="18"/>
                <w:color w:val="auto"/>
              </w:rPr>
            </w:pPr>
          </w:p>
        </w:tc>
        <w:tc>
          <w:tcPr>
            <w:tcW w:w="4600" w:type="dxa"/>
            <w:vAlign w:val="bottom"/>
            <w:gridSpan w:val="11"/>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520" w:type="dxa"/>
            <w:vAlign w:val="bottom"/>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Item 7.</w:t>
              </w:r>
            </w:hyperlink>
          </w:p>
        </w:tc>
        <w:tc>
          <w:tcPr>
            <w:tcW w:w="76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Item 7A.</w:t>
              </w:r>
            </w:hyperlink>
          </w:p>
        </w:tc>
        <w:tc>
          <w:tcPr>
            <w:tcW w:w="6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Quantitative and Qualitative Disclosures about Market Risk</w:t>
              </w:r>
            </w:hyperlink>
          </w:p>
        </w:tc>
        <w:tc>
          <w:tcPr>
            <w:tcW w:w="2480" w:type="dxa"/>
            <w:vAlign w:val="bottom"/>
            <w:gridSpan w:val="6"/>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Item 8.</w:t>
              </w:r>
            </w:hyperlink>
          </w:p>
        </w:tc>
        <w:tc>
          <w:tcPr>
            <w:tcW w:w="76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42">
              <w:r>
                <w:rPr>
                  <w:rFonts w:ascii="Arial" w:cs="Arial" w:eastAsia="Arial" w:hAnsi="Arial"/>
                  <w:sz w:val="18"/>
                  <w:szCs w:val="18"/>
                  <w:color w:val="0000EE"/>
                  <w:w w:val="89"/>
                </w:rPr>
                <w:t>Financial Statements and Supplementary Data</w:t>
              </w:r>
            </w:hyperlink>
          </w:p>
        </w:tc>
        <w:tc>
          <w:tcPr>
            <w:tcW w:w="3460" w:type="dxa"/>
            <w:vAlign w:val="bottom"/>
            <w:gridSpan w:val="8"/>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520" w:type="dxa"/>
            <w:vAlign w:val="bottom"/>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Item 9.</w:t>
              </w:r>
            </w:hyperlink>
          </w:p>
        </w:tc>
        <w:tc>
          <w:tcPr>
            <w:tcW w:w="76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Changes in and Disagreements with Accountants on Accounting and Financial Disclosure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Item 9A.</w:t>
              </w:r>
            </w:hyperlink>
          </w:p>
        </w:tc>
        <w:tc>
          <w:tcPr>
            <w:tcW w:w="6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Controls and Procedures</w:t>
              </w:r>
            </w:hyperlink>
          </w:p>
        </w:tc>
        <w:tc>
          <w:tcPr>
            <w:tcW w:w="5020" w:type="dxa"/>
            <w:vAlign w:val="bottom"/>
            <w:gridSpan w:val="1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640" w:type="dxa"/>
            <w:vAlign w:val="bottom"/>
            <w:gridSpan w:val="4"/>
          </w:tcPr>
          <w:p>
            <w:pPr>
              <w:spacing w:after="0"/>
              <w:rPr>
                <w:rFonts w:ascii="Arial" w:cs="Arial" w:eastAsia="Arial" w:hAnsi="Arial"/>
                <w:sz w:val="18"/>
                <w:szCs w:val="18"/>
                <w:color w:val="0000EE"/>
                <w:w w:val="92"/>
              </w:rPr>
            </w:pPr>
            <w:hyperlink w:anchor="page143">
              <w:r>
                <w:rPr>
                  <w:rFonts w:ascii="Arial" w:cs="Arial" w:eastAsia="Arial" w:hAnsi="Arial"/>
                  <w:sz w:val="18"/>
                  <w:szCs w:val="18"/>
                  <w:color w:val="0000EE"/>
                  <w:w w:val="92"/>
                </w:rPr>
                <w:t>Item 9B.</w:t>
              </w:r>
            </w:hyperlink>
          </w:p>
        </w:tc>
        <w:tc>
          <w:tcPr>
            <w:tcW w:w="640" w:type="dxa"/>
            <w:vAlign w:val="bottom"/>
            <w:gridSpan w:val="6"/>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PART III.</w:t>
              </w:r>
            </w:hyperlink>
          </w:p>
        </w:tc>
        <w:tc>
          <w:tcPr>
            <w:tcW w:w="5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0"/>
        </w:trPr>
        <w:tc>
          <w:tcPr>
            <w:tcW w:w="1280" w:type="dxa"/>
            <w:vAlign w:val="bottom"/>
            <w:gridSpan w:val="1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10.</w:t>
              </w:r>
            </w:hyperlink>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Directors, Executive Officers and Corporate Governance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0"/>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44">
              <w:r>
                <w:rPr>
                  <w:rFonts w:ascii="Arial" w:cs="Arial" w:eastAsia="Arial" w:hAnsi="Arial"/>
                  <w:sz w:val="18"/>
                  <w:szCs w:val="18"/>
                  <w:color w:val="0000EE"/>
                  <w:w w:val="89"/>
                </w:rPr>
                <w:t>Item 11.</w:t>
              </w:r>
            </w:hyperlink>
          </w:p>
        </w:tc>
        <w:tc>
          <w:tcPr>
            <w:tcW w:w="680" w:type="dxa"/>
            <w:vAlign w:val="bottom"/>
            <w:gridSpan w:val="8"/>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4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8"/>
                <w:szCs w:val="18"/>
                <w:color w:val="auto"/>
              </w:rPr>
            </w:pPr>
          </w:p>
        </w:tc>
        <w:tc>
          <w:tcPr>
            <w:tcW w:w="2700" w:type="dxa"/>
            <w:vAlign w:val="bottom"/>
            <w:gridSpan w:val="7"/>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0"/>
        </w:trPr>
        <w:tc>
          <w:tcPr>
            <w:tcW w:w="1280" w:type="dxa"/>
            <w:vAlign w:val="bottom"/>
            <w:gridSpan w:val="1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12.</w:t>
              </w:r>
            </w:hyperlink>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Security Ownership of Certain Beneficial Owners and Management and Related</w:t>
              </w:r>
            </w:hyperlink>
          </w:p>
        </w:tc>
        <w:tc>
          <w:tcPr>
            <w:tcW w:w="740" w:type="dxa"/>
            <w:vAlign w:val="bottom"/>
          </w:tcPr>
          <w:p>
            <w:pPr>
              <w:spacing w:after="0"/>
              <w:rPr>
                <w:sz w:val="18"/>
                <w:szCs w:val="18"/>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Stockholder Matters</w:t>
              </w:r>
            </w:hyperlink>
          </w:p>
        </w:tc>
        <w:tc>
          <w:tcPr>
            <w:tcW w:w="4320" w:type="dxa"/>
            <w:vAlign w:val="bottom"/>
            <w:tcBorders>
              <w:top w:val="single" w:sz="8" w:color="0000EE"/>
            </w:tcBorders>
            <w:gridSpan w:val="13"/>
          </w:tcPr>
          <w:p>
            <w:pPr>
              <w:spacing w:after="0"/>
              <w:rPr>
                <w:sz w:val="18"/>
                <w:szCs w:val="18"/>
                <w:color w:val="auto"/>
              </w:rPr>
            </w:pPr>
          </w:p>
        </w:tc>
        <w:tc>
          <w:tcPr>
            <w:tcW w:w="100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0"/>
        </w:trPr>
        <w:tc>
          <w:tcPr>
            <w:tcW w:w="1280" w:type="dxa"/>
            <w:vAlign w:val="bottom"/>
            <w:gridSpan w:val="1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13.</w:t>
              </w:r>
            </w:hyperlink>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Certain Relationships and Related Transactions, and Director Independence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80" w:type="dxa"/>
            <w:vAlign w:val="bottom"/>
            <w:gridSpan w:val="1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14.</w:t>
              </w:r>
            </w:hyperlink>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Principal Accountant Fees and Services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1280" w:type="dxa"/>
            <w:vAlign w:val="bottom"/>
            <w:gridSpan w:val="10"/>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PART IV.</w:t>
              </w:r>
            </w:hyperlink>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0"/>
        </w:trPr>
        <w:tc>
          <w:tcPr>
            <w:tcW w:w="740" w:type="dxa"/>
            <w:vAlign w:val="bottom"/>
            <w:tcBorders>
              <w:top w:val="single" w:sz="8" w:color="0000EE"/>
            </w:tcBorders>
            <w:gridSpan w:val="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15.</w:t>
              </w:r>
            </w:hyperlink>
          </w:p>
        </w:tc>
        <w:tc>
          <w:tcPr>
            <w:tcW w:w="54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Exhibits, Financial Statement Schedules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280" w:type="dxa"/>
            <w:vAlign w:val="bottom"/>
            <w:gridSpan w:val="10"/>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Item 16.</w:t>
              </w:r>
            </w:hyperlink>
          </w:p>
        </w:tc>
        <w:tc>
          <w:tcPr>
            <w:tcW w:w="240" w:type="dxa"/>
            <w:vAlign w:val="bottom"/>
          </w:tcPr>
          <w:p>
            <w:pPr>
              <w:spacing w:after="0"/>
              <w:rPr>
                <w:sz w:val="19"/>
                <w:szCs w:val="19"/>
                <w:color w:val="auto"/>
              </w:rPr>
            </w:pPr>
          </w:p>
        </w:tc>
        <w:tc>
          <w:tcPr>
            <w:tcW w:w="6800" w:type="dxa"/>
            <w:vAlign w:val="bottom"/>
            <w:gridSpan w:val="22"/>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Form 10-K Summary</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1280" w:type="dxa"/>
            <w:vAlign w:val="bottom"/>
            <w:gridSpan w:val="10"/>
          </w:tcPr>
          <w:p>
            <w:pPr>
              <w:spacing w:after="0"/>
              <w:rPr>
                <w:rFonts w:ascii="Arial" w:cs="Arial" w:eastAsia="Arial" w:hAnsi="Arial"/>
                <w:sz w:val="18"/>
                <w:szCs w:val="18"/>
                <w:b w:val="1"/>
                <w:bCs w:val="1"/>
                <w:color w:val="0000EE"/>
              </w:rPr>
            </w:pPr>
            <w:hyperlink w:anchor="page189">
              <w:r>
                <w:rPr>
                  <w:rFonts w:ascii="Arial" w:cs="Arial" w:eastAsia="Arial" w:hAnsi="Arial"/>
                  <w:sz w:val="18"/>
                  <w:szCs w:val="18"/>
                  <w:b w:val="1"/>
                  <w:bCs w:val="1"/>
                  <w:color w:val="0000EE"/>
                </w:rPr>
                <w:t>Signatures</w:t>
              </w:r>
            </w:hyperlink>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F-44</w:t>
            </w:r>
          </w:p>
        </w:tc>
      </w:tr>
      <w:tr>
        <w:trPr>
          <w:trHeight w:val="1074"/>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gridSpan w:val="15"/>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7"/>
        </w:trPr>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3"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79" w:firstLine="648"/>
        <w:spacing w:after="0" w:line="239"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1" w:lineRule="exact"/>
        <w:rPr>
          <w:sz w:val="20"/>
          <w:szCs w:val="20"/>
          <w:color w:val="auto"/>
        </w:rPr>
      </w:pPr>
    </w:p>
    <w:p>
      <w:pPr>
        <w:ind w:right="219" w:firstLine="648"/>
        <w:spacing w:after="0" w:line="263" w:lineRule="auto"/>
        <w:rPr>
          <w:sz w:val="20"/>
          <w:szCs w:val="20"/>
          <w:color w:val="auto"/>
        </w:rPr>
      </w:pPr>
      <w:r>
        <w:rPr>
          <w:rFonts w:ascii="Arial" w:cs="Arial" w:eastAsia="Arial" w:hAnsi="Arial"/>
          <w:sz w:val="17"/>
          <w:szCs w:val="17"/>
          <w:color w:val="auto"/>
        </w:rPr>
        <w:t>The words “anticipate,” “believe,” “estimate,” “expect,” “intend,” “may,” “might,” “plan,” “predict,” “project,” “target,” “potential,” “contemplate,” “anticipate,” “goals,”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70" w:lineRule="exact"/>
        <w:rPr>
          <w:sz w:val="20"/>
          <w:szCs w:val="20"/>
          <w:color w:val="auto"/>
        </w:rPr>
      </w:pPr>
    </w:p>
    <w:p>
      <w:pPr>
        <w:ind w:left="680" w:right="379" w:hanging="327"/>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based on adeno-associated virus, or AAV, gene therapy;</w:t>
      </w:r>
    </w:p>
    <w:p>
      <w:pPr>
        <w:spacing w:after="0" w:line="102" w:lineRule="exact"/>
        <w:rPr>
          <w:rFonts w:ascii="Arial" w:cs="Arial" w:eastAsia="Arial" w:hAnsi="Arial"/>
          <w:sz w:val="18"/>
          <w:szCs w:val="18"/>
          <w:color w:val="auto"/>
        </w:rPr>
      </w:pPr>
    </w:p>
    <w:p>
      <w:pPr>
        <w:ind w:left="680" w:hanging="327"/>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optimize product candidates and novel AAV gene therapy capsids;</w:t>
      </w:r>
    </w:p>
    <w:p>
      <w:pPr>
        <w:spacing w:after="0" w:line="144" w:lineRule="exact"/>
        <w:rPr>
          <w:rFonts w:ascii="Arial" w:cs="Arial" w:eastAsia="Arial" w:hAnsi="Arial"/>
          <w:sz w:val="18"/>
          <w:szCs w:val="18"/>
          <w:color w:val="auto"/>
        </w:rPr>
      </w:pPr>
    </w:p>
    <w:p>
      <w:pPr>
        <w:ind w:left="680" w:right="139" w:hanging="327"/>
        <w:spacing w:after="0" w:line="259"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clinical trials and related timelines, including our ability to continue to advance VY-AADC (which our partner Neurocrine Biosciences, Inc., or Neurocrine, refers to as NBIb-1817) as a treatment for Parkinson’s disease through the Phase 1b clinical trial, the separate Phase 1 clinical trial, and the RESTORE-1 Phase 2 clinical trial, and our preclinical development efforts and studies;</w:t>
      </w:r>
    </w:p>
    <w:p>
      <w:pPr>
        <w:spacing w:after="0" w:line="119" w:lineRule="exact"/>
        <w:rPr>
          <w:rFonts w:ascii="Arial" w:cs="Arial" w:eastAsia="Arial" w:hAnsi="Arial"/>
          <w:sz w:val="18"/>
          <w:szCs w:val="18"/>
          <w:color w:val="auto"/>
        </w:rPr>
      </w:pPr>
    </w:p>
    <w:p>
      <w:pPr>
        <w:ind w:left="680" w:right="219" w:hanging="327"/>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formulation changes to our product candidates that may require us to conduct additional clinical studies to bridge our modified product candidates to earlier versions;</w:t>
      </w:r>
    </w:p>
    <w:p>
      <w:pPr>
        <w:spacing w:after="0" w:line="102" w:lineRule="exact"/>
        <w:rPr>
          <w:rFonts w:ascii="Arial" w:cs="Arial" w:eastAsia="Arial" w:hAnsi="Arial"/>
          <w:sz w:val="18"/>
          <w:szCs w:val="18"/>
          <w:color w:val="auto"/>
        </w:rPr>
      </w:pPr>
    </w:p>
    <w:p>
      <w:pPr>
        <w:ind w:left="680" w:right="239" w:hanging="327"/>
        <w:spacing w:after="0" w:line="279"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submit applications for, and obtain and maintain regulatory approvals for our product candidates, including our ability to file investigational new drug applications for our programs including VY-HTT01 for the treatment of Huntington’s disease, VY-SOD102 for the treatment of a monogenic form of amyotrophic lateral sclerosis, and VY-FXN01 for the treatment of Friedreich’s ataxia;</w:t>
      </w:r>
    </w:p>
    <w:p>
      <w:pPr>
        <w:spacing w:after="0" w:line="90" w:lineRule="exact"/>
        <w:rPr>
          <w:rFonts w:ascii="Arial" w:cs="Arial" w:eastAsia="Arial" w:hAnsi="Arial"/>
          <w:sz w:val="17"/>
          <w:szCs w:val="17"/>
          <w:color w:val="auto"/>
        </w:rPr>
      </w:pPr>
    </w:p>
    <w:p>
      <w:pPr>
        <w:ind w:left="680" w:hanging="32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69" w:lineRule="exact"/>
        <w:rPr>
          <w:rFonts w:ascii="Arial" w:cs="Arial" w:eastAsia="Arial" w:hAnsi="Arial"/>
          <w:sz w:val="17"/>
          <w:szCs w:val="17"/>
          <w:color w:val="auto"/>
        </w:rPr>
      </w:pPr>
    </w:p>
    <w:p>
      <w:pPr>
        <w:ind w:left="680" w:hanging="327"/>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develop our gene therapy platform;</w:t>
      </w:r>
    </w:p>
    <w:p>
      <w:pPr>
        <w:spacing w:after="0" w:line="157" w:lineRule="exact"/>
        <w:rPr>
          <w:rFonts w:ascii="Arial" w:cs="Arial" w:eastAsia="Arial" w:hAnsi="Arial"/>
          <w:sz w:val="18"/>
          <w:szCs w:val="18"/>
          <w:color w:val="auto"/>
        </w:rPr>
      </w:pPr>
    </w:p>
    <w:p>
      <w:pPr>
        <w:ind w:left="680" w:right="439" w:hanging="327"/>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 manufacturing capability compliant with current good manufacturing practices for our product candidates;</w:t>
      </w:r>
    </w:p>
    <w:p>
      <w:pPr>
        <w:spacing w:after="0" w:line="89" w:lineRule="exact"/>
        <w:rPr>
          <w:rFonts w:ascii="Arial" w:cs="Arial" w:eastAsia="Arial" w:hAnsi="Arial"/>
          <w:sz w:val="18"/>
          <w:szCs w:val="18"/>
          <w:color w:val="auto"/>
        </w:rPr>
      </w:pPr>
    </w:p>
    <w:p>
      <w:pPr>
        <w:ind w:left="680" w:right="379" w:hanging="327"/>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develop, and obtain regulatory clearance for devices to deliver our AAV gene therapies to critical targets of neurological disease;</w:t>
      </w:r>
    </w:p>
    <w:p>
      <w:pPr>
        <w:spacing w:after="0" w:line="102" w:lineRule="exact"/>
        <w:rPr>
          <w:rFonts w:ascii="Arial" w:cs="Arial" w:eastAsia="Arial" w:hAnsi="Arial"/>
          <w:sz w:val="18"/>
          <w:szCs w:val="18"/>
          <w:color w:val="auto"/>
        </w:rPr>
      </w:pPr>
    </w:p>
    <w:p>
      <w:pPr>
        <w:ind w:left="680" w:right="79" w:hanging="327"/>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our ability to obtain, maintain and enforce intellectual property protection for our proprietary assets;</w:t>
      </w:r>
    </w:p>
    <w:p>
      <w:pPr>
        <w:spacing w:after="0" w:line="102" w:lineRule="exact"/>
        <w:rPr>
          <w:rFonts w:ascii="Arial" w:cs="Arial" w:eastAsia="Arial" w:hAnsi="Arial"/>
          <w:sz w:val="18"/>
          <w:szCs w:val="18"/>
          <w:color w:val="auto"/>
        </w:rPr>
      </w:pPr>
    </w:p>
    <w:p>
      <w:pPr>
        <w:ind w:left="680" w:right="259" w:hanging="327"/>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size of the potential markets for our product candidates and our ability to serve those markets;</w:t>
      </w:r>
    </w:p>
    <w:p>
      <w:pPr>
        <w:spacing w:after="0" w:line="89" w:lineRule="exact"/>
        <w:rPr>
          <w:rFonts w:ascii="Arial" w:cs="Arial" w:eastAsia="Arial" w:hAnsi="Arial"/>
          <w:sz w:val="18"/>
          <w:szCs w:val="18"/>
          <w:color w:val="auto"/>
        </w:rPr>
      </w:pPr>
    </w:p>
    <w:p>
      <w:pPr>
        <w:ind w:left="680" w:hanging="327"/>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57" w:lineRule="exact"/>
        <w:rPr>
          <w:rFonts w:ascii="Arial" w:cs="Arial" w:eastAsia="Arial" w:hAnsi="Arial"/>
          <w:sz w:val="18"/>
          <w:szCs w:val="18"/>
          <w:color w:val="auto"/>
        </w:rPr>
      </w:pPr>
    </w:p>
    <w:p>
      <w:pPr>
        <w:ind w:left="680" w:right="499" w:hanging="327"/>
        <w:spacing w:after="0" w:line="286"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strategic collaborations with AbbVie Biotechnology Ltd and AbbVie Ireland Unlimited Company, or collectively AbbVie, and Neurocrine, including the possibility and timing of AbbVie exercising its options to certain of our programs as specified in the applicable collaboration agreements;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0" w:right="140" w:hanging="327"/>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raise additional capital, including through equity offerings, debt financings, collaborations, strategic alliances, and licensing arrangements;</w:t>
      </w:r>
    </w:p>
    <w:p>
      <w:pPr>
        <w:spacing w:after="0" w:line="102" w:lineRule="exact"/>
        <w:rPr>
          <w:rFonts w:ascii="Arial" w:cs="Arial" w:eastAsia="Arial" w:hAnsi="Arial"/>
          <w:sz w:val="18"/>
          <w:szCs w:val="18"/>
          <w:color w:val="auto"/>
        </w:rPr>
      </w:pPr>
    </w:p>
    <w:p>
      <w:pPr>
        <w:ind w:left="680" w:right="60" w:hanging="327"/>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products that are or become available for the indications that we are pursuing;</w:t>
      </w:r>
    </w:p>
    <w:p>
      <w:pPr>
        <w:spacing w:after="0" w:line="89" w:lineRule="exact"/>
        <w:rPr>
          <w:rFonts w:ascii="Arial" w:cs="Arial" w:eastAsia="Arial" w:hAnsi="Arial"/>
          <w:sz w:val="18"/>
          <w:szCs w:val="18"/>
          <w:color w:val="auto"/>
        </w:rPr>
      </w:pPr>
    </w:p>
    <w:p>
      <w:pPr>
        <w:ind w:left="680" w:right="520" w:hanging="327"/>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 including in the United States, the European Union, and other important geographies such as Japan;</w:t>
      </w:r>
    </w:p>
    <w:p>
      <w:pPr>
        <w:spacing w:after="0" w:line="102" w:lineRule="exact"/>
        <w:rPr>
          <w:rFonts w:ascii="Arial" w:cs="Arial" w:eastAsia="Arial" w:hAnsi="Arial"/>
          <w:sz w:val="18"/>
          <w:szCs w:val="18"/>
          <w:color w:val="auto"/>
        </w:rPr>
      </w:pPr>
    </w:p>
    <w:p>
      <w:pPr>
        <w:ind w:left="680" w:right="40" w:hanging="327"/>
        <w:spacing w:after="0" w:line="308"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consistency with results from the Phase 1b clinical trial and the separate Phase 1 clinical trial focused on posterior trajectory in future clinical trials, including the RESTORE-1 Phase 2 trial; and</w:t>
      </w:r>
    </w:p>
    <w:p>
      <w:pPr>
        <w:spacing w:after="0" w:line="92" w:lineRule="exact"/>
        <w:rPr>
          <w:rFonts w:ascii="Arial" w:cs="Arial" w:eastAsia="Arial" w:hAnsi="Arial"/>
          <w:sz w:val="17"/>
          <w:szCs w:val="17"/>
          <w:color w:val="auto"/>
        </w:rPr>
      </w:pPr>
    </w:p>
    <w:p>
      <w:pPr>
        <w:ind w:left="680" w:hanging="327"/>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future collaborations, strategic alliances, or licensing arrangements.</w:t>
      </w:r>
    </w:p>
    <w:p>
      <w:pPr>
        <w:spacing w:after="0" w:line="22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“Part I, Item 1A -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0"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We are a clinical-stage gene therapy company focused on developing life-changing treatments for patients suffering from severe neurological diseases. We focus on neurological diseases where we believe an adeno-associated virus, or AAV, gene therapy approach that either increases or decreases the production of a specific protein can slow or reduce the symptoms experienced by patients, and therefore have a clinically meaningful impact. We have built a gene therapy platform that we believe positions us to be a leading company at the intersection of AAV gene therapy and severe neurological disease. Our gene therapy platform enables us to engineer, optimize, manufacture and deliver our AAV-based gene therapies that have the potential to provide durable efficacy following a single administration.</w:t>
      </w:r>
    </w:p>
    <w:p>
      <w:pPr>
        <w:spacing w:after="0" w:line="1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Additionally, we are working to identify novel AAV capsids, which are the outer viral protein shells that enclose the genetic material of the virus payload.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Our manufacturing process employs an established system that we believe will enable production of high quality AAV vectors at commercial scale. In addition to our capsid optimization efforts, we leverage novel delivery paradigms, established routes of administration, and advances in dosing techniques to optimize delivery of our AAV gene therapies to target tissues, regions and cell types that are critical to the disease of interest. We believe we can achieve this directly, with targeted infusions to discrete regions of the brain, the spinal cord, or systemically, in conjunction with our novel capsids.</w:t>
      </w:r>
    </w:p>
    <w:p>
      <w:pPr>
        <w:spacing w:after="0" w:line="177" w:lineRule="exact"/>
        <w:rPr>
          <w:sz w:val="20"/>
          <w:szCs w:val="20"/>
          <w:color w:val="auto"/>
        </w:rPr>
      </w:pPr>
    </w:p>
    <w:p>
      <w:pPr>
        <w:ind w:right="320" w:firstLine="648"/>
        <w:spacing w:after="0" w:line="284" w:lineRule="auto"/>
        <w:rPr>
          <w:sz w:val="20"/>
          <w:szCs w:val="20"/>
          <w:color w:val="auto"/>
        </w:rPr>
      </w:pPr>
      <w:r>
        <w:rPr>
          <w:rFonts w:ascii="Arial" w:cs="Arial" w:eastAsia="Arial" w:hAnsi="Arial"/>
          <w:sz w:val="16"/>
          <w:szCs w:val="16"/>
          <w:color w:val="auto"/>
        </w:rPr>
        <w:t>Our business strategy focuses on discovering, developing, manufacturing and commercializing our gene therapy programs. As part of this strategy, we have developed core competencies specific to AAV gene therapy development and manufacturing and are beginning to build our commercial infrastructure. This business strategy also includes business development activities that may include in-licensing activities or partnering certain programs in specific geographies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with collaborators, as we have demonstrated through our collaborations, including those with Sanofi Genzyme Corporation, or Sanofi Genzyme, AbbVie Biotechnology Ltd and AbbVie Ireland Unlimited Company, or collectively AbbVie, and Neurocrine Biosciences, Inc., or Neurocrine. Since our inception, our operations have focused on organizing and staffing our company, business planning, raising capital, establishing our intellectual property portfolio, determining which neurological diseases to pursue, advancing our product candidates including delivery and manufacturing, and conducting preclinical studies and clinical trials. We do not have any product candidates approved for sale and have not generated any revenue from product sales. We have funded our operations primarily through private placements of redeemable convertible preferred stock, public offerings of our common stock, and our strategic collaborations, including our collaboration with Sanofi Genzyme, or the Sanofi Genzyme Collaboration, which commenced in February 2015 and was terminated in June 2019, our collaboration with AbbVie focusing on tau-related diseases, or the AbbVie Tau Collaboration, which commenced in February 2018, our collaboration with AbbVie focusing on pathological species of alpha-synuclein, or the AbbVie Alpha-Synuclein Collaboration, which commenced in February 2019, and our collaboration with Neurocrine Biosciences, or the Neurocrine Collaboration, which commenced in March 2019.</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pipeline of gene therapy programs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160655</wp:posOffset>
            </wp:positionV>
            <wp:extent cx="5556885" cy="2426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688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Our pipeline consists of programs for severe neurological indications, including Parkinson’s disease; Huntington’s disease; a monogenic form of amyotrophic lateral sclerosis, or ALS; Friedreich’s ataxia; tau-related diseases including Alzheimer’s disease, frontotemporal dementia, or FTD, and progressive supranuclear palsy, or PSP: and alpha-synuclein related diseases including Parkinson’s disease and other synucleinopathies. We may seek orphan drug designation, breakthrough therapy designation, or other expedited review processes for certain of our product candidates in the United States, Europe, and Japan.</w:t>
      </w:r>
    </w:p>
    <w:p>
      <w:pPr>
        <w:spacing w:after="0" w:line="190"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We are evaluating our most advanced clinical candidate, VY-AADC (which Neurocrine refers to as NBIb-1817), or VY-AADC (NBIb-1817), for the treatment of Parkinson’s disease, through the Neurocrine Collaboration in the RESTORE-1 Phase 2, randomized, double-blind, placebo-surgery controlled trial evaluating the safety and efficacy of VY-AADC (NBIb-1817) for the treatment of Parkinson’s disease in patients with motor fluctuations that are refractory to medical management. The RESTORE-1 Phase 2 trial has a planned enrollment of approximately 85 patients who have been diagnosed with Parkinson’s disease for at least four years, are not responding adequately to oral medications, and have at least three or more hours of OFF time during the day as measured by a validated self-reported patient diary. Patients who meet the eligibility criteria will be randomized (2:1) to one-time administration of VY-AADC (NBIb-1817) (for a total dose of up to 2.5×10</w:t>
      </w:r>
      <w:r>
        <w:rPr>
          <w:rFonts w:ascii="Arial" w:cs="Arial" w:eastAsia="Arial" w:hAnsi="Arial"/>
          <w:sz w:val="26"/>
          <w:szCs w:val="26"/>
          <w:color w:val="auto"/>
          <w:vertAlign w:val="superscript"/>
        </w:rPr>
        <w:t>12</w:t>
      </w:r>
      <w:r>
        <w:rPr>
          <w:rFonts w:ascii="Arial" w:cs="Arial" w:eastAsia="Arial" w:hAnsi="Arial"/>
          <w:sz w:val="17"/>
          <w:szCs w:val="17"/>
          <w:color w:val="auto"/>
        </w:rPr>
        <w:t xml:space="preserve"> vector genomes, or vg) or placebo surgery,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 xml:space="preserve">We are pursuing additional product candidates in the preclinical stages of development, including treatment programs for Huntington’s disease, ALS, Friedreich’s ataxia, tau-related neurodegenerative diseases and </w:t>
      </w:r>
      <w:r>
        <w:rPr>
          <w:rFonts w:ascii="Arial" w:cs="Arial" w:eastAsia="Arial" w:hAnsi="Arial"/>
          <w:sz w:val="17"/>
          <w:szCs w:val="17"/>
          <w:color w:val="212529"/>
        </w:rPr>
        <w:t>diseases</w:t>
      </w:r>
      <w:r>
        <w:rPr>
          <w:rFonts w:ascii="Arial" w:cs="Arial" w:eastAsia="Arial" w:hAnsi="Arial"/>
          <w:sz w:val="17"/>
          <w:szCs w:val="17"/>
          <w:color w:val="auto"/>
        </w:rPr>
        <w:t xml:space="preserve"> </w:t>
      </w:r>
      <w:r>
        <w:rPr>
          <w:rFonts w:ascii="Arial" w:cs="Arial" w:eastAsia="Arial" w:hAnsi="Arial"/>
          <w:sz w:val="17"/>
          <w:szCs w:val="17"/>
          <w:color w:val="212529"/>
        </w:rPr>
        <w:t>characterized by the abnormal accumulation of misfolded alpha-synuclein protein, or synucleinopathies</w:t>
      </w:r>
      <w:r>
        <w:rPr>
          <w:rFonts w:ascii="Arial" w:cs="Arial" w:eastAsia="Arial" w:hAnsi="Arial"/>
          <w:sz w:val="17"/>
          <w:szCs w:val="17"/>
          <w:color w:val="000000"/>
        </w:rPr>
        <w:t>. In June 2019, in</w:t>
      </w:r>
      <w:r>
        <w:rPr>
          <w:rFonts w:ascii="Arial" w:cs="Arial" w:eastAsia="Arial" w:hAnsi="Arial"/>
          <w:sz w:val="17"/>
          <w:szCs w:val="17"/>
          <w:color w:val="212529"/>
        </w:rPr>
        <w:t xml:space="preserve"> </w:t>
      </w:r>
      <w:r>
        <w:rPr>
          <w:rFonts w:ascii="Arial" w:cs="Arial" w:eastAsia="Arial" w:hAnsi="Arial"/>
          <w:sz w:val="17"/>
          <w:szCs w:val="17"/>
          <w:color w:val="000000"/>
        </w:rPr>
        <w:t>connection with the restructuring of our gene therapy relationship with Sanofi Genzyme, we decided to reallocate resources to our Huntington’s disease program and new discovery efforts. We are currently engaged in the ongoing conduct and review of preclinical studies for our Huntington’s disease program, VY-HTT01, and expect to provide an update on the program in the second quarter of 2020, including plans to file an investigational new drug, or IND, application. We intend to seek a partner to advance our preclinical program for SOD1 ALS and no longer expect to file an IND application for our ALS program prior to partnering.</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Additional preclinical studies are underway including steps to optimize a lead clinical candidate for the treatment of Friedreich’s ataxia in connection with the Neurocrine Collaboration. We are collaborating with AbbVie on two separate programs for the research and development of specified vectorized antibody compounds comprised of an AAV or other viral capsid and a virus vector genome that encodes one or more antibodies. These programs are in the research stage and focused on tau-related and alpha-synuclein related diseases, respectively.</w:t>
      </w:r>
    </w:p>
    <w:p>
      <w:pPr>
        <w:spacing w:after="0" w:line="174" w:lineRule="exact"/>
        <w:rPr>
          <w:sz w:val="20"/>
          <w:szCs w:val="20"/>
          <w:color w:val="auto"/>
        </w:rPr>
      </w:pPr>
    </w:p>
    <w:p>
      <w:pPr>
        <w:ind w:right="60" w:firstLine="648"/>
        <w:spacing w:after="0" w:line="249" w:lineRule="auto"/>
        <w:rPr>
          <w:sz w:val="20"/>
          <w:szCs w:val="20"/>
          <w:color w:val="auto"/>
        </w:rPr>
      </w:pPr>
      <w:r>
        <w:rPr>
          <w:rFonts w:ascii="Arial" w:cs="Arial" w:eastAsia="Arial" w:hAnsi="Arial"/>
          <w:sz w:val="17"/>
          <w:szCs w:val="17"/>
          <w:color w:val="auto"/>
        </w:rPr>
        <w:t xml:space="preserve">In addition to the programs described above, we continue to evaluate additional severe neurological diseases that could be treated using AAV gene therapy through application of either a gene replacement or a gene knockdown approach and are also actively exploring additional potential treatment methods that can utilize an AAV vector. </w:t>
      </w:r>
      <w:r>
        <w:rPr>
          <w:rFonts w:ascii="Arial" w:cs="Arial" w:eastAsia="Arial" w:hAnsi="Arial"/>
          <w:sz w:val="17"/>
          <w:szCs w:val="17"/>
          <w:color w:val="212529"/>
        </w:rPr>
        <w:t>In early 2019, we</w:t>
      </w:r>
      <w:r>
        <w:rPr>
          <w:rFonts w:ascii="Arial" w:cs="Arial" w:eastAsia="Arial" w:hAnsi="Arial"/>
          <w:sz w:val="17"/>
          <w:szCs w:val="17"/>
          <w:color w:val="auto"/>
        </w:rPr>
        <w:t xml:space="preserve"> </w:t>
      </w:r>
      <w:r>
        <w:rPr>
          <w:rFonts w:ascii="Arial" w:cs="Arial" w:eastAsia="Arial" w:hAnsi="Arial"/>
          <w:sz w:val="17"/>
          <w:szCs w:val="17"/>
          <w:color w:val="212529"/>
        </w:rPr>
        <w:t>presented on our discovery and development of novel AAV capsids that cross the blood brain barrier, or BBB, after intravenous, or IV, administration with improved transduction of the brain and spinal cord and enhanced cellular specificity using libraries under the control of either the neuron-specific synapsin, or SYN, promoter or the astrocyte-specific glial fibrillary acidic protein, or GFAP, promoter to apply selective pressure for capsid variants that transduce the cell type of interest. As part of that effort, our scientists have developed a proprietary system called Tropism Redirection of AAV by Cell Type-Specific Expression of RNA, or TRACER</w:t>
      </w:r>
      <w:r>
        <w:rPr>
          <w:rFonts w:ascii="Arial" w:cs="Arial" w:eastAsia="Arial" w:hAnsi="Arial"/>
          <w:sz w:val="19"/>
          <w:szCs w:val="19"/>
          <w:color w:val="212529"/>
          <w:vertAlign w:val="superscript"/>
        </w:rPr>
        <w:t>TM</w:t>
      </w:r>
      <w:r>
        <w:rPr>
          <w:rFonts w:ascii="Arial" w:cs="Arial" w:eastAsia="Arial" w:hAnsi="Arial"/>
          <w:sz w:val="17"/>
          <w:szCs w:val="17"/>
          <w:color w:val="212529"/>
        </w:rPr>
        <w:t xml:space="preserve">, to facilitate the selection of AAV capsids with BBB crossing and cell-specific transduction properties for particular therapeutic applications. The TRACER system is a broadly-applicable, functional RNA-based AAV capsid screening platform that allows for rapid </w:t>
      </w:r>
      <w:r>
        <w:rPr>
          <w:rFonts w:ascii="Arial" w:cs="Arial" w:eastAsia="Arial" w:hAnsi="Arial"/>
          <w:sz w:val="17"/>
          <w:szCs w:val="17"/>
          <w:i w:val="1"/>
          <w:iCs w:val="1"/>
          <w:color w:val="212529"/>
        </w:rPr>
        <w:t>in vivo</w:t>
      </w:r>
      <w:r>
        <w:rPr>
          <w:rFonts w:ascii="Arial" w:cs="Arial" w:eastAsia="Arial" w:hAnsi="Arial"/>
          <w:sz w:val="17"/>
          <w:szCs w:val="17"/>
          <w:color w:val="212529"/>
        </w:rPr>
        <w:t xml:space="preserve"> evolution of AAV capsids with cell-specific transduction properties in wild-type animals. Multiple capsid variants have been identified with up to 1,000-fold improvement of central nervous system transduction in mouse models over AAV9 following IV administration after three rounds of selection. We are applying the TRACER system towards selecting AAV capsids with improved BBB-penetrant properties in non-human primates.</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Finally, we have developed our own real-time, intra-operative, MRI compatible device, the Variable Trajectory Array Guide, or V-TAG™, that can be used with other neuro-navigational systems for the administration of drugs and other surgical procedures, to avoid blood vessels and reduce the risk of potential hemorrhage during surgery, and to maximize drug coverage of the targeted structures. In July 2018, the Center for Devices and Radiological Health, or the CDRH, of the U.S. Food and Drug Administration, of the FDA, provided 510(k) clearance for V-TAG. We are currently working with ClearPoint Neuro, Inc. (formerly known as MRI Interventions, Inc.), or CLPT on process development and manufacturing of the device, and in March 2019, we transferred our premarket notification (510(k)) clearance for V-TAG to CLPT. Investigators have used an alternative MRI-compatible device called the ClearPoint</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System in our Phase 1b clinical trial of VY-AADC (NBIb-1817) and Phase 1 posterior trajectory trial. Investigators in the RESTORE-1 Phase 2 clinical trial may use either the V-TAG or the ClearPoint System.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Genzyme Collaboration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2015, we entered into a strategic collaboration with Sanofi Genzyme to leverage our combined expertise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assets to develop AAV gene therapies for certain severe neurological diseases. Under the agreement, we received $65.0</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million in upfront cash, a $30.0 million upfront equity investment, and an in-kind commitment of $5.0 million, totaling</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$100.0 million. At the inception of the agreement, we were eligible to receive up to $745.0 million in option and milestone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payments while retaining U.S. commercial rights to most programs. Under the terms of the collaboration, we granted Sanofi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Genzyme an exclusive option (i) to license, develop and commercialize ex-U.S. rights to VY-AADC (NBIb-1817) for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Parkinson’s disease, or the VY-AADC Program, VY-FXN01 for Friedreich’s ataxia, or the FA Program, VY-HTT01 for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Huntington’s disease, or the Huntington’s Program, and a future program to be designated by Sanofi Genzyme, or the Future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Program, which we refer to collectively as the Split Territory Programs;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firstLine="2"/>
        <w:spacing w:after="0" w:line="243"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license, develop and commercialize worldwide rights to VY-SMN101, our spinal muscular atrophy program; and (iii) to co-commercialize VY-HTT01 in the United States. Each of Sanofi Genzyme’s options to a Split Territory Program is triggered following the completion of the first proof-of-principle human clinical study, or POP Study, on a program-by-program basis.</w:t>
      </w:r>
    </w:p>
    <w:p>
      <w:pPr>
        <w:spacing w:after="0" w:line="188"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October 2017, Sanofi Genzyme notified us that it had decided not to exercise its option for the ex-U.S. rights to the VY-AADC Program. As a result, we were no longer entitled to receive $45.0 million and $60.0 million of regulatory and commercial milestone payments from Sanofi Genzyme, respectively, related to the VY-AADC Program. If we use certain Sanofi Genzyme technology in VY-AADC (NBIb-1817), Sanofi Genzyme is entitled to receive low-single-digit royalty payments based on a percentage of net sales by us, and we may be obligated to make certain regulatory milestone payments to a third-party licensor.</w:t>
      </w:r>
    </w:p>
    <w:p>
      <w:pPr>
        <w:spacing w:after="0" w:line="190"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212529"/>
        </w:rPr>
        <w:t>In June 2019, we and Sanofi Genzyme executed a termination agreement to terminate the Sanofi Genzyme Collaboration Agreement, or the Sanofi Genzyme Termination Agreement. Under the terms of the Sanofi Genzyme Termination Agreement, Sanofi Genzyme relinquished its rights to the exclusive license options to the Huntington’s Program, the FA Program, and the Future Program. We have been relieved of our obligations to perform the research and development services under those programs through completion of the respective proof of principle human clinical studies, or POP Studies. As a result, we gained worldwide rights to the Huntington’s Program, and ex-U.S. rights to the FA Program. In accordance with our Collaboration and License Agreement with Neurocrine, or the Neurocrine Collaboration Agreement, the ex-U.S. rights to the FA Program then passed to Neurocrine. Additionally, we and Sanofi Genzyme entered into the Amended and Restated Option and License Agreement related to certain AAV capsids, or the Amended Capsid Agreement. Under the Amended Capsid Agreement, Sanofi Genzyme obtains exclusive option rights to select up to two novel AAV capsids owned or controlled by us for exclusive use for up to an aggregate of two non-central nervous system, or non-CNS indications.</w:t>
      </w:r>
    </w:p>
    <w:p>
      <w:pPr>
        <w:spacing w:after="0" w:line="16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6"/>
          <w:szCs w:val="16"/>
          <w:color w:val="212529"/>
        </w:rPr>
        <w:t>Under the Sanofi Genzyme Termination Agreement, we made a $10.0 million upfront payment to Sanofi Genzyme and have agreed to pay a $10.0 million milestone payment to Sanofi Genzyme within fifteen days of the filing of an IND application for a product candidate incorporating certain intellectual property rights developed under or substantially related to, the Huntington’s Program, which we refer to as a Post-Termination HD Product. We have agreed to pay Sanofi Genzyme</w:t>
      </w:r>
    </w:p>
    <w:p>
      <w:pPr>
        <w:spacing w:after="0" w:line="1" w:lineRule="exact"/>
        <w:rPr>
          <w:sz w:val="20"/>
          <w:szCs w:val="20"/>
          <w:color w:val="auto"/>
        </w:rPr>
      </w:pPr>
    </w:p>
    <w:p>
      <w:pPr>
        <w:jc w:val="both"/>
        <w:ind w:right="500" w:firstLine="2"/>
        <w:spacing w:after="0" w:line="264" w:lineRule="auto"/>
        <w:tabs>
          <w:tab w:leader="none" w:pos="215" w:val="left"/>
        </w:tabs>
        <w:numPr>
          <w:ilvl w:val="0"/>
          <w:numId w:val="6"/>
        </w:numPr>
        <w:rPr>
          <w:rFonts w:ascii="Arial" w:cs="Arial" w:eastAsia="Arial" w:hAnsi="Arial"/>
          <w:sz w:val="16"/>
          <w:szCs w:val="16"/>
          <w:color w:val="212529"/>
        </w:rPr>
      </w:pPr>
      <w:r>
        <w:rPr>
          <w:rFonts w:ascii="Arial" w:cs="Arial" w:eastAsia="Arial" w:hAnsi="Arial"/>
          <w:sz w:val="16"/>
          <w:szCs w:val="16"/>
          <w:color w:val="212529"/>
        </w:rPr>
        <w:t>50% of any income received from sublicensing arrangements related to Post-Termination HD Products in excess of specified thresholds and entered into prior to (a) the filing of an IND application for a Post-Termination HD Product or</w:t>
      </w:r>
    </w:p>
    <w:p>
      <w:pPr>
        <w:ind w:firstLine="2"/>
        <w:spacing w:after="0" w:line="268" w:lineRule="auto"/>
        <w:tabs>
          <w:tab w:leader="none" w:pos="255" w:val="left"/>
        </w:tabs>
        <w:numPr>
          <w:ilvl w:val="0"/>
          <w:numId w:val="7"/>
        </w:numPr>
        <w:rPr>
          <w:rFonts w:ascii="Arial" w:cs="Arial" w:eastAsia="Arial" w:hAnsi="Arial"/>
          <w:sz w:val="16"/>
          <w:szCs w:val="16"/>
          <w:color w:val="212529"/>
        </w:rPr>
      </w:pPr>
      <w:r>
        <w:rPr>
          <w:rFonts w:ascii="Arial" w:cs="Arial" w:eastAsia="Arial" w:hAnsi="Arial"/>
          <w:sz w:val="16"/>
          <w:szCs w:val="16"/>
          <w:color w:val="212529"/>
        </w:rPr>
        <w:t>the dosing of the first patient in a clinical trial for a Post-Termination HD Product in the United States or certain European countries, respectively and (ii) a low-double digit percentage of any income received from sublicensing arrangements outside the United States related to products incorporating intellectual property rights developed under, or substantially related to, the FA Program, which we refer to as Post-Termination FA Products, that are in excess of a specified threshold and entered into prior to the dosing of the first patient in a clinical trial for a Post-Termination FA Product in the United States or certain European countries, in each case, subject to certain limitations. We have also agreed to pay low-single-digit royalties on net sales of Post-Termination HD Products. Under the Sanofi Genzyme Collaboration Agreement, we had rights to certain in-kind services. As of the effective date of the Sanofi Genzyme Termination Agreement, we waived our right to approximately $0.4 million in unused in-kind services, we have relinquished our rights to the spinal muscular atrophy program, and we no longer have the right to receive any option payments, regulatory or commercial milestone payments or royalties from Sanofi Genzyme under the Sanofi Genzyme Collaboration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Tau Collaboration</w:t>
      </w:r>
    </w:p>
    <w:p>
      <w:pPr>
        <w:spacing w:after="0" w:line="21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In February 2018, we entered into an exclusive collaboration and option agreement with AbbVie, or the AbbVie Tau Collaboration Agreement, for the research, development, and commercialization of AAV and other virus-based gene therapy products for the treatment of diseases of the central nervous system, or CNS, and other neurodegenerative diseases related to defective or excess aggregation of tau protein in the human brain, including Alzheimer’s disease. Under the terms of the AbbVie Tau Collaboration Agreement, we received an upfront payment of $69.0 million and may receive future option fees, development and regulatory milestone payments and royalties. Under the terms of the AbbVie Tau Collaboration Agreement, we have agreed to perform specified research, preclinical, and Phase 1 development activities regarding vectorized antibodies directed against tau, after which AbbVie may select one or more vectorized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antibodies to proceed into IND-enabling studies and clinical development. We are responsible for the research, IND-enabling studies, and Phase 1 clinical trial activities and costs. Following the completion of Phase 1 clinical development, AbbVie has an option to license the vectorized tau antibody program and would then lead further clinical development and global commercialization for the product candidates pursuant to the AbbVie Tau Collaboration Agreement. We may earn up to $215.0 million in option exercise fees for such preclinical and Phase 1 development activities. In addition to the upfront payment and the potential option exercise payments, we are eligible to receive up to $895.0 million in development and regulatory milestones for each vectorized tau antibody compound. We are also eligible to receive tiered, escalating royalties in a range, subject to certain specified exceptions, from a high-single digit to a mid-to-high teen percentage of the global net sales of the vectorized antibodies for tauopathies, including Alzheimer’s disease and other neurodegenerative diseases. We also have an option to share in the costs of clinical development for higher royalty rates. Under the terms of the AbbVie Tau Collaboration Agreement, each party will own the entire right, title and interest in and to all know-how and patent rights first made or invented solely by it or its affiliates or its or their sublicensees in the course of the collaboration, with certain specified exceptions. We have also agreed to grant AbbVie a worldwide license to certain know-how and patent rights developed by us or jointly by the parties arising from the collaboration.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Alpha-Synuclein Collaboration</w:t>
      </w:r>
    </w:p>
    <w:p>
      <w:pPr>
        <w:spacing w:after="0" w:line="212"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In February 2019, we entered into an exclusive collaboration and option agreement with AbbVie, or the AbbVie Alpha-Synuclein Collaboration Agreement, for the development and commercialization of vectorized antibodies directed against pathological species of alpha-synuclein for the potential treatment of Parkinson’s disease and other synucleinopathies. Under the terms of the AbbVie Alpha-Synuclein Collaboration Agreement, we received an upfront payment of $65.0 million and may receive future option fees, development, regulatory, and commercial milestone payments, and royalties. Under the terms of the AbbVie Alpha-Synuclein Collaboration Agreement, we and AbbVie have agreed to collaborate on the research and development of specified vectorized antibody compounds, or Research Compounds, comprised of an AAV or other viral capsid and a virus vector genome that encodes one or more antibodies that target and bind to the alpha-synuclein protein. The collaboration is comprised of a research period and a development period. We are obligated to conduct research activities directed to constructing one or more virus vectors that encode antibodies designated by AbbVie. We are obligated to use diligent efforts to conduct antibody engineering and other research activities to create the Research Compounds and to develop product candidates containing or comprised of such Research Compounds, which we refer to as Product Candidates. We are solely responsible for the costs and expenses during the research period. During a specified portion of the Research Period, AbbVie may exercise one or more of its exclusive development options to select up to a total of four Research Compounds and their corresponding Product Candidates to proceed to the development period, after which AbbVie may exercise its option to license such Product Candidates following Phase 1 results, for which we may earn up to $245.0 million in option exercise payments in aggregate. In addition to the upfront payment and the potential option exercise payments, we are eligible to receive up to $727.5 million in development and regulatory milestones for each licensed Research Compound, or Licensed Compound. We are also eligible to receive tiered, escalating royalties, in the mid-single-digit percentage range on aggregate net sales of a corresponding product candidate, or a Licensed Product on a Licensed Compound by Licensed Compound basis, as well as up to $500.0 million in commercial milestone payments based on aggregate annual net sales thresholds of Licensed Products. The royalties are subject to potential reductions for biosimilar market penetration, patent claim expiration, and other provisions, subject to specified limits. Subject to certain exceptions, we and AbbVie have each agreed to be financially responsible for all payments owed to a third party with which it has contracted for any use of in-licensed intellectual property under the AbbVie Alpha-Synuclein Collaboration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Neurocrine Collaboration</w:t>
      </w:r>
    </w:p>
    <w:p>
      <w:pPr>
        <w:spacing w:after="0" w:line="21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In January 2019, we entered into the Neurocrine Collaboration Agreement for the research, development and commercialization of four programs including the VY-AADC Program, FA Program, and two programs, or the Discovery Programs. The Neurocrine Collaboration Agreement became effective in March 2019 following expiration of the applicable waiting period under the Hart-Scott-Rodino Antitrust Improvements Act of 1976, as amended, and satisfaction of customary closing conditions. Under the terms of the Neurocrine Collaboration Agreement, we received an upfront payment of $115.0 million and may receive future development and regulatory milestone payments and royalties. In connection with the Neurocrine Collaboration Agreement, Neurocrine also paid us $50.0 million as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consideration for an equity purchase of 4,179,728 shares of our common stock. </w:t>
      </w:r>
      <w:r>
        <w:rPr>
          <w:rFonts w:ascii="Arial" w:cs="Arial" w:eastAsia="Arial" w:hAnsi="Arial"/>
          <w:sz w:val="17"/>
          <w:szCs w:val="17"/>
          <w:color w:val="212529"/>
        </w:rPr>
        <w:t>In June 2019, in conjunction with the</w:t>
      </w:r>
      <w:r>
        <w:rPr>
          <w:rFonts w:ascii="Arial" w:cs="Arial" w:eastAsia="Arial" w:hAnsi="Arial"/>
          <w:sz w:val="17"/>
          <w:szCs w:val="17"/>
          <w:color w:val="auto"/>
        </w:rPr>
        <w:t xml:space="preserve"> </w:t>
      </w:r>
      <w:r>
        <w:rPr>
          <w:rFonts w:ascii="Arial" w:cs="Arial" w:eastAsia="Arial" w:hAnsi="Arial"/>
          <w:sz w:val="17"/>
          <w:szCs w:val="17"/>
          <w:color w:val="212529"/>
        </w:rPr>
        <w:t xml:space="preserve">termination of the Sanofi Genzyme Collaboration Agreement, we gained worldwide rights to the Huntington’s Program and ex-U.S. rights to the FA Program. Our ex-U.S. rights to the FA Program were transferred to Neurocrine Biosciences pursuant to the Neurocrine Collaboration Agreement. To facilitate the transfer of the ex-U.S. rights to the FA Program to Neurocrine, we and Neurocrine amended the Neurocrine Collaboration Agreement and we received a $5.0 million payment from Neurocrine. </w:t>
      </w:r>
      <w:r>
        <w:rPr>
          <w:rFonts w:ascii="Arial" w:cs="Arial" w:eastAsia="Arial" w:hAnsi="Arial"/>
          <w:sz w:val="17"/>
          <w:szCs w:val="17"/>
          <w:color w:val="000000"/>
        </w:rPr>
        <w:t>We are obligated to use commercially reasonable efforts to develop the products in each of these programs under</w:t>
      </w:r>
      <w:r>
        <w:rPr>
          <w:rFonts w:ascii="Arial" w:cs="Arial" w:eastAsia="Arial" w:hAnsi="Arial"/>
          <w:sz w:val="17"/>
          <w:szCs w:val="17"/>
          <w:color w:val="212529"/>
        </w:rPr>
        <w:t xml:space="preserve"> </w:t>
      </w:r>
      <w:r>
        <w:rPr>
          <w:rFonts w:ascii="Arial" w:cs="Arial" w:eastAsia="Arial" w:hAnsi="Arial"/>
          <w:sz w:val="17"/>
          <w:szCs w:val="17"/>
          <w:color w:val="000000"/>
        </w:rPr>
        <w:t>the terms of the Neurocrine Collaboration Agreement. Neurocrine is responsible for all costs incurred by us in conducting these activities for each program, in accordance with an agreed budget.</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Under the terms of the Neurocrine Collaboration Agreement for the VY-AADC Program, Neurocrine will fund the clinical development of the RESTORE-1 Phase 2 clinical trials for VY-AADC (NBIb-1817). After the data readout of the RESTORE-1 Phase 2 trial, we have the option to either: (i) co-commercialize VY-AADC (NBIb-1817) with Neurocrine in the United States under a 50/50 cost- and profit-sharing arrangement and receive milestones and royalties based on ex-U.S. sales, or (ii) grant Neurocrine full global commercial rights in exchange for milestone payments and royalties based on global sales. Under the terms of the Neurocrine Collaboration Agreement for the FA Program, Neurocrine will fund the development through the Phase 1 clinical trial of VY-FXN01. After the data readout of the Phase 1 trial, we have the option to either: (i) co-commercialize VY-FXN01 with Neurocrine in the United States under a 60/40 cost- and profit-sharing arrangement, or (ii) grant Neurocrine full worldwide commercial rights in exchange for milestone payments and royalties based on global sales, subject to Sanofi Genzyme’s option to commercialize the FA Program in countries outside the United States. Under the terms of the Neurocrine Collaboration Agreement for the two Discovery Programs, Neurocrine will fund the development of those programs and we have the right to earn milestone payments and royalties based on global sales.</w:t>
      </w:r>
    </w:p>
    <w:p>
      <w:pPr>
        <w:spacing w:after="0" w:line="172"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In addition to the upfront payment, we are eligible to receive aggregate development milestone payments under (i) the VY-AADC Program of up to $170.0 million, (ii) the FA Program of up to $195.0 million, and (iii) each of the Discovery Programs of up to $130.0 million each. We may also be entitled to receive aggregate commercial milestone payments for each collaboration product of up to $275.0 million, subject to an aggregate cap on commercial milestone payments across all programs of $1.1 billion. We are also eligible to receive royalties, based on future net sales of the collaboration products. Such royalty percentages, for net sales in and outside the United States, as applicable, range (i) for the VY-AADC Program, from the mid-teens to thirty and the low-teens to twenty, respectively; (ii) for the FA Program, from the low-teens to high-teens and high-single digits to mid-teens, respectively; and (iii) for each Discovery Program, from the high-single digits to mid-teens and mid-single digits to low-teens,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and Strategy</w:t>
      </w:r>
    </w:p>
    <w:p>
      <w:pPr>
        <w:spacing w:after="0" w:line="25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Our mission is to become the world leader in AAV gene therapy focused on treating severe neurological diseases by developing transformative therapies. Our strategy to achieve this mission is to:</w:t>
      </w:r>
    </w:p>
    <w:p>
      <w:pPr>
        <w:spacing w:after="0" w:line="196" w:lineRule="exact"/>
        <w:rPr>
          <w:sz w:val="20"/>
          <w:szCs w:val="20"/>
          <w:color w:val="auto"/>
        </w:rPr>
      </w:pPr>
    </w:p>
    <w:p>
      <w:pPr>
        <w:ind w:left="1000" w:hanging="323"/>
        <w:spacing w:after="0" w:line="268" w:lineRule="auto"/>
        <w:tabs>
          <w:tab w:leader="none" w:pos="1000" w:val="left"/>
        </w:tabs>
        <w:numPr>
          <w:ilvl w:val="0"/>
          <w:numId w:val="8"/>
        </w:numPr>
        <w:rPr>
          <w:rFonts w:ascii="Arial" w:cs="Arial" w:eastAsia="Arial" w:hAnsi="Arial"/>
          <w:sz w:val="17"/>
          <w:szCs w:val="17"/>
          <w:color w:val="212529"/>
        </w:rPr>
      </w:pPr>
      <w:r>
        <w:rPr>
          <w:rFonts w:ascii="Arial" w:cs="Arial" w:eastAsia="Arial" w:hAnsi="Arial"/>
          <w:sz w:val="17"/>
          <w:szCs w:val="17"/>
          <w:b w:val="1"/>
          <w:bCs w:val="1"/>
          <w:i w:val="1"/>
          <w:iCs w:val="1"/>
          <w:color w:val="auto"/>
        </w:rPr>
        <w:t xml:space="preserve">Optimize and advance VY-AADC (NBIb-1817) for the treatment of Parkinson’s disease. </w:t>
      </w:r>
      <w:r>
        <w:rPr>
          <w:rFonts w:ascii="Arial" w:cs="Arial" w:eastAsia="Arial" w:hAnsi="Arial"/>
          <w:sz w:val="17"/>
          <w:szCs w:val="17"/>
          <w:color w:val="212529"/>
        </w:rPr>
        <w:t>Our most advanced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12529"/>
        </w:rPr>
        <w:t xml:space="preserve">clinical candidate, </w:t>
      </w:r>
      <w:r>
        <w:rPr>
          <w:rFonts w:ascii="Arial" w:cs="Arial" w:eastAsia="Arial" w:hAnsi="Arial"/>
          <w:sz w:val="17"/>
          <w:szCs w:val="17"/>
          <w:color w:val="000000"/>
        </w:rPr>
        <w:t>VY-AADC (NBIb-1817)</w:t>
      </w:r>
      <w:r>
        <w:rPr>
          <w:rFonts w:ascii="Arial" w:cs="Arial" w:eastAsia="Arial" w:hAnsi="Arial"/>
          <w:sz w:val="17"/>
          <w:szCs w:val="17"/>
          <w:color w:val="212529"/>
        </w:rPr>
        <w:t xml:space="preserve"> for the treatment of Parkinson’s disease is included in the Neurocrine Collaboration. </w:t>
      </w:r>
      <w:r>
        <w:rPr>
          <w:rFonts w:ascii="Arial" w:cs="Arial" w:eastAsia="Arial" w:hAnsi="Arial"/>
          <w:sz w:val="17"/>
          <w:szCs w:val="17"/>
          <w:color w:val="000000"/>
        </w:rPr>
        <w:t>We continue to evaluate the dosing and delivery of VY-AADC (NBIb-1817) to</w:t>
      </w:r>
      <w:r>
        <w:rPr>
          <w:rFonts w:ascii="Arial" w:cs="Arial" w:eastAsia="Arial" w:hAnsi="Arial"/>
          <w:sz w:val="17"/>
          <w:szCs w:val="17"/>
          <w:color w:val="212529"/>
        </w:rPr>
        <w:t xml:space="preserve"> </w:t>
      </w:r>
      <w:r>
        <w:rPr>
          <w:rFonts w:ascii="Arial" w:cs="Arial" w:eastAsia="Arial" w:hAnsi="Arial"/>
          <w:sz w:val="17"/>
          <w:szCs w:val="17"/>
          <w:color w:val="000000"/>
        </w:rPr>
        <w:t xml:space="preserve">determine the optimal and safe dose to achieve meaningful clinical benefit for patients with Parkinson’s disease. </w:t>
      </w:r>
      <w:r>
        <w:rPr>
          <w:rFonts w:ascii="Arial" w:cs="Arial" w:eastAsia="Arial" w:hAnsi="Arial"/>
          <w:sz w:val="17"/>
          <w:szCs w:val="17"/>
          <w:color w:val="212529"/>
        </w:rPr>
        <w:t>We are evaluating the delivery of</w:t>
      </w:r>
      <w:r>
        <w:rPr>
          <w:rFonts w:ascii="Arial" w:cs="Arial" w:eastAsia="Arial" w:hAnsi="Arial"/>
          <w:sz w:val="17"/>
          <w:szCs w:val="17"/>
          <w:color w:val="000000"/>
        </w:rPr>
        <w:t xml:space="preserve"> VY-AADC (NBIb-1817) </w:t>
      </w:r>
      <w:r>
        <w:rPr>
          <w:rFonts w:ascii="Arial" w:cs="Arial" w:eastAsia="Arial" w:hAnsi="Arial"/>
          <w:sz w:val="17"/>
          <w:szCs w:val="17"/>
          <w:color w:val="212529"/>
        </w:rPr>
        <w:t>in a transfrontal (i.e., top of the head)</w:t>
      </w:r>
      <w:r>
        <w:rPr>
          <w:rFonts w:ascii="Arial" w:cs="Arial" w:eastAsia="Arial" w:hAnsi="Arial"/>
          <w:sz w:val="17"/>
          <w:szCs w:val="17"/>
          <w:color w:val="000000"/>
        </w:rPr>
        <w:t xml:space="preserve"> </w:t>
      </w:r>
      <w:r>
        <w:rPr>
          <w:rFonts w:ascii="Arial" w:cs="Arial" w:eastAsia="Arial" w:hAnsi="Arial"/>
          <w:sz w:val="17"/>
          <w:szCs w:val="17"/>
          <w:color w:val="212529"/>
        </w:rPr>
        <w:t xml:space="preserve">surgical delivery route in a Phase 1b clinical trial, and separately, we are exploring the delivery of </w:t>
      </w:r>
      <w:r>
        <w:rPr>
          <w:rFonts w:ascii="Arial" w:cs="Arial" w:eastAsia="Arial" w:hAnsi="Arial"/>
          <w:sz w:val="17"/>
          <w:szCs w:val="17"/>
          <w:color w:val="000000"/>
        </w:rPr>
        <w:t>VY-AADC</w:t>
      </w:r>
      <w:r>
        <w:rPr>
          <w:rFonts w:ascii="Arial" w:cs="Arial" w:eastAsia="Arial" w:hAnsi="Arial"/>
          <w:sz w:val="17"/>
          <w:szCs w:val="17"/>
          <w:color w:val="212529"/>
        </w:rPr>
        <w:t xml:space="preserve"> </w:t>
      </w:r>
      <w:r>
        <w:rPr>
          <w:rFonts w:ascii="Arial" w:cs="Arial" w:eastAsia="Arial" w:hAnsi="Arial"/>
          <w:sz w:val="17"/>
          <w:szCs w:val="17"/>
          <w:color w:val="000000"/>
        </w:rPr>
        <w:t xml:space="preserve">(NBIb-1817) </w:t>
      </w:r>
      <w:r>
        <w:rPr>
          <w:rFonts w:ascii="Arial" w:cs="Arial" w:eastAsia="Arial" w:hAnsi="Arial"/>
          <w:sz w:val="17"/>
          <w:szCs w:val="17"/>
          <w:color w:val="212529"/>
        </w:rPr>
        <w:t>using a posterior trajectory (i.e., back of the head surgical delivery route) in a Phase 1 clinical trial</w:t>
      </w:r>
      <w:r>
        <w:rPr>
          <w:rFonts w:ascii="Arial" w:cs="Arial" w:eastAsia="Arial" w:hAnsi="Arial"/>
          <w:sz w:val="17"/>
          <w:szCs w:val="17"/>
          <w:color w:val="000000"/>
        </w:rPr>
        <w:t xml:space="preserve"> </w:t>
      </w:r>
      <w:r>
        <w:rPr>
          <w:rFonts w:ascii="Arial" w:cs="Arial" w:eastAsia="Arial" w:hAnsi="Arial"/>
          <w:sz w:val="17"/>
          <w:szCs w:val="17"/>
          <w:color w:val="212529"/>
        </w:rPr>
        <w:t xml:space="preserve">(PD-1101 and PD-1102, respectively). PD-1101 is an open-label, dose-ranging, Phase 1b clinical trial for </w:t>
      </w:r>
      <w:r>
        <w:rPr>
          <w:rFonts w:ascii="Arial" w:cs="Arial" w:eastAsia="Arial" w:hAnsi="Arial"/>
          <w:sz w:val="17"/>
          <w:szCs w:val="17"/>
          <w:color w:val="000000"/>
        </w:rPr>
        <w:t xml:space="preserve">VY-AADC (NBIb-1817) </w:t>
      </w:r>
      <w:r>
        <w:rPr>
          <w:rFonts w:ascii="Arial" w:cs="Arial" w:eastAsia="Arial" w:hAnsi="Arial"/>
          <w:sz w:val="17"/>
          <w:szCs w:val="17"/>
          <w:color w:val="212529"/>
        </w:rPr>
        <w:t>to evaluate safety and efficacy. We enrolled 15 patients with advanced Parkinson’s disease</w:t>
      </w:r>
      <w:r>
        <w:rPr>
          <w:rFonts w:ascii="Arial" w:cs="Arial" w:eastAsia="Arial" w:hAnsi="Arial"/>
          <w:sz w:val="17"/>
          <w:szCs w:val="17"/>
          <w:color w:val="000000"/>
        </w:rPr>
        <w:t xml:space="preserve"> </w:t>
      </w:r>
      <w:r>
        <w:rPr>
          <w:rFonts w:ascii="Arial" w:cs="Arial" w:eastAsia="Arial" w:hAnsi="Arial"/>
          <w:sz w:val="17"/>
          <w:szCs w:val="17"/>
          <w:color w:val="212529"/>
        </w:rPr>
        <w:t xml:space="preserve">and assessed increased volume or concentration of </w:t>
      </w:r>
      <w:r>
        <w:rPr>
          <w:rFonts w:ascii="Arial" w:cs="Arial" w:eastAsia="Arial" w:hAnsi="Arial"/>
          <w:sz w:val="17"/>
          <w:szCs w:val="17"/>
          <w:color w:val="000000"/>
        </w:rPr>
        <w:t>VY-AADC (NBIb-1817)</w:t>
      </w:r>
      <w:r>
        <w:rPr>
          <w:rFonts w:ascii="Arial" w:cs="Arial" w:eastAsia="Arial" w:hAnsi="Arial"/>
          <w:sz w:val="17"/>
          <w:szCs w:val="17"/>
          <w:color w:val="212529"/>
        </w:rPr>
        <w:t xml:space="preserve"> in three separate cohorts consisting of five patients in each cohort. PD-1102 is a separate, open-label, Phase 1 clinical trial exploring a posterior trajectory for </w:t>
      </w:r>
      <w:r>
        <w:rPr>
          <w:rFonts w:ascii="Arial" w:cs="Arial" w:eastAsia="Arial" w:hAnsi="Arial"/>
          <w:sz w:val="17"/>
          <w:szCs w:val="17"/>
          <w:color w:val="000000"/>
        </w:rPr>
        <w:t>VY-AADC (NBIb-1817)</w:t>
      </w:r>
      <w:r>
        <w:rPr>
          <w:rFonts w:ascii="Arial" w:cs="Arial" w:eastAsia="Arial" w:hAnsi="Arial"/>
          <w:sz w:val="17"/>
          <w:szCs w:val="17"/>
          <w:color w:val="212529"/>
        </w:rPr>
        <w:t xml:space="preserve"> that enrolled eight patients with advanced Parkinson’s disease. We have completed enrollment in both PD-1101 and PD-1102 and continue to follow patients enrolled in these trials. Preliminary data from both trials demonstrate that </w:t>
      </w:r>
      <w:r>
        <w:rPr>
          <w:rFonts w:ascii="Arial" w:cs="Arial" w:eastAsia="Arial" w:hAnsi="Arial"/>
          <w:sz w:val="17"/>
          <w:szCs w:val="17"/>
          <w:color w:val="000000"/>
        </w:rPr>
        <w:t>VY-AADC (NBIb-1817)</w:t>
      </w:r>
      <w:r>
        <w:rPr>
          <w:rFonts w:ascii="Arial" w:cs="Arial" w:eastAsia="Arial" w:hAnsi="Arial"/>
          <w:sz w:val="17"/>
          <w:szCs w:val="17"/>
          <w:color w:val="212529"/>
        </w:rPr>
        <w:t xml:space="preserve"> has been well-tolerated, and that administration with </w:t>
      </w:r>
      <w:r>
        <w:rPr>
          <w:rFonts w:ascii="Arial" w:cs="Arial" w:eastAsia="Arial" w:hAnsi="Arial"/>
          <w:sz w:val="17"/>
          <w:szCs w:val="17"/>
          <w:color w:val="000000"/>
        </w:rPr>
        <w:t>VY-AADC (NBIb-1817)</w:t>
      </w:r>
      <w:r>
        <w:rPr>
          <w:rFonts w:ascii="Arial" w:cs="Arial" w:eastAsia="Arial" w:hAnsi="Arial"/>
          <w:sz w:val="17"/>
          <w:szCs w:val="17"/>
          <w:color w:val="212529"/>
        </w:rPr>
        <w:t xml:space="preserve"> improved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0" w:right="220"/>
        <w:spacing w:after="0" w:line="264" w:lineRule="auto"/>
        <w:rPr>
          <w:sz w:val="20"/>
          <w:szCs w:val="20"/>
          <w:color w:val="auto"/>
        </w:rPr>
      </w:pPr>
      <w:r>
        <w:rPr>
          <w:rFonts w:ascii="Arial" w:cs="Arial" w:eastAsia="Arial" w:hAnsi="Arial"/>
          <w:sz w:val="18"/>
          <w:szCs w:val="18"/>
          <w:color w:val="212529"/>
        </w:rPr>
        <w:t>patients’ motor function and quality of life as measured by standard scores and measures used in Parkinson’s disease trials. Results from PD-1101 were reported beginning in late 2016 and most recently in November 2018. In May 2019, we provided 12-month results from PD-1102.</w:t>
      </w:r>
    </w:p>
    <w:p>
      <w:pPr>
        <w:spacing w:after="0" w:line="195" w:lineRule="exact"/>
        <w:rPr>
          <w:sz w:val="20"/>
          <w:szCs w:val="20"/>
          <w:color w:val="auto"/>
        </w:rPr>
      </w:pPr>
    </w:p>
    <w:p>
      <w:pPr>
        <w:ind w:left="980"/>
        <w:spacing w:after="0" w:line="269" w:lineRule="auto"/>
        <w:rPr>
          <w:sz w:val="20"/>
          <w:szCs w:val="20"/>
          <w:color w:val="auto"/>
        </w:rPr>
      </w:pPr>
      <w:r>
        <w:rPr>
          <w:rFonts w:ascii="Arial" w:cs="Arial" w:eastAsia="Arial" w:hAnsi="Arial"/>
          <w:sz w:val="16"/>
          <w:szCs w:val="16"/>
          <w:color w:val="212529"/>
        </w:rPr>
        <w:t xml:space="preserve">In December 2018, we announced randomization of the first patient in the RESTORE-1 Phase 2, randomized, double-blind, placebo-surgery controlled trial evaluating the safety and efficacy of </w:t>
      </w:r>
      <w:r>
        <w:rPr>
          <w:rFonts w:ascii="Arial" w:cs="Arial" w:eastAsia="Arial" w:hAnsi="Arial"/>
          <w:sz w:val="16"/>
          <w:szCs w:val="16"/>
          <w:color w:val="000000"/>
        </w:rPr>
        <w:t>VY-AADC (NBIb-1817)</w:t>
      </w:r>
      <w:r>
        <w:rPr>
          <w:rFonts w:ascii="Arial" w:cs="Arial" w:eastAsia="Arial" w:hAnsi="Arial"/>
          <w:sz w:val="16"/>
          <w:szCs w:val="16"/>
          <w:color w:val="212529"/>
        </w:rPr>
        <w:t xml:space="preserve"> for the treatment of Parkinson’s disease in patients with motor fluctuations that are refractory to medical management. </w:t>
      </w:r>
      <w:r>
        <w:rPr>
          <w:rFonts w:ascii="Arial" w:cs="Arial" w:eastAsia="Arial" w:hAnsi="Arial"/>
          <w:sz w:val="16"/>
          <w:szCs w:val="16"/>
          <w:color w:val="000000"/>
        </w:rPr>
        <w:t>We received written feedback from the FDA, including FDA guidance received during the Type B</w:t>
      </w:r>
      <w:r>
        <w:rPr>
          <w:rFonts w:ascii="Arial" w:cs="Arial" w:eastAsia="Arial" w:hAnsi="Arial"/>
          <w:sz w:val="16"/>
          <w:szCs w:val="16"/>
          <w:color w:val="212529"/>
        </w:rPr>
        <w:t xml:space="preserve"> </w:t>
      </w:r>
      <w:r>
        <w:rPr>
          <w:rFonts w:ascii="Arial" w:cs="Arial" w:eastAsia="Arial" w:hAnsi="Arial"/>
          <w:sz w:val="16"/>
          <w:szCs w:val="16"/>
          <w:color w:val="000000"/>
        </w:rPr>
        <w:t xml:space="preserve">meeting that in a disease such as Parkinson’s, two adequate and well-controlled clinical trials are suggested. Based upon feedback received from the FDA, we and Neurocrine have amended the RESTORE-1 clinical trial protocol to support a future registration filing, if successful, for VY-AADC (NBIb-1817) for the treatment of Parkinson’s disease in the United States. The protocol amendments include increasing the planned enrollment to approximately 85 patients, from the previously planned 42 patients, and adjusting future enrollment in the trial to randomize patients 2:1 to VY-AADC (NBIb-1817) or placebo surgery, respectively, compared to the previous 1:1 randomization. </w:t>
      </w:r>
      <w:r>
        <w:rPr>
          <w:rFonts w:ascii="Arial" w:cs="Arial" w:eastAsia="Arial" w:hAnsi="Arial"/>
          <w:sz w:val="16"/>
          <w:szCs w:val="16"/>
          <w:color w:val="212529"/>
        </w:rPr>
        <w:t>The eligibility criteria remain the same, including patients who have been diagnosed with</w:t>
      </w:r>
      <w:r>
        <w:rPr>
          <w:rFonts w:ascii="Arial" w:cs="Arial" w:eastAsia="Arial" w:hAnsi="Arial"/>
          <w:sz w:val="16"/>
          <w:szCs w:val="16"/>
          <w:color w:val="000000"/>
        </w:rPr>
        <w:t xml:space="preserve"> </w:t>
      </w:r>
      <w:r>
        <w:rPr>
          <w:rFonts w:ascii="Arial" w:cs="Arial" w:eastAsia="Arial" w:hAnsi="Arial"/>
          <w:sz w:val="16"/>
          <w:szCs w:val="16"/>
          <w:color w:val="212529"/>
        </w:rPr>
        <w:t>Parkinson’s disease for at least four years, are not responding adequately to oral medications, and have at least three or more hours of OFF time during the day as measured by a validated self-reported patient diary.</w:t>
      </w:r>
    </w:p>
    <w:p>
      <w:pPr>
        <w:spacing w:after="0" w:line="166" w:lineRule="exact"/>
        <w:rPr>
          <w:sz w:val="20"/>
          <w:szCs w:val="20"/>
          <w:color w:val="auto"/>
        </w:rPr>
      </w:pPr>
    </w:p>
    <w:p>
      <w:pPr>
        <w:jc w:val="both"/>
        <w:ind w:left="980" w:right="20"/>
        <w:spacing w:after="0" w:line="254" w:lineRule="auto"/>
        <w:rPr>
          <w:sz w:val="20"/>
          <w:szCs w:val="20"/>
          <w:color w:val="auto"/>
        </w:rPr>
      </w:pPr>
      <w:r>
        <w:rPr>
          <w:rFonts w:ascii="Arial" w:cs="Arial" w:eastAsia="Arial" w:hAnsi="Arial"/>
          <w:sz w:val="17"/>
          <w:szCs w:val="17"/>
          <w:color w:val="212529"/>
        </w:rPr>
        <w:t>For the RESTORE-1 Phase 2 clinical trial, we have selected a dose of up to 2.5 x 10</w:t>
      </w:r>
      <w:r>
        <w:rPr>
          <w:rFonts w:ascii="Arial" w:cs="Arial" w:eastAsia="Arial" w:hAnsi="Arial"/>
          <w:sz w:val="19"/>
          <w:szCs w:val="19"/>
          <w:color w:val="212529"/>
          <w:vertAlign w:val="superscript"/>
        </w:rPr>
        <w:t>12</w:t>
      </w:r>
      <w:r>
        <w:rPr>
          <w:rFonts w:ascii="Arial" w:cs="Arial" w:eastAsia="Arial" w:hAnsi="Arial"/>
          <w:sz w:val="17"/>
          <w:szCs w:val="17"/>
          <w:color w:val="212529"/>
        </w:rPr>
        <w:t xml:space="preserve"> vgs which is defined as a maximum total bilateral dose. This dose is between the up to maximum total vector genome doses administered in Cohorts 2 and 3 from the PD-1101 Phase 1b trial when considering the higher volume administered with the posterior trajectory and vector produced using the baculovirus system.</w:t>
      </w:r>
    </w:p>
    <w:p>
      <w:pPr>
        <w:spacing w:after="0" w:line="164" w:lineRule="exact"/>
        <w:rPr>
          <w:sz w:val="20"/>
          <w:szCs w:val="20"/>
          <w:color w:val="auto"/>
        </w:rPr>
      </w:pPr>
    </w:p>
    <w:p>
      <w:pPr>
        <w:ind w:left="1000" w:right="20" w:hanging="323"/>
        <w:spacing w:after="0" w:line="273"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and advance a pipeline of gene therapy programs focused on severe neurological diseases. </w:t>
      </w:r>
      <w:r>
        <w:rPr>
          <w:rFonts w:ascii="Arial" w:cs="Arial" w:eastAsia="Arial" w:hAnsi="Arial"/>
          <w:sz w:val="17"/>
          <w:szCs w:val="17"/>
          <w:color w:val="auto"/>
        </w:rPr>
        <w:t>Beyond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clinical-stage program for Parkinson’s disease, we have a deep pipeline of AAV gene therapy programs in various stages of preclinical development. We believe that our leadership position in AAV gene therapy for severe neurological diseases and our gene therapy platform provide us with the necessary capabilities to evaluate and capitalize on external opportunities. As such, we plan to opportunistically expand our pipeline through acquisition, in-licensing or other strategic transactions.</w:t>
      </w:r>
    </w:p>
    <w:p>
      <w:pPr>
        <w:spacing w:after="0" w:line="178" w:lineRule="exact"/>
        <w:rPr>
          <w:rFonts w:ascii="Arial" w:cs="Arial" w:eastAsia="Arial" w:hAnsi="Arial"/>
          <w:sz w:val="17"/>
          <w:szCs w:val="17"/>
          <w:color w:val="auto"/>
        </w:rPr>
      </w:pPr>
    </w:p>
    <w:p>
      <w:pPr>
        <w:ind w:left="1000" w:right="40" w:hanging="323"/>
        <w:spacing w:after="0" w:line="271"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Continuously invest in our AAV gene therapy platform. </w:t>
      </w:r>
      <w:r>
        <w:rPr>
          <w:rFonts w:ascii="Arial" w:cs="Arial" w:eastAsia="Arial" w:hAnsi="Arial"/>
          <w:sz w:val="17"/>
          <w:szCs w:val="17"/>
          <w:color w:val="auto"/>
        </w:rPr>
        <w:t>We plan to continuously invest in our gene therapy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to maintain our leadership in AAV gene therapy for neurological diseases. Specifically, we intend to further develop and enhance our gene therapy platform by focusing on (i) vector engineering and optimization; (ii) manufacturing; and (iii) dosing and delivery techniques. We plan to continue generating novel AAV vectors by engineering and optimizing vectors best suited to a targeted disease. We have built an onsite, state-of-the-art process research and development facility to enable the manufacturing of high quality AAV gene therapy vectors at laboratory scale. We expect to utilize established and novel techniques for dosing and delivery of our AAV gene therapies to the CNS.</w:t>
      </w:r>
    </w:p>
    <w:p>
      <w:pPr>
        <w:spacing w:after="0" w:line="219" w:lineRule="exact"/>
        <w:rPr>
          <w:rFonts w:ascii="Arial" w:cs="Arial" w:eastAsia="Arial" w:hAnsi="Arial"/>
          <w:sz w:val="17"/>
          <w:szCs w:val="17"/>
          <w:color w:val="auto"/>
        </w:rPr>
      </w:pPr>
    </w:p>
    <w:p>
      <w:pPr>
        <w:ind w:left="1000" w:right="20" w:hanging="323"/>
        <w:spacing w:after="0" w:line="269"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a leadership position in commercial-scale, high quality AAV manufacturing. </w:t>
      </w:r>
      <w:r>
        <w:rPr>
          <w:rFonts w:ascii="Arial" w:cs="Arial" w:eastAsia="Arial" w:hAnsi="Arial"/>
          <w:sz w:val="17"/>
          <w:szCs w:val="17"/>
          <w:color w:val="auto"/>
        </w:rPr>
        <w:t>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capacity and expertise are critical to successfully treating patients using gene therapy. We have established relationships with multiple current good manufacturing practices, or cGMP, contract manufacturers. Previously, through our collaborations with MassBiologics, an FDA-licensed manufacturer affiliated with the University of Massachusetts Medical School, we initiated cGMP production activities. More recently, we announced additional agreements with Brammer Bio and with Fujifilm Diosynth Biotechnologies, established contract manufacturers that specialize in gene therapy and AAV vectors. We are using the baculovirus/Sf9 AAV production system, a technology for producing AAV vectors at scale in insect-derived cells, originally invented and developed by several current and former members of our production team while at the National Institutes of Health, or NIH, which we continue to improve upon. We believe that having oversight through these key relationships over our own commercial manufacturing process is critical to ensuring quality product with commercial yields.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right="39" w:hanging="323"/>
        <w:spacing w:after="0" w:line="271"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Retain commercialization rights to our programs. </w:t>
      </w:r>
      <w:r>
        <w:rPr>
          <w:rFonts w:ascii="Arial" w:cs="Arial" w:eastAsia="Arial" w:hAnsi="Arial"/>
          <w:sz w:val="17"/>
          <w:szCs w:val="17"/>
          <w:color w:val="auto"/>
        </w:rPr>
        <w:t>We hold worldwide rights for our Huntington’s Program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ALS Program. We have retained co-development and co-commercialization rights for the VY-AADC Program and FA Program under our Neurocrine Collaboration. As these and other programs advance through late-stage clinical development, we intend to build our own sales and marketing infrastructure and leverage our partnerships to support our programs where we have retained commercialization rights. Collaborations represent an important advance in our strategy to leverage our AAV gene therapy platform and programs through collaborative partnerships with biopharmaceutical companies that bring complementary expertise, capabilities, and experience, in addition to capital.</w:t>
      </w:r>
    </w:p>
    <w:p>
      <w:pPr>
        <w:spacing w:after="0" w:line="178" w:lineRule="exact"/>
        <w:rPr>
          <w:rFonts w:ascii="Arial" w:cs="Arial" w:eastAsia="Arial" w:hAnsi="Arial"/>
          <w:sz w:val="17"/>
          <w:szCs w:val="17"/>
          <w:color w:val="auto"/>
        </w:rPr>
      </w:pPr>
    </w:p>
    <w:p>
      <w:pPr>
        <w:ind w:left="1000" w:right="19" w:hanging="323"/>
        <w:spacing w:after="0" w:line="297"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intellectual property portfolio. </w:t>
      </w:r>
      <w:r>
        <w:rPr>
          <w:rFonts w:ascii="Arial" w:cs="Arial" w:eastAsia="Arial" w:hAnsi="Arial"/>
          <w:sz w:val="16"/>
          <w:szCs w:val="16"/>
          <w:color w:val="auto"/>
        </w:rPr>
        <w:t>We seek to have an industry leading intellectual property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that end, we seek patent rights for various aspects of our programs, including vector engineering and construct design, our production process, and all features of our clinical products including compositions and methods of delivery. We expect to continue to expand our intellectual property portfolio by aggressively seeking patent rights for promising aspects of our gene therapy platform and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AAV Gene Therapy for Neurological Diseases</w:t>
      </w:r>
    </w:p>
    <w:p>
      <w:pPr>
        <w:spacing w:after="0" w:line="243" w:lineRule="exact"/>
        <w:rPr>
          <w:sz w:val="20"/>
          <w:szCs w:val="20"/>
          <w:color w:val="auto"/>
        </w:rPr>
      </w:pPr>
    </w:p>
    <w:p>
      <w:pPr>
        <w:jc w:val="both"/>
        <w:ind w:right="39" w:firstLine="648"/>
        <w:spacing w:after="0" w:line="248" w:lineRule="auto"/>
        <w:rPr>
          <w:sz w:val="20"/>
          <w:szCs w:val="20"/>
          <w:color w:val="auto"/>
        </w:rPr>
      </w:pPr>
      <w:r>
        <w:rPr>
          <w:rFonts w:ascii="Arial" w:cs="Arial" w:eastAsia="Arial" w:hAnsi="Arial"/>
          <w:sz w:val="18"/>
          <w:szCs w:val="18"/>
          <w:color w:val="auto"/>
        </w:rPr>
        <w:t>Gene therapy is an approach whereby gene expression is directly altered in patients to address the underlying cause or predominant manifestations of disease. We believe that the targeted nature of gene therapy may enable powerful treatment options and provide these patients with meaningful and durable benefits.</w:t>
      </w:r>
    </w:p>
    <w:p>
      <w:pPr>
        <w:spacing w:after="0" w:line="223" w:lineRule="exact"/>
        <w:rPr>
          <w:sz w:val="20"/>
          <w:szCs w:val="20"/>
          <w:color w:val="auto"/>
        </w:rPr>
      </w:pPr>
    </w:p>
    <w:p>
      <w:pPr>
        <w:ind w:right="119" w:firstLine="648"/>
        <w:spacing w:after="0" w:line="276" w:lineRule="auto"/>
        <w:rPr>
          <w:sz w:val="20"/>
          <w:szCs w:val="20"/>
          <w:color w:val="auto"/>
        </w:rPr>
      </w:pPr>
      <w:r>
        <w:rPr>
          <w:rFonts w:ascii="Arial" w:cs="Arial" w:eastAsia="Arial" w:hAnsi="Arial"/>
          <w:sz w:val="16"/>
          <w:szCs w:val="16"/>
          <w:color w:val="auto"/>
        </w:rPr>
        <w:t>While AAV gene therapy can potentially be harnessed for multiple treatment methods, we are currently focused on gene replacement, gene knockdown and vectorized antibody approaches. Gene replacement is intended to restore the expression of a protein that is not expressed, expressed at abnormally low levels or functionally mutated with loss of function. Gene knockdown, or gene silencing, is intended to reduce the expression of a pathologically mutated protein that has detrimental effects. Vectorizing an antibody for delivery using AAV has the ability to increase exposure of large antibodies in brain parenchyma that otherwise cannot cross the BBB in any meaningful way when administered passively.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gene therapy approach uses AAV vectors which we believe are ideal vectors for gene therapy for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reasons:</w:t>
      </w:r>
    </w:p>
    <w:p>
      <w:pPr>
        <w:spacing w:after="0" w:line="219" w:lineRule="exact"/>
        <w:rPr>
          <w:sz w:val="20"/>
          <w:szCs w:val="20"/>
          <w:color w:val="auto"/>
        </w:rPr>
      </w:pPr>
    </w:p>
    <w:p>
      <w:pPr>
        <w:ind w:left="660" w:right="219"/>
        <w:spacing w:after="0" w:line="266" w:lineRule="auto"/>
        <w:rPr>
          <w:sz w:val="20"/>
          <w:szCs w:val="20"/>
          <w:color w:val="auto"/>
        </w:rPr>
      </w:pPr>
      <w:r>
        <w:rPr>
          <w:rFonts w:ascii="Arial" w:cs="Arial" w:eastAsia="Arial" w:hAnsi="Arial"/>
          <w:sz w:val="18"/>
          <w:szCs w:val="18"/>
          <w:b w:val="1"/>
          <w:bCs w:val="1"/>
          <w:color w:val="auto"/>
        </w:rPr>
        <w:t xml:space="preserve">Broad Applicability. </w:t>
      </w:r>
      <w:r>
        <w:rPr>
          <w:rFonts w:ascii="Arial" w:cs="Arial" w:eastAsia="Arial" w:hAnsi="Arial"/>
          <w:sz w:val="18"/>
          <w:szCs w:val="18"/>
          <w:color w:val="auto"/>
        </w:rPr>
        <w:t>AAV is able to transduce, or transfer a therapeutic gene, into numerous cell types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target cells in the CNS.</w:t>
      </w:r>
    </w:p>
    <w:p>
      <w:pPr>
        <w:spacing w:after="0" w:line="162" w:lineRule="exact"/>
        <w:rPr>
          <w:sz w:val="20"/>
          <w:szCs w:val="20"/>
          <w:color w:val="auto"/>
        </w:rPr>
      </w:pPr>
    </w:p>
    <w:p>
      <w:pPr>
        <w:ind w:left="660" w:right="439"/>
        <w:spacing w:after="0" w:line="296" w:lineRule="auto"/>
        <w:rPr>
          <w:sz w:val="20"/>
          <w:szCs w:val="20"/>
          <w:color w:val="auto"/>
        </w:rPr>
      </w:pPr>
      <w:r>
        <w:rPr>
          <w:rFonts w:ascii="Arial" w:cs="Arial" w:eastAsia="Arial" w:hAnsi="Arial"/>
          <w:sz w:val="17"/>
          <w:szCs w:val="17"/>
          <w:b w:val="1"/>
          <w:bCs w:val="1"/>
          <w:color w:val="auto"/>
        </w:rPr>
        <w:t xml:space="preserve">Safety. </w:t>
      </w:r>
      <w:r>
        <w:rPr>
          <w:rFonts w:ascii="Arial" w:cs="Arial" w:eastAsia="Arial" w:hAnsi="Arial"/>
          <w:sz w:val="17"/>
          <w:szCs w:val="17"/>
          <w:color w:val="auto"/>
        </w:rPr>
        <w:t>AAV is believed to be safe and is not known to cause any disease in humans. No vector-related serious</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effects, or SAEs, have been reported in patients treated with AAV gene therapy to date.</w:t>
      </w:r>
    </w:p>
    <w:p>
      <w:pPr>
        <w:spacing w:after="0" w:line="139" w:lineRule="exact"/>
        <w:rPr>
          <w:sz w:val="20"/>
          <w:szCs w:val="20"/>
          <w:color w:val="auto"/>
        </w:rPr>
      </w:pPr>
    </w:p>
    <w:p>
      <w:pPr>
        <w:ind w:left="660" w:right="579"/>
        <w:spacing w:after="0" w:line="266" w:lineRule="auto"/>
        <w:rPr>
          <w:sz w:val="20"/>
          <w:szCs w:val="20"/>
          <w:color w:val="auto"/>
        </w:rPr>
      </w:pPr>
      <w:r>
        <w:rPr>
          <w:rFonts w:ascii="Arial" w:cs="Arial" w:eastAsia="Arial" w:hAnsi="Arial"/>
          <w:sz w:val="18"/>
          <w:szCs w:val="18"/>
          <w:b w:val="1"/>
          <w:bCs w:val="1"/>
          <w:color w:val="auto"/>
        </w:rPr>
        <w:t xml:space="preserve">Does Not Readily Integrate. </w:t>
      </w:r>
      <w:r>
        <w:rPr>
          <w:rFonts w:ascii="Arial" w:cs="Arial" w:eastAsia="Arial" w:hAnsi="Arial"/>
          <w:sz w:val="18"/>
          <w:szCs w:val="18"/>
          <w:color w:val="auto"/>
        </w:rPr>
        <w:t>AAV does not readily integrate into the genome of the target cell, reducing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for oncogenesis, or the induction of cancer.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Scalability. </w:t>
      </w:r>
      <w:r>
        <w:rPr>
          <w:rFonts w:ascii="Arial" w:cs="Arial" w:eastAsia="Arial" w:hAnsi="Arial"/>
          <w:sz w:val="18"/>
          <w:szCs w:val="18"/>
          <w:color w:val="auto"/>
        </w:rPr>
        <w:t>AAV is able to be manufactured at commercial quality and scale.</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believe that neurological diseases are well-suited for treatment with AAV gene therapy for the following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reasons:</w:t>
      </w:r>
    </w:p>
    <w:p>
      <w:pPr>
        <w:spacing w:after="0" w:line="232" w:lineRule="exact"/>
        <w:rPr>
          <w:sz w:val="20"/>
          <w:szCs w:val="20"/>
          <w:color w:val="auto"/>
        </w:rPr>
      </w:pPr>
    </w:p>
    <w:p>
      <w:pPr>
        <w:ind w:left="660" w:right="399"/>
        <w:spacing w:after="0" w:line="266" w:lineRule="auto"/>
        <w:rPr>
          <w:sz w:val="20"/>
          <w:szCs w:val="20"/>
          <w:color w:val="auto"/>
        </w:rPr>
      </w:pPr>
      <w:r>
        <w:rPr>
          <w:rFonts w:ascii="Arial" w:cs="Arial" w:eastAsia="Arial" w:hAnsi="Arial"/>
          <w:sz w:val="18"/>
          <w:szCs w:val="18"/>
          <w:b w:val="1"/>
          <w:bCs w:val="1"/>
          <w:color w:val="auto"/>
        </w:rPr>
        <w:t xml:space="preserve">Validated Targets. </w:t>
      </w:r>
      <w:r>
        <w:rPr>
          <w:rFonts w:ascii="Arial" w:cs="Arial" w:eastAsia="Arial" w:hAnsi="Arial"/>
          <w:sz w:val="18"/>
          <w:szCs w:val="18"/>
          <w:color w:val="auto"/>
        </w:rPr>
        <w:t>Many neurological diseases are caused by well-defined mutations in genes and these genes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genetically validated drug targets for AAV gene therapy.</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80"/>
        <w:spacing w:after="0" w:line="250" w:lineRule="auto"/>
        <w:rPr>
          <w:sz w:val="20"/>
          <w:szCs w:val="20"/>
          <w:color w:val="auto"/>
        </w:rPr>
      </w:pPr>
      <w:r>
        <w:rPr>
          <w:rFonts w:ascii="Arial" w:cs="Arial" w:eastAsia="Arial" w:hAnsi="Arial"/>
          <w:sz w:val="18"/>
          <w:szCs w:val="18"/>
          <w:b w:val="1"/>
          <w:bCs w:val="1"/>
          <w:color w:val="auto"/>
        </w:rPr>
        <w:t xml:space="preserve">Targeted Delivery. </w:t>
      </w:r>
      <w:r>
        <w:rPr>
          <w:rFonts w:ascii="Arial" w:cs="Arial" w:eastAsia="Arial" w:hAnsi="Arial"/>
          <w:sz w:val="18"/>
          <w:szCs w:val="18"/>
          <w:color w:val="auto"/>
        </w:rPr>
        <w:t>Advances in delivery techniques allow for direct delivery of AAV vectors to discrete regions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brain, broader delivery throughout the spinal cord via the cerebrospinal fluid, or CSF, or systemically in conjunction with our novel capsids.</w:t>
      </w:r>
    </w:p>
    <w:p>
      <w:pPr>
        <w:spacing w:after="0" w:line="218" w:lineRule="exact"/>
        <w:rPr>
          <w:sz w:val="20"/>
          <w:szCs w:val="20"/>
          <w:color w:val="auto"/>
        </w:rPr>
      </w:pPr>
    </w:p>
    <w:p>
      <w:pPr>
        <w:ind w:left="660" w:right="100"/>
        <w:spacing w:after="0" w:line="242" w:lineRule="auto"/>
        <w:rPr>
          <w:sz w:val="20"/>
          <w:szCs w:val="20"/>
          <w:color w:val="auto"/>
        </w:rPr>
      </w:pPr>
      <w:r>
        <w:rPr>
          <w:rFonts w:ascii="Arial" w:cs="Arial" w:eastAsia="Arial" w:hAnsi="Arial"/>
          <w:sz w:val="18"/>
          <w:szCs w:val="18"/>
          <w:b w:val="1"/>
          <w:bCs w:val="1"/>
          <w:color w:val="auto"/>
        </w:rPr>
        <w:t xml:space="preserve">Durable Expression. </w:t>
      </w:r>
      <w:r>
        <w:rPr>
          <w:rFonts w:ascii="Arial" w:cs="Arial" w:eastAsia="Arial" w:hAnsi="Arial"/>
          <w:sz w:val="18"/>
          <w:szCs w:val="18"/>
          <w:color w:val="auto"/>
        </w:rPr>
        <w:t>Long-term gene expression may be achievable in the CNS following one-time dosing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the therapeutic gene with an AAV vector. Neurons in the CNS are terminally differentiated, or no longer divide, eliminating the potential for cell division to dilute expression of the therapeutic gene. Repeated or continual dosing with direct injection of drugs into the CNS is complex, therefore a one-time AAV gene therapy has significant advantages.</w:t>
      </w:r>
    </w:p>
    <w:p>
      <w:pPr>
        <w:spacing w:after="0" w:line="185" w:lineRule="exact"/>
        <w:rPr>
          <w:sz w:val="20"/>
          <w:szCs w:val="20"/>
          <w:color w:val="auto"/>
        </w:rPr>
      </w:pPr>
    </w:p>
    <w:p>
      <w:pPr>
        <w:ind w:left="660" w:right="120"/>
        <w:spacing w:after="0" w:line="266" w:lineRule="auto"/>
        <w:rPr>
          <w:sz w:val="20"/>
          <w:szCs w:val="20"/>
          <w:color w:val="auto"/>
        </w:rPr>
      </w:pPr>
      <w:r>
        <w:rPr>
          <w:rFonts w:ascii="Arial" w:cs="Arial" w:eastAsia="Arial" w:hAnsi="Arial"/>
          <w:sz w:val="18"/>
          <w:szCs w:val="18"/>
          <w:b w:val="1"/>
          <w:bCs w:val="1"/>
          <w:color w:val="auto"/>
        </w:rPr>
        <w:t xml:space="preserve">Immune Privileged Site. </w:t>
      </w:r>
      <w:r>
        <w:rPr>
          <w:rFonts w:ascii="Arial" w:cs="Arial" w:eastAsia="Arial" w:hAnsi="Arial"/>
          <w:sz w:val="18"/>
          <w:szCs w:val="18"/>
          <w:color w:val="auto"/>
        </w:rPr>
        <w:t>There is a reduced risk of harmful immune response or reduced efficacy due to localized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in a self-contained system.</w:t>
      </w:r>
    </w:p>
    <w:p>
      <w:pPr>
        <w:spacing w:after="0" w:line="20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are currently focused on gene replacement and gene knockdown approaches, and we are also actively exploring additional potential treatment methods that can utilize an AAV vector, including the direct delivery of monoclonal antibodies to the CNS (such as in our collaborations with AbbVie), as well as gene editing to correct or delete a gene in the cell genome.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Voyager Gene Therapy Platform</w:t>
      </w:r>
    </w:p>
    <w:p>
      <w:pPr>
        <w:spacing w:after="0" w:line="25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have built a gene therapy platform that we believe positions us to be the leading company at the intersection of AAV gene therapy and severe neurological diseases.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Finally, we leverage established routes of administration and advances in dosing techniques to optimize delivery of our AAV gene therapies to target cells that are critical to the disease of interest either directly with targeted infusions to discrete regions of the brain, the spinal cord, or systemically. We believe that optimizing each of these parameters is a key factor for overall program success. We expect that our current and future pipeline programs will make use of technological advances generated with our gene therapy platform.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Selection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assess potential product programs based upon the following criteria: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Unmet Need. </w:t>
      </w:r>
      <w:r>
        <w:rPr>
          <w:rFonts w:ascii="Arial" w:cs="Arial" w:eastAsia="Arial" w:hAnsi="Arial"/>
          <w:sz w:val="17"/>
          <w:szCs w:val="17"/>
          <w:color w:val="auto"/>
        </w:rPr>
        <w:t>There is a significant unmet medical need for the indication and substantial commercial potential.</w:t>
      </w:r>
    </w:p>
    <w:p>
      <w:pPr>
        <w:spacing w:after="0" w:line="223" w:lineRule="exact"/>
        <w:rPr>
          <w:sz w:val="20"/>
          <w:szCs w:val="20"/>
          <w:color w:val="auto"/>
        </w:rPr>
      </w:pPr>
    </w:p>
    <w:p>
      <w:pPr>
        <w:ind w:left="660" w:right="20"/>
        <w:spacing w:after="0" w:line="266" w:lineRule="auto"/>
        <w:rPr>
          <w:sz w:val="20"/>
          <w:szCs w:val="20"/>
          <w:color w:val="auto"/>
        </w:rPr>
      </w:pPr>
      <w:r>
        <w:rPr>
          <w:rFonts w:ascii="Arial" w:cs="Arial" w:eastAsia="Arial" w:hAnsi="Arial"/>
          <w:sz w:val="18"/>
          <w:szCs w:val="18"/>
          <w:b w:val="1"/>
          <w:bCs w:val="1"/>
          <w:color w:val="auto"/>
        </w:rPr>
        <w:t xml:space="preserve">Target Validation. </w:t>
      </w:r>
      <w:r>
        <w:rPr>
          <w:rFonts w:ascii="Arial" w:cs="Arial" w:eastAsia="Arial" w:hAnsi="Arial"/>
          <w:sz w:val="18"/>
          <w:szCs w:val="18"/>
          <w:color w:val="auto"/>
        </w:rPr>
        <w:t>There is strong evidence that expression of a specific gene, or lack thereof, is causing, or 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disease state.</w:t>
      </w:r>
    </w:p>
    <w:p>
      <w:pPr>
        <w:spacing w:after="0" w:line="162" w:lineRule="exact"/>
        <w:rPr>
          <w:sz w:val="20"/>
          <w:szCs w:val="20"/>
          <w:color w:val="auto"/>
        </w:rPr>
      </w:pPr>
    </w:p>
    <w:p>
      <w:pPr>
        <w:ind w:left="660" w:right="120"/>
        <w:spacing w:after="0" w:line="266" w:lineRule="auto"/>
        <w:rPr>
          <w:sz w:val="20"/>
          <w:szCs w:val="20"/>
          <w:color w:val="auto"/>
        </w:rPr>
      </w:pPr>
      <w:r>
        <w:rPr>
          <w:rFonts w:ascii="Arial" w:cs="Arial" w:eastAsia="Arial" w:hAnsi="Arial"/>
          <w:sz w:val="18"/>
          <w:szCs w:val="18"/>
          <w:b w:val="1"/>
          <w:bCs w:val="1"/>
          <w:color w:val="auto"/>
        </w:rPr>
        <w:t xml:space="preserve">Delivery Using AAV. </w:t>
      </w:r>
      <w:r>
        <w:rPr>
          <w:rFonts w:ascii="Arial" w:cs="Arial" w:eastAsia="Arial" w:hAnsi="Arial"/>
          <w:sz w:val="18"/>
          <w:szCs w:val="18"/>
          <w:color w:val="auto"/>
        </w:rPr>
        <w:t>There is strong evidence supporting the ability to target the relevant tissue and cells using an</w:t>
      </w:r>
      <w:r>
        <w:rPr>
          <w:rFonts w:ascii="Arial" w:cs="Arial" w:eastAsia="Arial" w:hAnsi="Arial"/>
          <w:sz w:val="18"/>
          <w:szCs w:val="18"/>
          <w:b w:val="1"/>
          <w:bCs w:val="1"/>
          <w:color w:val="auto"/>
        </w:rPr>
        <w:t xml:space="preserve"> </w:t>
      </w:r>
      <w:r>
        <w:rPr>
          <w:rFonts w:ascii="Arial" w:cs="Arial" w:eastAsia="Arial" w:hAnsi="Arial"/>
          <w:sz w:val="18"/>
          <w:szCs w:val="18"/>
          <w:color w:val="auto"/>
        </w:rPr>
        <w:t>AAV vector to achieve sufficient target gene expression.</w:t>
      </w:r>
    </w:p>
    <w:p>
      <w:pPr>
        <w:spacing w:after="0" w:line="162" w:lineRule="exact"/>
        <w:rPr>
          <w:sz w:val="20"/>
          <w:szCs w:val="20"/>
          <w:color w:val="auto"/>
        </w:rPr>
      </w:pPr>
    </w:p>
    <w:p>
      <w:pPr>
        <w:ind w:left="660" w:right="180"/>
        <w:spacing w:after="0" w:line="266" w:lineRule="auto"/>
        <w:rPr>
          <w:sz w:val="20"/>
          <w:szCs w:val="20"/>
          <w:color w:val="auto"/>
        </w:rPr>
      </w:pPr>
      <w:r>
        <w:rPr>
          <w:rFonts w:ascii="Arial" w:cs="Arial" w:eastAsia="Arial" w:hAnsi="Arial"/>
          <w:sz w:val="18"/>
          <w:szCs w:val="18"/>
          <w:b w:val="1"/>
          <w:bCs w:val="1"/>
          <w:color w:val="auto"/>
        </w:rPr>
        <w:t xml:space="preserve">Clinical Readouts. </w:t>
      </w:r>
      <w:r>
        <w:rPr>
          <w:rFonts w:ascii="Arial" w:cs="Arial" w:eastAsia="Arial" w:hAnsi="Arial"/>
          <w:sz w:val="18"/>
          <w:szCs w:val="18"/>
          <w:color w:val="auto"/>
        </w:rPr>
        <w:t>The clinical impact of an AAV gene therapy can be clearly measured, including through well-accepted clinical endpoints and the use of both existing and novel biomarkers.</w:t>
      </w:r>
    </w:p>
    <w:p>
      <w:pPr>
        <w:spacing w:after="0" w:line="162" w:lineRule="exact"/>
        <w:rPr>
          <w:sz w:val="20"/>
          <w:szCs w:val="20"/>
          <w:color w:val="auto"/>
        </w:rPr>
      </w:pPr>
    </w:p>
    <w:p>
      <w:pPr>
        <w:ind w:left="660" w:right="1160"/>
        <w:spacing w:after="0" w:line="266" w:lineRule="auto"/>
        <w:rPr>
          <w:sz w:val="20"/>
          <w:szCs w:val="20"/>
          <w:color w:val="auto"/>
        </w:rPr>
      </w:pPr>
      <w:r>
        <w:rPr>
          <w:rFonts w:ascii="Arial" w:cs="Arial" w:eastAsia="Arial" w:hAnsi="Arial"/>
          <w:sz w:val="18"/>
          <w:szCs w:val="18"/>
          <w:b w:val="1"/>
          <w:bCs w:val="1"/>
          <w:color w:val="auto"/>
        </w:rPr>
        <w:t xml:space="preserve">Scalability of Manufacturing. </w:t>
      </w:r>
      <w:r>
        <w:rPr>
          <w:rFonts w:ascii="Arial" w:cs="Arial" w:eastAsia="Arial" w:hAnsi="Arial"/>
          <w:sz w:val="18"/>
          <w:szCs w:val="18"/>
          <w:color w:val="auto"/>
        </w:rPr>
        <w:t>Sufficient AAV vector to supply late-stage clinical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can be manufactured.</w:t>
      </w:r>
    </w:p>
    <w:p>
      <w:pPr>
        <w:spacing w:after="0" w:line="207"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In addition to the criteria above, we also look for groups of diseases where our knowledge can be transferred. For instance, we believe that some of the delivery parameters and imaging techniques that are employed in the VY-AADC Program can be applied to AAV gene therapy delivery for Huntington’s disease or other diseases where direct, targeted delivery to the brain is warranted.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Vector Engineering and Optimization</w:t>
      </w:r>
    </w:p>
    <w:p>
      <w:pPr>
        <w:spacing w:after="0" w:line="171" w:lineRule="exact"/>
        <w:rPr>
          <w:sz w:val="20"/>
          <w:szCs w:val="20"/>
          <w:color w:val="auto"/>
        </w:rPr>
      </w:pPr>
    </w:p>
    <w:p>
      <w:pPr>
        <w:ind w:firstLine="648"/>
        <w:spacing w:after="0" w:line="292" w:lineRule="auto"/>
        <w:rPr>
          <w:sz w:val="20"/>
          <w:szCs w:val="20"/>
          <w:color w:val="auto"/>
        </w:rPr>
      </w:pPr>
      <w:r>
        <w:rPr>
          <w:rFonts w:ascii="Arial" w:cs="Arial" w:eastAsia="Arial" w:hAnsi="Arial"/>
          <w:sz w:val="17"/>
          <w:szCs w:val="17"/>
          <w:color w:val="auto"/>
        </w:rPr>
        <w:t>We have advanced or intend to advance our multiple preclinical programs towards selection of lead clinical candidates using AAV vectors that we believe are best suited for each of our programs either through use of our existing capsids, through exercising a non-exclusive worldwide commercial license to capsid sequences covered by third parties, or by engineering or optimizing novel capsids. The key components of an AAV vector include: (i) the capsid; (ii) the therapeutic gene, or transgene; and (iii) the promoter, or the DNA sequence that drives the expression of the transgene.</w:t>
      </w:r>
    </w:p>
    <w:p>
      <w:pPr>
        <w:spacing w:after="0" w:line="94"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color w:val="auto"/>
        </w:rPr>
        <w:t>Members of our team have co-discovered many of the known naturally occurring AAV capsids and have also created promising genetically engineered AAV capsids. Genetically engineered capsids have yielded vectors with desirable properties, such as higher biological potency and enhanced tissue specificity. We believe that there is an opportunity to further optimize AAV capsids to confer desired characteristics relating to properties such as tissue specificity and immunogenicity. We have a significant effort dedicated to designing and screening for novel AAV capsids using a number of different scientific approaches. We believe that the information generated by this work will enhance our ability to rationally design AAV capsids with specific properties for particular therapeutic applications.</w:t>
      </w:r>
    </w:p>
    <w:p>
      <w:pPr>
        <w:spacing w:after="0" w:line="203"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With respect to the target DNA delivered through AAV gene therapy, we are selecting promoters that we believe have the appropriate activity and tissue, selectively for our specific gene therapy programs. We are also designing transgenes to provide optimal expression once delivered to the targeted cells.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at Commercial Quality and Scale</w:t>
      </w:r>
    </w:p>
    <w:p>
      <w:pPr>
        <w:spacing w:after="0" w:line="239"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The ability to produce high quality AAV vectors at commercial-scale is a critical success factor in AAV gene therapy. While at the NIH, former members of our production team invented and developed a baculovirus/Sf9 AAV production system, which we use and have continued to improve. This system has a number of attributes that we believe will enable high quality commercial-scale manufacturing, including:</w:t>
      </w:r>
    </w:p>
    <w:p>
      <w:pPr>
        <w:spacing w:after="0" w:line="225" w:lineRule="exact"/>
        <w:rPr>
          <w:sz w:val="20"/>
          <w:szCs w:val="20"/>
          <w:color w:val="auto"/>
        </w:rPr>
      </w:pPr>
    </w:p>
    <w:p>
      <w:pPr>
        <w:ind w:left="660" w:right="500"/>
        <w:spacing w:after="0" w:line="266" w:lineRule="auto"/>
        <w:rPr>
          <w:sz w:val="20"/>
          <w:szCs w:val="20"/>
          <w:color w:val="auto"/>
        </w:rPr>
      </w:pPr>
      <w:r>
        <w:rPr>
          <w:rFonts w:ascii="Arial" w:cs="Arial" w:eastAsia="Arial" w:hAnsi="Arial"/>
          <w:sz w:val="18"/>
          <w:szCs w:val="18"/>
          <w:b w:val="1"/>
          <w:bCs w:val="1"/>
          <w:color w:val="auto"/>
        </w:rPr>
        <w:t xml:space="preserve">High Yield. </w:t>
      </w:r>
      <w:r>
        <w:rPr>
          <w:rFonts w:ascii="Arial" w:cs="Arial" w:eastAsia="Arial" w:hAnsi="Arial"/>
          <w:sz w:val="18"/>
          <w:szCs w:val="18"/>
          <w:color w:val="auto"/>
        </w:rPr>
        <w:t>A single manufacturing run at 500-liter scale can yield many thousands of doses of an AAV gene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therapy.</w:t>
      </w:r>
    </w:p>
    <w:p>
      <w:pPr>
        <w:spacing w:after="0" w:line="162" w:lineRule="exact"/>
        <w:rPr>
          <w:sz w:val="20"/>
          <w:szCs w:val="20"/>
          <w:color w:val="auto"/>
        </w:rPr>
      </w:pPr>
    </w:p>
    <w:p>
      <w:pPr>
        <w:ind w:left="660" w:right="300"/>
        <w:spacing w:after="0" w:line="250" w:lineRule="auto"/>
        <w:rPr>
          <w:sz w:val="20"/>
          <w:szCs w:val="20"/>
          <w:color w:val="auto"/>
        </w:rPr>
      </w:pPr>
      <w:r>
        <w:rPr>
          <w:rFonts w:ascii="Arial" w:cs="Arial" w:eastAsia="Arial" w:hAnsi="Arial"/>
          <w:sz w:val="18"/>
          <w:szCs w:val="18"/>
          <w:b w:val="1"/>
          <w:bCs w:val="1"/>
          <w:color w:val="auto"/>
        </w:rPr>
        <w:t xml:space="preserve">High Purity. </w:t>
      </w:r>
      <w:r>
        <w:rPr>
          <w:rFonts w:ascii="Arial" w:cs="Arial" w:eastAsia="Arial" w:hAnsi="Arial"/>
          <w:sz w:val="18"/>
          <w:szCs w:val="18"/>
          <w:color w:val="auto"/>
        </w:rPr>
        <w:t>A relatively high percentage of AAV vectors contain the therapeutic DNA, reducing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empty capsids compared to alternative manufacturing approaches. In addition, the baculovirus/Sf9 system eliminates the risk of introducing mammalian cell derived impurities.</w:t>
      </w:r>
    </w:p>
    <w:p>
      <w:pPr>
        <w:spacing w:after="0" w:line="177" w:lineRule="exact"/>
        <w:rPr>
          <w:sz w:val="20"/>
          <w:szCs w:val="20"/>
          <w:color w:val="auto"/>
        </w:rPr>
      </w:pPr>
    </w:p>
    <w:p>
      <w:pPr>
        <w:ind w:left="660" w:right="440"/>
        <w:spacing w:after="0" w:line="266" w:lineRule="auto"/>
        <w:rPr>
          <w:sz w:val="20"/>
          <w:szCs w:val="20"/>
          <w:color w:val="auto"/>
        </w:rPr>
      </w:pPr>
      <w:r>
        <w:rPr>
          <w:rFonts w:ascii="Arial" w:cs="Arial" w:eastAsia="Arial" w:hAnsi="Arial"/>
          <w:sz w:val="18"/>
          <w:szCs w:val="18"/>
          <w:b w:val="1"/>
          <w:bCs w:val="1"/>
          <w:color w:val="auto"/>
        </w:rPr>
        <w:t xml:space="preserve">Scalability. </w:t>
      </w:r>
      <w:r>
        <w:rPr>
          <w:rFonts w:ascii="Arial" w:cs="Arial" w:eastAsia="Arial" w:hAnsi="Arial"/>
          <w:sz w:val="18"/>
          <w:szCs w:val="18"/>
          <w:color w:val="auto"/>
        </w:rPr>
        <w:t>This process has been reproduced at volumes ranging from 0.02 liters to 250 liters. We believe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process is scalable to substantially higher volumes.</w:t>
      </w:r>
    </w:p>
    <w:p>
      <w:pPr>
        <w:spacing w:after="0" w:line="207" w:lineRule="exact"/>
        <w:rPr>
          <w:sz w:val="20"/>
          <w:szCs w:val="20"/>
          <w:color w:val="auto"/>
        </w:rPr>
      </w:pPr>
    </w:p>
    <w:p>
      <w:pPr>
        <w:ind w:right="240" w:firstLine="648"/>
        <w:spacing w:after="0" w:line="294" w:lineRule="auto"/>
        <w:rPr>
          <w:sz w:val="20"/>
          <w:szCs w:val="20"/>
          <w:color w:val="auto"/>
        </w:rPr>
      </w:pPr>
      <w:r>
        <w:rPr>
          <w:rFonts w:ascii="Arial" w:cs="Arial" w:eastAsia="Arial" w:hAnsi="Arial"/>
          <w:sz w:val="16"/>
          <w:szCs w:val="16"/>
          <w:color w:val="auto"/>
        </w:rPr>
        <w:t>We have built a state-of-the-art process research and development production facility for manufacturing research-grade AAV vectors onsite at our Cambridge, Massachusetts headquarters. We have also established multiple contract manufacturing relationships with companies specializing in the manufacture of gene therapy and AAV vectors.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Optimized Delivery and Route of Administration</w:t>
      </w:r>
    </w:p>
    <w:p>
      <w:pPr>
        <w:spacing w:after="0" w:line="252"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Identifying the optimal route of administration and delivery parameters for AAV gene therapy, such as infusion volume, flow rate, vector concentration and dose and formulation for a specific disease, are critical to achieving safe and effective levels of transgene expression in the targeted location in the CNS. We aim to develop clinically feasible protocols that yield reproducible results across patients. For the VY-AADC Program and Huntington’s Program, we are pursuing direct injection into the brain, called intraparenchymal injection. For our ALS SOD1 program and the FA Program, we are evaluating multiple routes of administration including injection into the CSF within the cerebrospinal space, called intrathecal injection, as well as intravenous injection, intraparenchymal injection, and other delivery alternatives.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V-TAG</w:t>
      </w:r>
      <w:r>
        <w:rPr>
          <w:rFonts w:ascii="Arial" w:cs="Arial" w:eastAsia="Arial" w:hAnsi="Arial"/>
          <w:sz w:val="27"/>
          <w:szCs w:val="27"/>
          <w:b w:val="1"/>
          <w:bCs w:val="1"/>
          <w:color w:val="auto"/>
          <w:vertAlign w:val="superscript"/>
        </w:rPr>
        <w:t>TM</w:t>
      </w:r>
      <w:r>
        <w:rPr>
          <w:rFonts w:ascii="Arial" w:cs="Arial" w:eastAsia="Arial" w:hAnsi="Arial"/>
          <w:sz w:val="18"/>
          <w:szCs w:val="18"/>
          <w:b w:val="1"/>
          <w:bCs w:val="1"/>
          <w:color w:val="auto"/>
        </w:rPr>
        <w:t>-guided Intraparenchymal Injection to the Brain</w:t>
      </w:r>
    </w:p>
    <w:p>
      <w:pPr>
        <w:spacing w:after="0" w:line="161"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The surgical approach that we are using for VY-AADC (NBIb-1817) is similar, in some respects, to the stereotactic approach used for deep brain stimulation, or DBS, a marketed device-based treatment for Parkinson’s disease. One primary difference with our approach is the ability to assist the physician in visualizing the delivery of VY-AADC (NBIb-1817) to the putamen using real-time, intra-operative, magnetic resonance imaging, or MRI, to avoid specific blood vessels to reduce the risk of potential hemorrhages during the surgical procedure and to maximize the coverage of the putamen.</w:t>
      </w:r>
    </w:p>
    <w:p>
      <w:pPr>
        <w:spacing w:after="0" w:line="187"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Investigators in the Phase 1b clinical trial of VY-AADC (NBIb-1817) and the separate Phase 1 posterior trajectory trial used the real-time, intra-operative, MRI system called the ClearPoint System® from CLPT. However, not all neuro-surgical units within the United States utilize this system and may employ other neuro-navigational systems that are not compatible with real-time MRI imaging.</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Consequently, we developed V-TAG™ as our own device for use as a real-time, intra-operative, MRI-compatible device that can be used with other neuro-navigational systems for this and other surgical procedures. In July 2018, we received 510(k) clearance from the FDA. In March 2019, we transferred our premarket notification (510(k)) clearance to CLPT and continue to work with CLPT on the manufacturing and clinical supply of the device. We believe that our experience gained from the VY-AADC Program, including the potential use of V-TAG, can be applied to AAV gene therapy delivery for our Huntington’s Program and possibly other projects as well.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Intraparenchymal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5754370" cy="2280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Courtesy of: Okinawa Institute of Science and Technology.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Pipeline</w:t>
      </w:r>
    </w:p>
    <w:p>
      <w:pPr>
        <w:spacing w:after="0" w:line="256"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We have leveraged our gene therapy platform to assemble a pipeline of novel AAV gene therapies for the treatment of severe neurological diseases with high unmet medical need. Depending on the disease, our current AAV gene therapies will use a gene replacement, gene knockdown, or vectorized antibody approach. Our goal is to address the underlying cause or the predominant manifestations of a specific disease by significantly increasing or decreasing expression of the relevant proteins at targeted sites within the CNS.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Parkinson’s Disease: VY-AADC Program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and VY-AADC (NBIb-1817) Overview</w:t>
      </w:r>
    </w:p>
    <w:p>
      <w:pPr>
        <w:spacing w:after="0" w:line="239" w:lineRule="exact"/>
        <w:rPr>
          <w:sz w:val="20"/>
          <w:szCs w:val="20"/>
          <w:color w:val="auto"/>
        </w:rPr>
      </w:pPr>
    </w:p>
    <w:p>
      <w:pPr>
        <w:ind w:right="19" w:firstLine="648"/>
        <w:spacing w:after="0" w:line="276" w:lineRule="auto"/>
        <w:rPr>
          <w:sz w:val="20"/>
          <w:szCs w:val="20"/>
          <w:color w:val="auto"/>
        </w:rPr>
      </w:pPr>
      <w:r>
        <w:rPr>
          <w:rFonts w:ascii="Arial" w:cs="Arial" w:eastAsia="Arial" w:hAnsi="Arial"/>
          <w:sz w:val="16"/>
          <w:szCs w:val="16"/>
          <w:color w:val="auto"/>
        </w:rPr>
        <w:t>Parkinson’s disease is a chronic, progressive and debilitating neurodegenerative disease that affects approximately 1 million people in the United States and 10 million people worldwide. Parkinson’s disease is characterized by a loss of dopamine and its function. Dopamine is a chemical “messenger” that is produced in the brain and is involved in the control of movement. Some chemicals, like dopamine, are made from other chemicals by proteins called enzymes. Dopamine is made in the brain when the enzyme AADC (aromatic l-amino acid decarboxylase) converts the chemical levodopa to dopamine. Levodopa, AADC, and dopamine are each present at normal levels in healthy people.</w:t>
      </w:r>
    </w:p>
    <w:p>
      <w:pPr>
        <w:spacing w:after="0" w:line="203" w:lineRule="exact"/>
        <w:rPr>
          <w:sz w:val="20"/>
          <w:szCs w:val="20"/>
          <w:color w:val="auto"/>
        </w:rPr>
      </w:pPr>
    </w:p>
    <w:p>
      <w:pPr>
        <w:ind w:right="119" w:firstLine="648"/>
        <w:spacing w:after="0" w:line="263" w:lineRule="auto"/>
        <w:rPr>
          <w:sz w:val="20"/>
          <w:szCs w:val="20"/>
          <w:color w:val="auto"/>
        </w:rPr>
      </w:pPr>
      <w:r>
        <w:rPr>
          <w:rFonts w:ascii="Arial" w:cs="Arial" w:eastAsia="Arial" w:hAnsi="Arial"/>
          <w:sz w:val="17"/>
          <w:szCs w:val="17"/>
          <w:color w:val="auto"/>
        </w:rPr>
        <w:t>When dopamine levels decrease in the brain and there is no longer enough to control movement, the motor symptoms of Parkinson’s disease including tremors, slow movement or loss of movement, rigidity, and postural instability, may occur. When this happens, a doctor may prescribe a levodopa medication, which is converted into dopamine by AADC in substantially the same way that naturally occurring levodopa is converted to dopamine.</w:t>
      </w:r>
    </w:p>
    <w:p>
      <w:pPr>
        <w:spacing w:after="0" w:line="210" w:lineRule="exact"/>
        <w:rPr>
          <w:sz w:val="20"/>
          <w:szCs w:val="20"/>
          <w:color w:val="auto"/>
        </w:rPr>
      </w:pPr>
    </w:p>
    <w:p>
      <w:pPr>
        <w:ind w:right="59" w:firstLine="648"/>
        <w:spacing w:after="0" w:line="294" w:lineRule="auto"/>
        <w:rPr>
          <w:sz w:val="20"/>
          <w:szCs w:val="20"/>
          <w:color w:val="auto"/>
        </w:rPr>
      </w:pPr>
      <w:r>
        <w:rPr>
          <w:rFonts w:ascii="Arial" w:cs="Arial" w:eastAsia="Arial" w:hAnsi="Arial"/>
          <w:sz w:val="16"/>
          <w:szCs w:val="16"/>
          <w:color w:val="auto"/>
        </w:rPr>
        <w:t>As Parkinson’s disease worsens, there is less AADC enzyme in parts of the brain where it is needed to convert levodopa to dopamine. Therefore, the amount of dopamine that is produced from each dose of levodopa medicine may be reduced. When this happens, patients’ motor function may worsen and a less predictable response to medications may occur.</w:t>
      </w:r>
    </w:p>
    <w:p>
      <w:pPr>
        <w:spacing w:after="0" w:line="175" w:lineRule="exact"/>
        <w:rPr>
          <w:sz w:val="20"/>
          <w:szCs w:val="20"/>
          <w:color w:val="auto"/>
        </w:rPr>
      </w:pPr>
    </w:p>
    <w:p>
      <w:pPr>
        <w:ind w:right="59" w:firstLine="648"/>
        <w:spacing w:after="0" w:line="243" w:lineRule="auto"/>
        <w:rPr>
          <w:sz w:val="20"/>
          <w:szCs w:val="20"/>
          <w:color w:val="auto"/>
        </w:rPr>
      </w:pPr>
      <w:r>
        <w:rPr>
          <w:rFonts w:ascii="Arial" w:cs="Arial" w:eastAsia="Arial" w:hAnsi="Arial"/>
          <w:sz w:val="18"/>
          <w:szCs w:val="18"/>
          <w:color w:val="auto"/>
        </w:rPr>
        <w:t>Our investigational gene therapy VY-AADC (NBIb-1817) is designed to put the AADC enzyme into brain cells where it can convert levodopa to dopamine. To do this, the AADC gene is delivered inside a transporter called “adeno-associated viral vector,” which we refer to as AAV, much like a letter that carries the instructions the brain needs to make the AADC enzyme with the AAV as the envelope that carries the letter.</w:t>
      </w:r>
    </w:p>
    <w:p>
      <w:pPr>
        <w:spacing w:after="0" w:line="229" w:lineRule="exact"/>
        <w:rPr>
          <w:sz w:val="20"/>
          <w:szCs w:val="20"/>
          <w:color w:val="auto"/>
        </w:rPr>
      </w:pPr>
    </w:p>
    <w:p>
      <w:pPr>
        <w:ind w:right="39" w:firstLine="648"/>
        <w:spacing w:after="0" w:line="253" w:lineRule="auto"/>
        <w:rPr>
          <w:sz w:val="20"/>
          <w:szCs w:val="20"/>
          <w:color w:val="auto"/>
        </w:rPr>
      </w:pPr>
      <w:r>
        <w:rPr>
          <w:rFonts w:ascii="Arial" w:cs="Arial" w:eastAsia="Arial" w:hAnsi="Arial"/>
          <w:sz w:val="17"/>
          <w:szCs w:val="17"/>
          <w:color w:val="auto"/>
        </w:rPr>
        <w:t>The Unified Parkinson’s Disease Rating Scale, or UPDRS, is a standard and widely used four-part clinical rating scale for Parkinson’s disease that evaluates cognitive, functional, and motor deficits, as well as medication-related complications. UPDRS Part III measures motor function by physician examination. The UPDRS is conducted when patients are taking their Parkinson’s disease medications (referred to as “on” medication) and when patients are not taking their Parkinson’s disease medications (referred to as “off” medication). In addition, a patient-completed Hauser diary records the patient’s motor response over the course of several days as ON time when they have good mobility with or without non-troublesome dyskinesia, or uncontrolled, involuntary movement; OFF time when they have poor mobility; and ON time with troublesome dyskinesia when they have uncontrolled movements. As shown in the figure below, diary ON time decreases, while OFF time and dyskinesias increase as patients progress from the early honeymoon period into later stages of Parkinson’s disease.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Progression of Parkinson’s Disease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146050</wp:posOffset>
            </wp:positionV>
            <wp:extent cx="4991100" cy="3018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110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Phase 1 Clinical Trials</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a completed open-label Phase 1 clinical trial conducted at the University of California, San Francisco, or UCSF, VY-AADC (NBIb-1817) was delivered directly to the putamen of Parkinson’s disease patients. The primary endpoints of this trial were safety and tolerability of VY-AADC (NBIb-1817). These endpoints were met as VY-AADC (NBIb-1817) was well-tolerated and no treatment related SAEs were reported. Furthermore, pharmacologic activity of VY-AADC (NBIb-1817) was observed. This trial was completed prior to our involvement in the program.</w:t>
      </w:r>
    </w:p>
    <w:p>
      <w:pPr>
        <w:spacing w:after="0" w:line="17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The Phase 1 clinical trial at UCSF was conducted in a total of 10 patients with Parkinson’s disease. Two doses of VY-AADC (NBIb-1817) were tested, 9×10</w:t>
      </w:r>
      <w:r>
        <w:rPr>
          <w:rFonts w:ascii="Arial" w:cs="Arial" w:eastAsia="Arial" w:hAnsi="Arial"/>
          <w:sz w:val="24"/>
          <w:szCs w:val="24"/>
          <w:color w:val="auto"/>
          <w:vertAlign w:val="superscript"/>
        </w:rPr>
        <w:t>10</w:t>
      </w:r>
      <w:r>
        <w:rPr>
          <w:rFonts w:ascii="Arial" w:cs="Arial" w:eastAsia="Arial" w:hAnsi="Arial"/>
          <w:sz w:val="16"/>
          <w:szCs w:val="16"/>
          <w:color w:val="auto"/>
        </w:rPr>
        <w:t xml:space="preserve"> vector genomes, or vg, and 3×10</w:t>
      </w:r>
      <w:r>
        <w:rPr>
          <w:rFonts w:ascii="Arial" w:cs="Arial" w:eastAsia="Arial" w:hAnsi="Arial"/>
          <w:sz w:val="24"/>
          <w:szCs w:val="24"/>
          <w:color w:val="auto"/>
          <w:vertAlign w:val="superscript"/>
        </w:rPr>
        <w:t>11</w:t>
      </w:r>
      <w:r>
        <w:rPr>
          <w:rFonts w:ascii="Arial" w:cs="Arial" w:eastAsia="Arial" w:hAnsi="Arial"/>
          <w:sz w:val="16"/>
          <w:szCs w:val="16"/>
          <w:color w:val="auto"/>
        </w:rPr>
        <w:t xml:space="preserve"> vg, with five patients per dose cohort. The infusion volume was 100µl per putamen, or 200µl per patient. Patients in both cohorts treated with VY-AADC (NBIb-1817) showed modest improvements in motor fluctuations. At six months following treatment, diary OFF time was observed to be reduced by an average of approximately three hours and a corresponding increase in diary ON time without dyskinesias was also observed. In addition, at six months following treatment, an approximately 30% improvement in UPDRS total score both on-medication and off-medication UPDRS Total score, was observed, as shown in the table below.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UPDRS Results from Phase 1 Trial</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85090</wp:posOffset>
            </wp:positionV>
            <wp:extent cx="5394325" cy="1431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4325" cy="14319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1723390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hanging="334"/>
        <w:spacing w:after="0" w:line="242" w:lineRule="auto"/>
        <w:tabs>
          <w:tab w:leader="none" w:pos="6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Christine et al, </w:t>
      </w:r>
      <w:r>
        <w:rPr>
          <w:rFonts w:ascii="Arial" w:cs="Arial" w:eastAsia="Arial" w:hAnsi="Arial"/>
          <w:sz w:val="12"/>
          <w:szCs w:val="12"/>
          <w:i w:val="1"/>
          <w:iCs w:val="1"/>
          <w:color w:val="auto"/>
        </w:rPr>
        <w:t>Neurology</w:t>
      </w:r>
      <w:r>
        <w:rPr>
          <w:rFonts w:ascii="Arial" w:cs="Arial" w:eastAsia="Arial" w:hAnsi="Arial"/>
          <w:sz w:val="12"/>
          <w:szCs w:val="12"/>
          <w:color w:val="auto"/>
        </w:rPr>
        <w:t xml:space="preserve"> (2009), 73: 1662-1669. The row titled “Low-dose Cohort” represents data from the five patients treated with 9 X 10</w:t>
      </w:r>
      <w:r>
        <w:rPr>
          <w:rFonts w:ascii="Arial" w:cs="Arial" w:eastAsia="Arial" w:hAnsi="Arial"/>
          <w:sz w:val="18"/>
          <w:szCs w:val="18"/>
          <w:color w:val="auto"/>
          <w:vertAlign w:val="superscript"/>
        </w:rPr>
        <w:t>10</w:t>
      </w:r>
      <w:r>
        <w:rPr>
          <w:rFonts w:ascii="Arial" w:cs="Arial" w:eastAsia="Arial" w:hAnsi="Arial"/>
          <w:sz w:val="12"/>
          <w:szCs w:val="12"/>
          <w:color w:val="auto"/>
        </w:rPr>
        <w:t xml:space="preserve"> vg of VY-AADC01. The row titled “High-dose Cohort” represents data from the five patients treated with 3 X 10</w:t>
      </w:r>
      <w:r>
        <w:rPr>
          <w:rFonts w:ascii="Arial" w:cs="Arial" w:eastAsia="Arial" w:hAnsi="Arial"/>
          <w:sz w:val="18"/>
          <w:szCs w:val="18"/>
          <w:color w:val="auto"/>
          <w:vertAlign w:val="superscript"/>
        </w:rPr>
        <w:t>11</w:t>
      </w:r>
      <w:r>
        <w:rPr>
          <w:rFonts w:ascii="Arial" w:cs="Arial" w:eastAsia="Arial" w:hAnsi="Arial"/>
          <w:sz w:val="12"/>
          <w:szCs w:val="12"/>
          <w:color w:val="auto"/>
        </w:rPr>
        <w:t xml:space="preserve"> vg of VY-AADC01. The row titled “Combined Cohorts” represents data from all ten patients treated with VY-AADC01. The data in the columns under the header “Off medications” represents periods during which patients’ medications were not working as measured by a patient’s total UPDRS score at baseline, before treatment with VY-AADC01, and at six months following treatment with VY-AADC01, along with percent change from baseline to six months and the corresponding p-value. The data in the columns under the header “On medications” represents periods during which patients’ medications were working as measured by a patient’s total UPDRS score at baseline, before treatment with VY-AADC01 and at six months following treatment with VY-AADC01, along with percent change from baseline to six months and the corresponding p-value. 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“p-value,” which represents the probability that chance caused the result (e.g., a p-value = 0.001 means that there is a 0.1% or less probability that the difference between the control group and the treatment group is purely due to random chance). Because of the small size of this trial, the p-values may not be reliable or repeatable, and may not be duplicated in future trials.</w:t>
      </w:r>
    </w:p>
    <w:p>
      <w:pPr>
        <w:spacing w:after="0" w:line="19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While no gene therapy related SAEs were reported, three patients experienced minor hemorrhages related to the surgical procedure. Two of the hemorrhages were asymptomatic, noticed only on imaging, and one was symptomatic with the patient making an almost complete recovery. Nevertheless, the stereotactic injection protocol used in the surgical procedure was modified to avoid specific blood vessels and no further hemorrhages were reported. In our ongoing Phase 1b clinical trial, we implemented the use of real-time, intra-operative MRI guidance. We believe our use of this intra-operative MRI guidance is a significant advancement in vector delivery.</w:t>
      </w:r>
    </w:p>
    <w:p>
      <w:pPr>
        <w:spacing w:after="0" w:line="19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10 patients in this Phase 1 clinical trial were followed for up to four years after treatment, and a durable, dose-dependent expression of AADC enzyme activity was observed. Patients treated with both doses of the gene therapy had an increased positron emission tomography, or PET, signal, or uptake of the [18F]fluoro-L-m-tyrosine tracer indicative of AADC enzyme activity that persisted for up to four years. Patients treated with the high dose gene therapy had a greater PET signal on average when compared to the low dose cohort.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 xml:space="preserve">Long-Term AADC Expression as Measured by PET Imaging in Patients Treated with High and Low Doses of AAV Gene Therapy in a Previous Phase 1 Clinical Trial </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5754370" cy="2958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right="120" w:hanging="334"/>
        <w:spacing w:after="0" w:line="239" w:lineRule="auto"/>
        <w:tabs>
          <w:tab w:leader="none" w:pos="628"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Mittermeyer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(2012), 23: 377-381. The publisher for this copyrighted material is Mary Ann Liebert, Inc. publishers. Blue lines represent patients treated with the low dose and yellow lines represent patients treated with the high dose.</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A similar Phase 1 clinical trial was conducted at Jichi Medical University, or JMU, in Japan using the same vector that was used in the UCSF trial. The primary endpoint of this trial was safety of the treatment. This endpoint was met as the treatment was well-tolerated and no treatment related SAEs were reported. Six patients were treated in this trial and an enhanced PET signal was observed in a subset of patients monitored 96 weeks following treatment. A second, open-label Phase 1/2 trial was conducted at JMU and terminated in August 2019. The primary endpoint of this trial was also safety. This trial was using lower infusion volumes and total doses compared to our ongoing Phase 1b and Phase 2 clinical trials. Importantly, the JMU trial was not using real-time, intra-operative MRI guidance.</w:t>
      </w:r>
    </w:p>
    <w:p>
      <w:pPr>
        <w:spacing w:after="0" w:line="180"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While the prior UCSF and JMU clinical results were encouraging and provided evidence of long-term AADC enzyme expression, the magnitude of the clinical benefits observed did not exceed placebo effects observed in previous surgical therapy trials in Parkinson’s disease patients, and the UCSF and JMU trials were not blinded. Further, based on post-operative imaging and our current work using real-time, intra-operative MRI monitoring, we estimate that less than 10% of the putamen volume was covered by the infusion in these trials, which we believe to be suboptimal distribution of the gene therapy vector in the putamen. We believe that by further optimizing the delivery, dose and infusion volume to substantially increase the coverage of the putamen, a more substantial clinical benefit can be achieved.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VY-AADC (NBIb-1817) Phase 1b Trial (PD-1101)</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2014, UCSF initiated an open-label Phase 1b clinical trial to optimize the development of VY-AADC (NBIb-1817). The IND for the Phase 1b trial was filed by UCSF in July 2013 and was transferred to us in October 2015. In November 2017, we completed enrolling this open-label, dose-escalating PD-1101 Phase 1b trial of VY-AADC (NBIb-1817). The trial included 15 patients with Parkinson’s disease and was designed to evaluate the safety and efficacy of escalating doses of VY-AADC (NBIb-1817). In this trial, one-time administration of VY-AADC (NBIb-1817) led to improvements in patients’ motor function, and patients were able to reduce their daily levodopa and other Parkinson’s disease medications. To date, administration of VY-AADC (NBIb-1817) has been well-tolerated. In patients treated in this trial, there have been no vector-related serious adverse events reported.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Patients in three cohorts of five patients each were treated with a single administration of ascending doses of VY-AADC (NBIb-1817) administered under MRI guidance to the putamen, a region of the brain associated with impaired motor function in Parkinson’s disease. The primary endpoints of this trial are safety and tolerability of the treatment. This trial incorporates three key design features:</w:t>
      </w:r>
    </w:p>
    <w:p>
      <w:pPr>
        <w:spacing w:after="0" w:line="188" w:lineRule="exact"/>
        <w:rPr>
          <w:sz w:val="20"/>
          <w:szCs w:val="20"/>
          <w:color w:val="auto"/>
        </w:rPr>
      </w:pPr>
    </w:p>
    <w:p>
      <w:pPr>
        <w:jc w:val="both"/>
        <w:ind w:left="980" w:hanging="330"/>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real-time, intra-operative MRI system during surgery to assist the physician in visualizing the delivery of VY-AADC (NBIb-1817) to the putamen and to avoid specific blood vessels during the surgical procedure, with the goal of reducing the risk of hemorrhages.</w:t>
      </w:r>
    </w:p>
    <w:p>
      <w:pPr>
        <w:spacing w:after="0" w:line="181" w:lineRule="exact"/>
        <w:rPr>
          <w:rFonts w:ascii="Arial" w:cs="Arial" w:eastAsia="Arial" w:hAnsi="Arial"/>
          <w:sz w:val="18"/>
          <w:szCs w:val="18"/>
          <w:color w:val="auto"/>
        </w:rPr>
      </w:pPr>
    </w:p>
    <w:p>
      <w:pPr>
        <w:ind w:left="980" w:hanging="330"/>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infusion volumes designed to increase coverage of the putamen with VY-AADC (NBIb-1817).</w:t>
      </w:r>
    </w:p>
    <w:p>
      <w:pPr>
        <w:spacing w:after="0" w:line="225" w:lineRule="exact"/>
        <w:rPr>
          <w:rFonts w:ascii="Arial" w:cs="Arial" w:eastAsia="Arial" w:hAnsi="Arial"/>
          <w:sz w:val="18"/>
          <w:szCs w:val="18"/>
          <w:color w:val="auto"/>
        </w:rPr>
      </w:pPr>
    </w:p>
    <w:p>
      <w:pPr>
        <w:ind w:left="980" w:right="60" w:hanging="330"/>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concentrations of VY-AADC (NBIb-1817) vector compared to the previously completed UCSF Phase 1 trial.</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7"/>
          <w:szCs w:val="17"/>
          <w:color w:val="auto"/>
        </w:rPr>
        <w:t>Secondary endpoints of this trial, which are being used to assess the potential pharmacologic activity of VY-AADC (NBIb-1817), include UPDRS, AADC PET imaging, quality of life, a patient-completed Hauser diary monitoring good ON time without troublesome dyskinesia, and a behavioral test using intravenous levodopa treatment to measure changes in a patients’ sensitivity to levodopa as well as endpoints to measure motor functions.</w:t>
      </w:r>
    </w:p>
    <w:p>
      <w:pPr>
        <w:spacing w:after="0" w:line="170" w:lineRule="exact"/>
        <w:rPr>
          <w:sz w:val="20"/>
          <w:szCs w:val="20"/>
          <w:color w:val="auto"/>
        </w:rPr>
      </w:pPr>
    </w:p>
    <w:p>
      <w:pPr>
        <w:ind w:right="80" w:firstLine="648"/>
        <w:spacing w:after="0" w:line="265" w:lineRule="auto"/>
        <w:rPr>
          <w:sz w:val="20"/>
          <w:szCs w:val="20"/>
          <w:color w:val="auto"/>
        </w:rPr>
      </w:pPr>
      <w:r>
        <w:rPr>
          <w:rFonts w:ascii="Arial" w:cs="Arial" w:eastAsia="Arial" w:hAnsi="Arial"/>
          <w:sz w:val="16"/>
          <w:szCs w:val="16"/>
          <w:color w:val="auto"/>
        </w:rPr>
        <w:t>In November 2018, we updated interim results from the ongoing, open-label Phase 1b clinical trial of VY-AADC (NBIb-1817) for the treatment of Parkinson’s disease. Interim results include data from all 15 patients treated in Cohorts 1, 2 and 3 (five patients in each cohort) including data from patients in Cohort 1 at three years, Cohort 2 at two years and Cohort</w:t>
      </w:r>
    </w:p>
    <w:p>
      <w:pPr>
        <w:spacing w:after="0" w:line="207" w:lineRule="auto"/>
        <w:rPr>
          <w:sz w:val="20"/>
          <w:szCs w:val="20"/>
          <w:color w:val="auto"/>
        </w:rPr>
      </w:pPr>
      <w:r>
        <w:rPr>
          <w:rFonts w:ascii="Arial" w:cs="Arial" w:eastAsia="Arial" w:hAnsi="Arial"/>
          <w:sz w:val="16"/>
          <w:szCs w:val="16"/>
          <w:color w:val="auto"/>
        </w:rPr>
        <w:t>3 at 18 months. Cohort 1 patients received a single administration of VY-AADC (NBIb-1817) at a concentration of 8.3×10</w:t>
      </w:r>
      <w:r>
        <w:rPr>
          <w:rFonts w:ascii="Arial" w:cs="Arial" w:eastAsia="Arial" w:hAnsi="Arial"/>
          <w:sz w:val="24"/>
          <w:szCs w:val="24"/>
          <w:color w:val="auto"/>
          <w:vertAlign w:val="superscript"/>
        </w:rPr>
        <w:t>11</w:t>
      </w:r>
      <w:r>
        <w:rPr>
          <w:rFonts w:ascii="Arial" w:cs="Arial" w:eastAsia="Arial" w:hAnsi="Arial"/>
          <w:sz w:val="16"/>
          <w:szCs w:val="16"/>
          <w:color w:val="auto"/>
        </w:rPr>
        <w:t xml:space="preserve"> vg per milliliter, or vg/ml, using an infusion volume of up to 450 µL per putamen, or up to 900 µL per patient, for a total dose of 7.5×10</w:t>
      </w:r>
      <w:r>
        <w:rPr>
          <w:rFonts w:ascii="Arial" w:cs="Arial" w:eastAsia="Arial" w:hAnsi="Arial"/>
          <w:sz w:val="24"/>
          <w:szCs w:val="24"/>
          <w:color w:val="auto"/>
          <w:vertAlign w:val="superscript"/>
        </w:rPr>
        <w:t>11</w:t>
      </w:r>
      <w:r>
        <w:rPr>
          <w:rFonts w:ascii="Arial" w:cs="Arial" w:eastAsia="Arial" w:hAnsi="Arial"/>
          <w:sz w:val="16"/>
          <w:szCs w:val="16"/>
          <w:color w:val="auto"/>
        </w:rPr>
        <w:t xml:space="preserve"> vg. Cohort 2 patients received a single administration of VY-AADC (NBIb-1817) at a concentration of 8.3×10</w:t>
      </w:r>
      <w:r>
        <w:rPr>
          <w:rFonts w:ascii="Arial" w:cs="Arial" w:eastAsia="Arial" w:hAnsi="Arial"/>
          <w:sz w:val="24"/>
          <w:szCs w:val="24"/>
          <w:color w:val="auto"/>
          <w:vertAlign w:val="superscript"/>
        </w:rPr>
        <w:t>11</w:t>
      </w:r>
      <w:r>
        <w:rPr>
          <w:rFonts w:ascii="Arial" w:cs="Arial" w:eastAsia="Arial" w:hAnsi="Arial"/>
          <w:sz w:val="16"/>
          <w:szCs w:val="16"/>
          <w:color w:val="auto"/>
        </w:rPr>
        <w:t xml:space="preserve"> vg/ml, using an infusion volume of up to 900 µL per putamen, or up to 1,800 µL per patient, for a total dose of 1.5×10</w:t>
      </w:r>
      <w:r>
        <w:rPr>
          <w:rFonts w:ascii="Arial" w:cs="Arial" w:eastAsia="Arial" w:hAnsi="Arial"/>
          <w:sz w:val="24"/>
          <w:szCs w:val="24"/>
          <w:color w:val="auto"/>
          <w:vertAlign w:val="superscript"/>
        </w:rPr>
        <w:t>12</w:t>
      </w:r>
      <w:r>
        <w:rPr>
          <w:rFonts w:ascii="Arial" w:cs="Arial" w:eastAsia="Arial" w:hAnsi="Arial"/>
          <w:sz w:val="16"/>
          <w:szCs w:val="16"/>
          <w:color w:val="auto"/>
        </w:rPr>
        <w:t xml:space="preserve"> vg. Cohort 3 patients received a three-fold higher vg concentration of 2.6×10</w:t>
      </w:r>
      <w:r>
        <w:rPr>
          <w:rFonts w:ascii="Arial" w:cs="Arial" w:eastAsia="Arial" w:hAnsi="Arial"/>
          <w:sz w:val="24"/>
          <w:szCs w:val="24"/>
          <w:color w:val="auto"/>
          <w:vertAlign w:val="superscript"/>
        </w:rPr>
        <w:t>12</w:t>
      </w:r>
      <w:r>
        <w:rPr>
          <w:rFonts w:ascii="Arial" w:cs="Arial" w:eastAsia="Arial" w:hAnsi="Arial"/>
          <w:sz w:val="16"/>
          <w:szCs w:val="16"/>
          <w:color w:val="auto"/>
        </w:rPr>
        <w:t xml:space="preserve"> with the same infusion volumes of VY-AADC (NBIb-1817) similar to those received by Cohort 2 patients (up to 900 µL per putamen), for a total dose of up to 4.5×10</w:t>
      </w:r>
      <w:r>
        <w:rPr>
          <w:rFonts w:ascii="Arial" w:cs="Arial" w:eastAsia="Arial" w:hAnsi="Arial"/>
          <w:sz w:val="24"/>
          <w:szCs w:val="24"/>
          <w:color w:val="auto"/>
          <w:vertAlign w:val="superscript"/>
        </w:rPr>
        <w:t>12</w:t>
      </w:r>
      <w:r>
        <w:rPr>
          <w:rFonts w:ascii="Arial" w:cs="Arial" w:eastAsia="Arial" w:hAnsi="Arial"/>
          <w:sz w:val="16"/>
          <w:szCs w:val="16"/>
          <w:color w:val="auto"/>
        </w:rPr>
        <w:t xml:space="preserve"> vg.</w:t>
      </w:r>
    </w:p>
    <w:p>
      <w:pPr>
        <w:spacing w:after="0" w:line="81"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Administration of VY-AADC (NBIb-1817) has been well-tolerated in all fifteen patients treated in the three cohorts with no reported vector-related SAEs. Fourteen of the 15 patients were discharged from the hospital within two days following surgery. As previously reported, one patient experienced two SAEs: a pulmonary embolism or blood clot in the lungs, and related heart arrhythmia or irregular heartbeat. Investigators determined that these SAEs were most likely related to immobility during the administration of the product; consequently, deep vein thrombosis prophylaxis has been added to the clinical trial protocol.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findings from this trial to date include:</w:t>
      </w:r>
    </w:p>
    <w:p>
      <w:pPr>
        <w:spacing w:after="0" w:line="212" w:lineRule="exact"/>
        <w:rPr>
          <w:sz w:val="20"/>
          <w:szCs w:val="20"/>
          <w:color w:val="auto"/>
        </w:rPr>
      </w:pPr>
    </w:p>
    <w:p>
      <w:pPr>
        <w:ind w:left="1000" w:right="180" w:hanging="323"/>
        <w:spacing w:after="0" w:line="286"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use of real-time, MRI-guided delivery and increasing infusion volumes resulted in progressively greater coverage of the putamen, 21% mean coverage of the volume of the putamen with VY-AADC (NBIb-1817) in Cohort 1, 34% mean coverage in Cohort 2, and 42% mean coverage in Cohort 3.</w:t>
      </w:r>
    </w:p>
    <w:p>
      <w:pPr>
        <w:spacing w:after="0" w:line="165" w:lineRule="exact"/>
        <w:rPr>
          <w:rFonts w:ascii="Arial" w:cs="Arial" w:eastAsia="Arial" w:hAnsi="Arial"/>
          <w:sz w:val="17"/>
          <w:szCs w:val="17"/>
          <w:color w:val="auto"/>
        </w:rPr>
      </w:pPr>
    </w:p>
    <w:p>
      <w:pPr>
        <w:ind w:left="1000" w:right="60" w:hanging="323"/>
        <w:spacing w:after="0" w:line="22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VY-AADC (NBIb-1817) treatment resulted in a 13% increase, a 56% increase, and a 79% increase in mean putaminal AADC enzyme activity in Cohort 1, 2, and 3, respectively, at six months relative to baseline as measured by </w:t>
      </w:r>
      <w:r>
        <w:rPr>
          <w:rFonts w:ascii="Arial" w:cs="Arial" w:eastAsia="Arial" w:hAnsi="Arial"/>
          <w:sz w:val="27"/>
          <w:szCs w:val="27"/>
          <w:color w:val="auto"/>
          <w:vertAlign w:val="superscript"/>
        </w:rPr>
        <w:t>18</w:t>
      </w:r>
      <w:r>
        <w:rPr>
          <w:rFonts w:ascii="Arial" w:cs="Arial" w:eastAsia="Arial" w:hAnsi="Arial"/>
          <w:sz w:val="18"/>
          <w:szCs w:val="18"/>
          <w:color w:val="auto"/>
        </w:rPr>
        <w:t>F-Dopa PET scan. Coverage of the putamen and AADC enzyme activity were highly correlated (r=0.84, p=0.0002).</w:t>
      </w:r>
    </w:p>
    <w:p>
      <w:pPr>
        <w:spacing w:after="0" w:line="203" w:lineRule="exact"/>
        <w:rPr>
          <w:rFonts w:ascii="Arial" w:cs="Arial" w:eastAsia="Arial" w:hAnsi="Arial"/>
          <w:sz w:val="18"/>
          <w:szCs w:val="18"/>
          <w:color w:val="auto"/>
        </w:rPr>
      </w:pPr>
    </w:p>
    <w:p>
      <w:pPr>
        <w:ind w:left="1000" w:right="40" w:hanging="323"/>
        <w:spacing w:after="0" w:line="25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One-time administration of VY-AADC (NBIb-1817) resulted in reduced daily doses of oral levodopa and related medications. Six months after VY-AADC (NBIb-1817) administration, patients in Cohort 1 had a reduction in levodopa equivalent daily dose, or LED, of 15%, Cohort 2 had a LED reduction of 33%, and Cohort 3 had a LED reduction of 42%. LED reductions were maintained through last follow up in Cohort 2 (24 months) and Cohort 3 (18 months).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Patients enrolled in Cohorts 1, 2 and 3 were:</w:t>
      </w:r>
    </w:p>
    <w:p>
      <w:pPr>
        <w:spacing w:after="0" w:line="212" w:lineRule="exact"/>
        <w:rPr>
          <w:sz w:val="20"/>
          <w:szCs w:val="20"/>
          <w:color w:val="auto"/>
        </w:rPr>
      </w:pPr>
    </w:p>
    <w:p>
      <w:pPr>
        <w:ind w:left="980" w:hanging="330"/>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average, 58 years of age with a Parkinson’s disease diagnosis for an average of 10 years.</w:t>
      </w:r>
    </w:p>
    <w:p>
      <w:pPr>
        <w:spacing w:after="0" w:line="225" w:lineRule="exact"/>
        <w:rPr>
          <w:rFonts w:ascii="Arial" w:cs="Arial" w:eastAsia="Arial" w:hAnsi="Arial"/>
          <w:sz w:val="18"/>
          <w:szCs w:val="18"/>
          <w:color w:val="auto"/>
        </w:rPr>
      </w:pPr>
    </w:p>
    <w:p>
      <w:pPr>
        <w:ind w:left="1000" w:right="339" w:hanging="323"/>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Candidates for surgical intervention including deep-brain stimulation due to disabling motor complications despite treatment with optimal anti-Parkinsonian medication.</w:t>
      </w:r>
    </w:p>
    <w:p>
      <w:pPr>
        <w:spacing w:after="0" w:line="170" w:lineRule="exact"/>
        <w:rPr>
          <w:rFonts w:ascii="Arial" w:cs="Arial" w:eastAsia="Arial" w:hAnsi="Arial"/>
          <w:sz w:val="18"/>
          <w:szCs w:val="18"/>
          <w:color w:val="auto"/>
        </w:rPr>
      </w:pPr>
    </w:p>
    <w:p>
      <w:pPr>
        <w:ind w:left="1000" w:right="279" w:hanging="323"/>
        <w:spacing w:after="0" w:line="308" w:lineRule="auto"/>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At baseline, the average patient diary ON time without troublesome dyskinesia was 10.5 hours and, average diary OFF time was 4.6 hours; both diary measures were normalized to a 16-hour waking day.</w:t>
      </w:r>
    </w:p>
    <w:p>
      <w:pPr>
        <w:spacing w:after="0" w:line="146" w:lineRule="exact"/>
        <w:rPr>
          <w:rFonts w:ascii="Arial" w:cs="Arial" w:eastAsia="Arial" w:hAnsi="Arial"/>
          <w:sz w:val="17"/>
          <w:szCs w:val="17"/>
          <w:color w:val="auto"/>
        </w:rPr>
      </w:pPr>
    </w:p>
    <w:p>
      <w:pPr>
        <w:ind w:left="1000" w:right="79" w:hanging="323"/>
        <w:spacing w:after="0" w:line="276" w:lineRule="auto"/>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Average UPDRS-III (motor function) on medication score was 13.5 and UPDRS-III off-medication score was 37.1; average UPDRS-II (activities of daily living) on medication score was 3.9 and UPDRS-II off medication score was 16.5. Patients in Cohort 3 entered the trial with more severe dyskinesia at baseline than patients in Cohorts 1 and 2 based on the Unified Dyskinesia Rating Scale, with a mean score of 30.2 for Cohort 3 compared with a mean score of 19.2 and 17.4 for Cohorts 1 and 2, respectively.</w:t>
      </w:r>
    </w:p>
    <w:p>
      <w:pPr>
        <w:spacing w:after="0" w:line="172" w:lineRule="exact"/>
        <w:rPr>
          <w:rFonts w:ascii="Arial" w:cs="Arial" w:eastAsia="Arial" w:hAnsi="Arial"/>
          <w:sz w:val="17"/>
          <w:szCs w:val="17"/>
          <w:color w:val="auto"/>
        </w:rPr>
      </w:pPr>
    </w:p>
    <w:p>
      <w:pPr>
        <w:jc w:val="both"/>
        <w:ind w:left="1000" w:right="39" w:hanging="323"/>
        <w:spacing w:after="0" w:line="31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At baseline, patients were treated with optimal levels of multiple dopaminergic medications including, in many cases, amantadine for the treatment of dyskinesia, or uncontrolled or involuntary movements. Patients’ average amount of Parkinson’s disease medications at baseline was 1,526 mg of oral LEDs per day.</w:t>
      </w:r>
    </w:p>
    <w:p>
      <w:pPr>
        <w:spacing w:after="0" w:line="147" w:lineRule="exact"/>
        <w:rPr>
          <w:sz w:val="20"/>
          <w:szCs w:val="20"/>
          <w:color w:val="auto"/>
        </w:rPr>
      </w:pPr>
    </w:p>
    <w:p>
      <w:pPr>
        <w:ind w:right="159" w:firstLine="648"/>
        <w:spacing w:after="0"/>
        <w:rPr>
          <w:sz w:val="20"/>
          <w:szCs w:val="20"/>
          <w:color w:val="auto"/>
        </w:rPr>
      </w:pPr>
      <w:r>
        <w:rPr>
          <w:rFonts w:ascii="Arial" w:cs="Arial" w:eastAsia="Arial" w:hAnsi="Arial"/>
          <w:sz w:val="18"/>
          <w:szCs w:val="18"/>
          <w:color w:val="auto"/>
        </w:rPr>
        <w:t>The results continue to demonstrate durable improvements across multiple measures of patients’ motor function after a one-time administration of the gene therapy, as evidenced by the patients’ diaries and UPDRS-III, and quality of life assessments. The update of results from the ongoing PD-1101 Phase 1b trial of VY-AADC (NBIb-1817) include a 2.1-hour mean improvement in good ON time from baseline to three years for patients in Cohort 1, a 2.7-hour mean improvement from baseline to two years in Cohort 2, and a mean improvement of 1.7 hours from baseline to 18 months in Cohort 3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129540</wp:posOffset>
            </wp:positionV>
            <wp:extent cx="4999990" cy="1715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99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9" w:firstLine="648"/>
        <w:spacing w:after="0" w:line="258" w:lineRule="auto"/>
        <w:rPr>
          <w:sz w:val="20"/>
          <w:szCs w:val="20"/>
          <w:color w:val="auto"/>
        </w:rPr>
      </w:pPr>
      <w:r>
        <w:rPr>
          <w:rFonts w:ascii="Arial" w:cs="Arial" w:eastAsia="Arial" w:hAnsi="Arial"/>
          <w:sz w:val="16"/>
          <w:szCs w:val="16"/>
          <w:color w:val="auto"/>
        </w:rPr>
        <w:t>For the RESTORE-1 Phase 2 clinical trial, we have selected a dose of up to 2.5 x 10</w:t>
      </w:r>
      <w:r>
        <w:rPr>
          <w:rFonts w:ascii="Arial" w:cs="Arial" w:eastAsia="Arial" w:hAnsi="Arial"/>
          <w:sz w:val="24"/>
          <w:szCs w:val="24"/>
          <w:color w:val="auto"/>
          <w:vertAlign w:val="superscript"/>
        </w:rPr>
        <w:t>12</w:t>
      </w:r>
      <w:r>
        <w:rPr>
          <w:rFonts w:ascii="Arial" w:cs="Arial" w:eastAsia="Arial" w:hAnsi="Arial"/>
          <w:sz w:val="16"/>
          <w:szCs w:val="16"/>
          <w:color w:val="auto"/>
        </w:rPr>
        <w:t xml:space="preserve"> vg, which is defined as a maximum total bilateral dose. This dose is between the up-to-maximum total vector genome doses administered in Cohorts 2 and 3 from the Phase 1b trial when considering the higher volume administered with the posterior trajectory and vector produced using the baculovirus system. Having selected a dose for the RESTORE-1 Phase 2 trial between the two highest dose cohorts from the Phase 1b trial, we have performed a combined analysis of the outcomes from ten patients in Cohorts 2 and 3. Results from the combined ten patients in Cohorts 2 and 3 demonstrated mean increases from baseline in good ON time of 2.4 hours per day at 12 months, the timepoint for the primary endpoint in the RESTORE-1 Phase 2 trial, and 2.6 hours per day at 18 months, the latest timepoint measured for both cohorts as shown in the table below. Of the combined ten patients in Cohorts 2 and 3, seven patients would have met the eligibility criteria for the RESTORE-1 Phase 2 trial based on limits in severity of dyskinesia and minimum OFF time at baseline. For these seven patients, the RESTORE-1 Phase 2 trial relevant group, the mean improvements in good ON time were 2.8 hours at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12 months and 2.5 hours at 18 months. These results were achieved with clinically meaningful and sustained reductions in daily oral levodopa and related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116840</wp:posOffset>
            </wp:positionV>
            <wp:extent cx="4999990" cy="1517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999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VY-AADC (NBIb-1817) Phase 1 Posterior Trajectory Clinical Trial (PD-1102)</w:t>
      </w:r>
    </w:p>
    <w:p>
      <w:pPr>
        <w:spacing w:after="0" w:line="239"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In the PD-1102 Phase 1 clinical trial, we explored a posterior, or back of the head, trajectory administration of VY-AADC (NBIb-1817) to the putamen, compared to a transfrontal, or top of the head, delivery approach used in Cohorts 1 through 3 of the PD-1101 Phase 1b clinical trial described above. A posterior approach better aligns the infusion of VY-AADC (NBIb-1817) with the anatomical structure of the putamen, which reduces the number of trajectories needed and potentially reduces the total procedure time and increases the total coverage of the putamen. Administration of VY-AADC (NBIb-1817) with this posterior approach has been well-tolerated in the eight patients treated with no reported SAEs. Most patients were discharged from the hospital the day after surgery. This trial utilized the same dose concentration as Cohort 3 of our Phase 1b clinical trial at a higher volume, yielding a total dose of up to 9.0×10</w:t>
      </w:r>
      <w:r>
        <w:rPr>
          <w:rFonts w:ascii="Arial" w:cs="Arial" w:eastAsia="Arial" w:hAnsi="Arial"/>
          <w:sz w:val="24"/>
          <w:szCs w:val="24"/>
          <w:color w:val="auto"/>
          <w:vertAlign w:val="superscript"/>
        </w:rPr>
        <w:t>12</w:t>
      </w:r>
      <w:r>
        <w:rPr>
          <w:rFonts w:ascii="Arial" w:cs="Arial" w:eastAsia="Arial" w:hAnsi="Arial"/>
          <w:sz w:val="16"/>
          <w:szCs w:val="16"/>
          <w:color w:val="auto"/>
        </w:rPr>
        <w:t xml:space="preserve"> vg compared with a total dose of up to 4.5×10</w:t>
      </w:r>
      <w:r>
        <w:rPr>
          <w:rFonts w:ascii="Arial" w:cs="Arial" w:eastAsia="Arial" w:hAnsi="Arial"/>
          <w:sz w:val="24"/>
          <w:szCs w:val="24"/>
          <w:color w:val="auto"/>
          <w:vertAlign w:val="superscript"/>
        </w:rPr>
        <w:t>12</w:t>
      </w:r>
      <w:r>
        <w:rPr>
          <w:rFonts w:ascii="Arial" w:cs="Arial" w:eastAsia="Arial" w:hAnsi="Arial"/>
          <w:sz w:val="16"/>
          <w:szCs w:val="16"/>
          <w:color w:val="auto"/>
        </w:rPr>
        <w:t xml:space="preserve"> vg in Cohort 3. In May 2019, we provided 12-months results from PD-1102.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Recent results from PD-1102</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212529"/>
        </w:rPr>
        <w:t>The PD-1102 trial included eight patients with advanced Parkinson’s disease. On average the baseline characteristics of patients enrolled in PD-1102 were generally consistent with the baseline characteristics of patients enrolled in PD-1101. In PD-1102, patients were on average 57 years of age with a Parkinson’s disease diagnosis for an average of nine years, and all patients were not responding adequately to oral medications and were candidates for surgical intervention due to disabling motor complications. At baseline, PD-1102 patients’ mean good ON time was 9.1 hours and mean OFF time when they have poor mobility was 6.8 hours.</w:t>
      </w:r>
    </w:p>
    <w:p>
      <w:pPr>
        <w:spacing w:after="0" w:line="19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212529"/>
        </w:rPr>
        <w:t xml:space="preserve">Administration of </w:t>
      </w:r>
      <w:r>
        <w:rPr>
          <w:rFonts w:ascii="Arial" w:cs="Arial" w:eastAsia="Arial" w:hAnsi="Arial"/>
          <w:sz w:val="18"/>
          <w:szCs w:val="18"/>
          <w:color w:val="000000"/>
        </w:rPr>
        <w:t>VY-AADC (NBIb-1817)</w:t>
      </w:r>
      <w:r>
        <w:rPr>
          <w:rFonts w:ascii="Arial" w:cs="Arial" w:eastAsia="Arial" w:hAnsi="Arial"/>
          <w:sz w:val="18"/>
          <w:szCs w:val="18"/>
          <w:color w:val="212529"/>
        </w:rPr>
        <w:t xml:space="preserve"> with the posterior trajectory resulted in a mean coverage of the putamen of 54% and reduced the infusion time by approximately two hours (from a mean of 5.2 hours to a mean of 3.1 hours) compared to PD-1101. In PD-1102, treatment with </w:t>
      </w:r>
      <w:r>
        <w:rPr>
          <w:rFonts w:ascii="Arial" w:cs="Arial" w:eastAsia="Arial" w:hAnsi="Arial"/>
          <w:sz w:val="18"/>
          <w:szCs w:val="18"/>
          <w:color w:val="000000"/>
        </w:rPr>
        <w:t>VY-AADC (NBIb-1817)</w:t>
      </w:r>
      <w:r>
        <w:rPr>
          <w:rFonts w:ascii="Arial" w:cs="Arial" w:eastAsia="Arial" w:hAnsi="Arial"/>
          <w:sz w:val="18"/>
          <w:szCs w:val="18"/>
          <w:color w:val="212529"/>
        </w:rPr>
        <w:t xml:space="preserve"> increased mean AADC enzyme activity in the putamen as measured by PET using [18F] fluorodopa, which we refer to as 18F-DOPA PET scan, by 85%. AADC enzyme activity in the putamen as measured by PET using 18F-DOPA reflects the capacity of neurons in the brain to convert levodopa to dopamine.</w:t>
      </w:r>
    </w:p>
    <w:p>
      <w:pPr>
        <w:spacing w:after="0" w:line="19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color w:val="212529"/>
        </w:rPr>
        <w:t xml:space="preserve">Treatment with </w:t>
      </w:r>
      <w:r>
        <w:rPr>
          <w:rFonts w:ascii="Arial" w:cs="Arial" w:eastAsia="Arial" w:hAnsi="Arial"/>
          <w:sz w:val="17"/>
          <w:szCs w:val="17"/>
          <w:color w:val="000000"/>
        </w:rPr>
        <w:t>VY-AADC (NBIb-1817)</w:t>
      </w:r>
      <w:r>
        <w:rPr>
          <w:rFonts w:ascii="Arial" w:cs="Arial" w:eastAsia="Arial" w:hAnsi="Arial"/>
          <w:sz w:val="17"/>
          <w:szCs w:val="17"/>
          <w:color w:val="212529"/>
        </w:rPr>
        <w:t xml:space="preserve"> in PD-1102 improved patients’ motor function from baseline to twelve months across multiple assessments. These assessments include patient self-reported diary ON and OFF times, including good ON time, UPDRS, and activities of daily living measures. In addition, improvements in patients’ motor function were achieved with a mean 28% reduction in Parkinson’s disease medication dosage (measured as levodopa equivalents) from a baseline level of 1,500 mg/day when measured at 6 and 12 months.</w:t>
      </w:r>
    </w:p>
    <w:p>
      <w:pPr>
        <w:spacing w:after="0" w:line="161" w:lineRule="exact"/>
        <w:rPr>
          <w:sz w:val="20"/>
          <w:szCs w:val="20"/>
          <w:color w:val="auto"/>
        </w:rPr>
      </w:pPr>
    </w:p>
    <w:p>
      <w:pPr>
        <w:jc w:val="both"/>
        <w:ind w:right="200" w:firstLine="648"/>
        <w:spacing w:after="0" w:line="294" w:lineRule="auto"/>
        <w:rPr>
          <w:sz w:val="20"/>
          <w:szCs w:val="20"/>
          <w:color w:val="auto"/>
        </w:rPr>
      </w:pPr>
      <w:r>
        <w:rPr>
          <w:rFonts w:ascii="Arial" w:cs="Arial" w:eastAsia="Arial" w:hAnsi="Arial"/>
          <w:sz w:val="16"/>
          <w:szCs w:val="16"/>
          <w:color w:val="212529"/>
        </w:rPr>
        <w:t xml:space="preserve">Treatment with </w:t>
      </w:r>
      <w:r>
        <w:rPr>
          <w:rFonts w:ascii="Arial" w:cs="Arial" w:eastAsia="Arial" w:hAnsi="Arial"/>
          <w:sz w:val="16"/>
          <w:szCs w:val="16"/>
          <w:color w:val="000000"/>
        </w:rPr>
        <w:t>VY-AADC (NBIb-1817)</w:t>
      </w:r>
      <w:r>
        <w:rPr>
          <w:rFonts w:ascii="Arial" w:cs="Arial" w:eastAsia="Arial" w:hAnsi="Arial"/>
          <w:sz w:val="16"/>
          <w:szCs w:val="16"/>
          <w:color w:val="212529"/>
        </w:rPr>
        <w:t xml:space="preserve"> improved patients’ mean good ON time by 1.7 hours from baseline and reduced mean OFF time by 2.2 hours from baseline to 12 months. Exploratory analyses in PD-1101 suggested that patients with high dyskinesia or an impulse control disorder, or ICD, at baseline may show different outcomes, especially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212529"/>
        </w:rPr>
        <w:t xml:space="preserve">in patient-reported diary measures. Clinical assessment of the subgroup of patients (n=4) with no or low baseline dyskinesia as measured by the Unified Dyskinesia Rating Scale score (≤ 30) and absence of ICD at baseline as determined by the investigator indicated that </w:t>
      </w:r>
      <w:r>
        <w:rPr>
          <w:rFonts w:ascii="Arial" w:cs="Arial" w:eastAsia="Arial" w:hAnsi="Arial"/>
          <w:sz w:val="18"/>
          <w:szCs w:val="18"/>
          <w:color w:val="000000"/>
        </w:rPr>
        <w:t>VY-AADC (NBIb-1817)</w:t>
      </w:r>
      <w:r>
        <w:rPr>
          <w:rFonts w:ascii="Arial" w:cs="Arial" w:eastAsia="Arial" w:hAnsi="Arial"/>
          <w:sz w:val="18"/>
          <w:szCs w:val="18"/>
          <w:color w:val="212529"/>
        </w:rPr>
        <w:t xml:space="preserve"> improved good ON time from baseline by 3.2 hours and reduced OFF time by 3.2 hours in patients at 12 months.</w:t>
      </w:r>
    </w:p>
    <w:p>
      <w:pPr>
        <w:spacing w:after="0" w:line="188"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212529"/>
        </w:rPr>
        <w:t xml:space="preserve">In addition to motor function, </w:t>
      </w:r>
      <w:r>
        <w:rPr>
          <w:rFonts w:ascii="Arial" w:cs="Arial" w:eastAsia="Arial" w:hAnsi="Arial"/>
          <w:sz w:val="18"/>
          <w:szCs w:val="18"/>
          <w:color w:val="000000"/>
        </w:rPr>
        <w:t>VY-AADC (NBIb-1817)</w:t>
      </w:r>
      <w:r>
        <w:rPr>
          <w:rFonts w:ascii="Arial" w:cs="Arial" w:eastAsia="Arial" w:hAnsi="Arial"/>
          <w:sz w:val="18"/>
          <w:szCs w:val="18"/>
          <w:color w:val="212529"/>
        </w:rPr>
        <w:t xml:space="preserve"> improved patients’ quality of life as measured by the patient-reported 39-item Parkinson’s Disease Questionnaire, known as PDQ-39. For PDQ-39, </w:t>
      </w:r>
      <w:r>
        <w:rPr>
          <w:rFonts w:ascii="Arial" w:cs="Arial" w:eastAsia="Arial" w:hAnsi="Arial"/>
          <w:sz w:val="18"/>
          <w:szCs w:val="18"/>
          <w:color w:val="000000"/>
        </w:rPr>
        <w:t>VY-AADC (NBIb-1817)</w:t>
      </w:r>
      <w:r>
        <w:rPr>
          <w:rFonts w:ascii="Arial" w:cs="Arial" w:eastAsia="Arial" w:hAnsi="Arial"/>
          <w:sz w:val="18"/>
          <w:szCs w:val="18"/>
          <w:color w:val="212529"/>
        </w:rPr>
        <w:t xml:space="preserve"> improved (reduced) patients’ score by a mean change from baseline to 12 months of -7.6. Infusions of </w:t>
      </w:r>
      <w:r>
        <w:rPr>
          <w:rFonts w:ascii="Arial" w:cs="Arial" w:eastAsia="Arial" w:hAnsi="Arial"/>
          <w:sz w:val="18"/>
          <w:szCs w:val="18"/>
          <w:color w:val="000000"/>
        </w:rPr>
        <w:t>VY-AADC (NBIb-1817)</w:t>
      </w:r>
      <w:r>
        <w:rPr>
          <w:rFonts w:ascii="Arial" w:cs="Arial" w:eastAsia="Arial" w:hAnsi="Arial"/>
          <w:sz w:val="18"/>
          <w:szCs w:val="18"/>
          <w:color w:val="212529"/>
        </w:rPr>
        <w:t xml:space="preserve"> have been well-tolerated in the eight patients treated in PD-1102 with no SAEs reported.</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continue to follow patients from PD-1101 and PD-1102, and plan to report updated results from these trials in 2020. We and Neurocrine expect to present three-year data on all three cohorts (15 total patients) of the PD-1101 trial, as well as two-year data from the PD-1102 trial (8 total patients), at one or more medical congresses in 2020.</w:t>
      </w:r>
    </w:p>
    <w:p>
      <w:pPr>
        <w:spacing w:after="0" w:line="191"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In January 2019, we entered into the Neurocrine Collaboration which includes the VY-AADC Program. In accordance with the Neurocrine Collaboration Agreement, we transferred the INDs for the VY-AADC Program to Neurocrine in 2019. Neurocrine is now responsible for all regulatory interactions. We are responsible for performing the day-to-day activities of the program development including manufacturing and clinical activities for the RESTORE-1 Phase 2 clinical trial.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VY-AADC (NBIb-1817) RESTORE-1 and RESTORE-2 Program</w:t>
      </w:r>
    </w:p>
    <w:p>
      <w:pPr>
        <w:spacing w:after="0" w:line="2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In December 2017, we submitted an IND for VY-AADC (NBIb-1817) to the FDA. As part of this IND, the chemistry, manufacturing, and controls section included data demonstrating comparability between VY-AADC (NBIb-1817) using our baculovirus/Sf9 manufacturing process and VY-AADC (NBIb-1817) produced using a mammalian cell system consisting of triple-transfection of HEK293 cells, which was used in our two Phase 1 clinical trials. Both were produced under cGMP. Our baculovirus/Sf9 manufacturing process is designed for production of AAV vectors at clinical and commercial scale, with the potential for increased yields and efficient scalability compared with mammalian-based systems. We have demonstrated that this production platform change resulted in comparable vector quality and activity. We are using VY-AADC (NBIb-1817) manufactured in our baculovirus/Sf9 system in the RESTORE-1 Phase 2 clinical trial and the planned RESTORE-2 Phase 3 clinical trial. In June 2018, the FDA granted RMAT designation for the VY-AADC Program gene therapy treatment</w:t>
      </w:r>
      <w:r>
        <w:rPr>
          <w:rFonts w:ascii="Arial" w:cs="Arial" w:eastAsia="Arial" w:hAnsi="Arial"/>
          <w:sz w:val="17"/>
          <w:szCs w:val="17"/>
          <w:color w:val="222222"/>
        </w:rPr>
        <w:t>, which provides for an enhanced level of interactions between the company sponsor and the FDA</w:t>
      </w:r>
      <w:r>
        <w:rPr>
          <w:rFonts w:ascii="Arial" w:cs="Arial" w:eastAsia="Arial" w:hAnsi="Arial"/>
          <w:sz w:val="17"/>
          <w:szCs w:val="17"/>
          <w:color w:val="auto"/>
        </w:rPr>
        <w:t xml:space="preserve"> </w:t>
      </w:r>
      <w:r>
        <w:rPr>
          <w:rFonts w:ascii="Arial" w:cs="Arial" w:eastAsia="Arial" w:hAnsi="Arial"/>
          <w:sz w:val="17"/>
          <w:szCs w:val="17"/>
          <w:color w:val="222222"/>
        </w:rPr>
        <w:t>throughout the development program</w:t>
      </w:r>
      <w:r>
        <w:rPr>
          <w:rFonts w:ascii="Arial" w:cs="Arial" w:eastAsia="Arial" w:hAnsi="Arial"/>
          <w:sz w:val="17"/>
          <w:szCs w:val="17"/>
          <w:color w:val="000000"/>
        </w:rPr>
        <w:t>. The designation was based on our Phase 1b clinical data with VY-AADC (NBIb-1817). The FDA has also granted fast-track designation for VY-AADC (NBIb-1817).</w:t>
      </w:r>
    </w:p>
    <w:p>
      <w:pPr>
        <w:spacing w:after="0" w:line="184" w:lineRule="exact"/>
        <w:rPr>
          <w:sz w:val="20"/>
          <w:szCs w:val="20"/>
          <w:color w:val="auto"/>
        </w:rPr>
      </w:pPr>
    </w:p>
    <w:p>
      <w:pPr>
        <w:ind w:right="20" w:firstLine="648"/>
        <w:spacing w:after="0" w:line="265" w:lineRule="auto"/>
        <w:rPr>
          <w:sz w:val="20"/>
          <w:szCs w:val="20"/>
          <w:color w:val="auto"/>
        </w:rPr>
      </w:pPr>
      <w:r>
        <w:rPr>
          <w:rFonts w:ascii="Arial" w:cs="Arial" w:eastAsia="Arial" w:hAnsi="Arial"/>
          <w:sz w:val="16"/>
          <w:szCs w:val="16"/>
          <w:color w:val="212529"/>
        </w:rPr>
        <w:t xml:space="preserve">In December 2018, we announced randomization of the first patient in the RESTORE-1 registrational Phase 2, randomized, double-blind, placebo-surgery controlled trial evaluating the safety and efficacy of </w:t>
      </w:r>
      <w:r>
        <w:rPr>
          <w:rFonts w:ascii="Arial" w:cs="Arial" w:eastAsia="Arial" w:hAnsi="Arial"/>
          <w:sz w:val="16"/>
          <w:szCs w:val="16"/>
          <w:color w:val="000000"/>
        </w:rPr>
        <w:t>VY-AADC (NBIb-1817)</w:t>
      </w:r>
      <w:r>
        <w:rPr>
          <w:rFonts w:ascii="Arial" w:cs="Arial" w:eastAsia="Arial" w:hAnsi="Arial"/>
          <w:sz w:val="16"/>
          <w:szCs w:val="16"/>
          <w:color w:val="212529"/>
        </w:rPr>
        <w:t xml:space="preserve"> for the treatment of Parkinson’s disease in patients with motor fluctuations that are refractory to medical management. </w:t>
      </w:r>
      <w:r>
        <w:rPr>
          <w:rFonts w:ascii="Arial" w:cs="Arial" w:eastAsia="Arial" w:hAnsi="Arial"/>
          <w:sz w:val="16"/>
          <w:szCs w:val="16"/>
          <w:color w:val="000000"/>
        </w:rPr>
        <w:t>We</w:t>
      </w:r>
      <w:r>
        <w:rPr>
          <w:rFonts w:ascii="Arial" w:cs="Arial" w:eastAsia="Arial" w:hAnsi="Arial"/>
          <w:sz w:val="16"/>
          <w:szCs w:val="16"/>
          <w:color w:val="212529"/>
        </w:rPr>
        <w:t xml:space="preserve"> </w:t>
      </w:r>
      <w:r>
        <w:rPr>
          <w:rFonts w:ascii="Arial" w:cs="Arial" w:eastAsia="Arial" w:hAnsi="Arial"/>
          <w:sz w:val="16"/>
          <w:szCs w:val="16"/>
          <w:color w:val="000000"/>
        </w:rPr>
        <w:t xml:space="preserve">received written feedback from the FDA, including FDA guidance received during the Type B meeting, that in a disease such as Parkinson’s, two adequate and well-controlled clinical trials are suggested. Based upon feedback received from the FDA, we and Neurocrine have amended the RESTORE-1 clinical trial protocol to support a future registration filing, if successful, for VY-AADC (NBIb-1817) for the treatment of Parkinson’s disease in the United States. The protocol amendments include increasing the planned enrollment to approximately 85 patients from the previously planned 42 patients, and adjusting future enrollment in the trial to randomize patients 2:1 to VY-AADC (NBIb-1817) or placebo surgery, respectively, as compared to the previous 1:1 randomization. </w:t>
      </w:r>
      <w:r>
        <w:rPr>
          <w:rFonts w:ascii="Arial" w:cs="Arial" w:eastAsia="Arial" w:hAnsi="Arial"/>
          <w:sz w:val="16"/>
          <w:szCs w:val="16"/>
          <w:color w:val="212529"/>
        </w:rPr>
        <w:t>The eligibility criteria remain substantially the same: the trial is potentially available to</w:t>
      </w:r>
      <w:r>
        <w:rPr>
          <w:rFonts w:ascii="Arial" w:cs="Arial" w:eastAsia="Arial" w:hAnsi="Arial"/>
          <w:sz w:val="16"/>
          <w:szCs w:val="16"/>
          <w:color w:val="000000"/>
        </w:rPr>
        <w:t xml:space="preserve"> </w:t>
      </w:r>
      <w:r>
        <w:rPr>
          <w:rFonts w:ascii="Arial" w:cs="Arial" w:eastAsia="Arial" w:hAnsi="Arial"/>
          <w:sz w:val="16"/>
          <w:szCs w:val="16"/>
          <w:color w:val="212529"/>
        </w:rPr>
        <w:t>patients who have been diagnosed with Parkinson’s disease for at least four years, are not responding adequately to oral medications, and have at least three or more hours of OFF time during the day as measured by a validated self-reported patient diary. The protocol amendments are anticipated to facilitate enrollment and patient convenience, but implementation of the protocol amendments will lengthen the trial enrollment period. We and Neurocrine expect to provide an update on the RESTORE-1 enrollment timeline following implementation of the protocol amendment.</w:t>
      </w:r>
    </w:p>
    <w:p>
      <w:pPr>
        <w:spacing w:after="0" w:line="7"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 xml:space="preserve">The primary efficacy endpoint of RESTORE-1 is </w:t>
      </w:r>
      <w:r>
        <w:rPr>
          <w:rFonts w:ascii="Arial" w:cs="Arial" w:eastAsia="Arial" w:hAnsi="Arial"/>
          <w:sz w:val="16"/>
          <w:szCs w:val="16"/>
          <w:color w:val="212529"/>
        </w:rPr>
        <w:t>the mean improvement from baseline to 12 months in good ON</w:t>
      </w:r>
      <w:r>
        <w:rPr>
          <w:rFonts w:ascii="Arial" w:cs="Arial" w:eastAsia="Arial" w:hAnsi="Arial"/>
          <w:sz w:val="16"/>
          <w:szCs w:val="16"/>
          <w:color w:val="auto"/>
        </w:rPr>
        <w:t xml:space="preserve"> </w:t>
      </w:r>
      <w:r>
        <w:rPr>
          <w:rFonts w:ascii="Arial" w:cs="Arial" w:eastAsia="Arial" w:hAnsi="Arial"/>
          <w:sz w:val="16"/>
          <w:szCs w:val="16"/>
          <w:color w:val="212529"/>
        </w:rPr>
        <w:t>time as measured by a validated self-reported patient diary at 12 months compared to placebo. Secondary endpoints include mean improvement in diary OFF time</w:t>
      </w:r>
      <w:r>
        <w:rPr>
          <w:rFonts w:ascii="Arial" w:cs="Arial" w:eastAsia="Arial" w:hAnsi="Arial"/>
          <w:sz w:val="16"/>
          <w:szCs w:val="16"/>
          <w:color w:val="000000"/>
        </w:rPr>
        <w:t>, other motor function and quality of life measures from the UPDRS-II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UPDRS-III scores, assessments from the Parkinson’s Disease Questionnaire (PDQ-39), and patient’s global function as measured by the proportion of participants with improvement on the Clinical Global Impression, or CGI, score. The trial will also measure non-motor symptoms from the Non-Motor Symptom Scale, or NMSS, as well as safety. </w:t>
      </w:r>
      <w:r>
        <w:rPr>
          <w:rFonts w:ascii="Arial" w:cs="Arial" w:eastAsia="Arial" w:hAnsi="Arial"/>
          <w:sz w:val="18"/>
          <w:szCs w:val="18"/>
          <w:color w:val="212529"/>
        </w:rPr>
        <w:t>Changes in patients’</w:t>
      </w:r>
      <w:r>
        <w:rPr>
          <w:rFonts w:ascii="Arial" w:cs="Arial" w:eastAsia="Arial" w:hAnsi="Arial"/>
          <w:sz w:val="18"/>
          <w:szCs w:val="18"/>
          <w:color w:val="auto"/>
        </w:rPr>
        <w:t xml:space="preserve"> </w:t>
      </w:r>
      <w:r>
        <w:rPr>
          <w:rFonts w:ascii="Arial" w:cs="Arial" w:eastAsia="Arial" w:hAnsi="Arial"/>
          <w:sz w:val="18"/>
          <w:szCs w:val="18"/>
          <w:color w:val="212529"/>
        </w:rPr>
        <w:t>daily doses of oral levodopa and related medications will also be recorded.</w:t>
      </w:r>
    </w:p>
    <w:p>
      <w:pPr>
        <w:spacing w:after="0" w:line="188"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Biomarker data include measurements of the coverage of the putamen, the specific region of the brain targeted with VY-AADC (NBIb-1817), and measurements of AADC enzyme expression and activity in the putamen measured by PET using 18F-DOPA.</w:t>
      </w:r>
    </w:p>
    <w:p>
      <w:pPr>
        <w:spacing w:after="0" w:line="182" w:lineRule="exact"/>
        <w:rPr>
          <w:sz w:val="20"/>
          <w:szCs w:val="20"/>
          <w:color w:val="auto"/>
        </w:rPr>
      </w:pPr>
    </w:p>
    <w:p>
      <w:pPr>
        <w:ind w:right="60" w:firstLine="648"/>
        <w:spacing w:after="0" w:line="281" w:lineRule="auto"/>
        <w:rPr>
          <w:sz w:val="20"/>
          <w:szCs w:val="20"/>
          <w:color w:val="auto"/>
        </w:rPr>
      </w:pPr>
      <w:r>
        <w:rPr>
          <w:rFonts w:ascii="Arial" w:cs="Arial" w:eastAsia="Arial" w:hAnsi="Arial"/>
          <w:sz w:val="16"/>
          <w:szCs w:val="16"/>
          <w:color w:val="auto"/>
        </w:rPr>
        <w:t>We anticipate initiation of the RESTORE-2 Phase 3 clinical trial in the second half of 2020. We anticipate that, if positive, results from the RESTORE-1 Phase 2 clinical trial and the planned RESTORE-2 Phase 3 clinical trial could potentially form the basis for submission of a biologics license application, or BLA, to the FDA for VY-AADC (NBIb-1817)</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the treatment of Parkinson’s disease .</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Huntington’s Program: VY-HTT01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Huntington’s disease is a fatal, inherited neurodegenerative disease that results in the progressive decline of motor and cognitive functions and a range of behavioral and psychiatric disturbances. The average age of onset is 39 years, with patients typically dying approximately 15 to 20 years following diagnosis. According to the Huntington’s Disease Society of America, Huntington’s disease affects approximately 30,000 patients in the United States. Huntington’s disease is caused by mutations in the huntingtin, or HTT, gene. Huntington’s disease is an autosomal dominant disorder, which means that an individual is at risk of inheriting the disease if only one parent is affected. More than 200,000 individuals in the United States are at risk for inheriting the mutant gene from an affected parent. While the exact function of the HTT gene in healthy individuals is unknown, it is essential for normal development before birth and mutations in the HTT gene ultimately lead to the production of abnormal intracellular huntingtin protein aggregates that cause neuronal cell death. Currently, there are no approved treatments targeting the underlying cause of the disease and only one drug, tetrabenazine, has been approved for the treatment of the specific motor symptoms of Huntington’s disease.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239"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We believe that AAV gene therapy is an attractive approach to treating Huntington’s disease. Since HTT gene mutations that cause Huntington’s disease are toxic gain-of-function mutations, we believe that we can employ an AAV gene therapy approach designed to knock down expression of the HTT gene. In addition, the targeted cells for treatment primarily reside in discrete regions of the brain - the striatum and the cortex - that can be targeted with AAV gene therapy delivered directly into the brain. The mechanism of action of VY-HTT01 is knockdown of HTT gene expression in neurons in the striatum and cortex, thereby reducing the level of toxicity associated with mutated protein in these brain regions, and slowing the progression of cognitive and motor symptoms. We believe that we can use the same surgical approach for this program that has been used for VY-AADC (NBIb-1817) delivery to the brain, allowing us to leverage prior clinical experience.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5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2015, we entered into the Sanofi Genzyme Collaboration and granted Sanofi Genzyme exclusive options to license, develop and commercialize VY-HTT01 outside the United States and to co-commercialize VY-HTT01 in the United States, among rights to other programs. Accordingly, Sanofi Genzyme’s Huntington’s disease gene therapy program was combined with our efforts at that time. Our collaborators at Sanofi Genzyme had completed significant preclinical work focused on AAV gene therapy for Huntington’s disease. Sanofi Genzyme’s preclinical studies in a mouse model of Huntington’s disease demonstrated the safety and efficacy of AAV gene therapy targeting the knockdown of the HTT gene in the CNS.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20" w:firstLine="648"/>
        <w:spacing w:after="0" w:line="248" w:lineRule="auto"/>
        <w:rPr>
          <w:sz w:val="20"/>
          <w:szCs w:val="20"/>
          <w:color w:val="auto"/>
        </w:rPr>
      </w:pPr>
      <w:r>
        <w:rPr>
          <w:rFonts w:ascii="Arial" w:cs="Arial" w:eastAsia="Arial" w:hAnsi="Arial"/>
          <w:sz w:val="18"/>
          <w:szCs w:val="18"/>
          <w:color w:val="auto"/>
        </w:rPr>
        <w:t>As shown in the figure below, using an AAV vector delivered directly to the CNS, HTT gene expression was observed to be reduced by over 50%, on average, in the treatment group as compared to the control group. No signs of toxicity were reported.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Knockdown of HTT Following AAV Delivery</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5754370" cy="172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right="980" w:firstLine="6"/>
        <w:spacing w:after="0" w:line="239" w:lineRule="auto"/>
        <w:tabs>
          <w:tab w:leader="none" w:pos="613"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Stanek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(2014); 25; 461-474. The publisher for this copyrighted material is Mary Ann Liebert, Inc. publishers. * p&lt;0.05</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In addition, significant functional benefit was observed in the treatment group, as measured by the rotarod test to assess motor function, and the Porsolt Swim Test to measure depressive behavior in mice. In the figure below, both normal or wild type mice, and mice with the HTT mutation, or YAC128, were evaluated following treatment with either an AAV vector targeting the knockdown of the HTT gene, labeled as AAV2/1-miRNA-Htt below, or a negative control vector, labeled as AAV2/1-Null below. As expected, knocking down HTT in the control mice was observed to have no functional impact, whereas knocking down HTT in YAC128 mice was observed to have significant functional benefit.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Reduction of Behavioral Deficits in an Animal Model of Huntington’s Disease</w:t>
      </w:r>
      <w:r>
        <w:rPr>
          <w:rFonts w:ascii="Arial" w:cs="Arial" w:eastAsia="Arial" w:hAnsi="Arial"/>
          <w:sz w:val="27"/>
          <w:szCs w:val="27"/>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5754370" cy="2255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980" w:firstLine="6"/>
        <w:spacing w:after="0" w:line="239" w:lineRule="auto"/>
        <w:tabs>
          <w:tab w:leader="none" w:pos="613"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Stanek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(2014); 25; 461-474. The publisher for this copyrighted material is Mary Ann Liebert, Inc. publishers. * p&lt;0.05</w:t>
      </w:r>
    </w:p>
    <w:p>
      <w:pPr>
        <w:spacing w:after="0" w:line="230"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In preclinical studies, a single administration of VY-HTT01 was well-tolerated and resulted in robust and widespread knockdown of HTT messenger RNA at five weeks post-dosing in disease-relevant regions of the non-human primate central nervous system. The extent of HTT mRNA suppression (greater than 50%) and high precision and efficiency of primary microRNA processing in our preclinical studies supported the selection of our lead clinical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candidate. Additionally, preclinical data in large mammals have demonstrated that a single intraputaminal administration results in robust knockdown of HTT in the putamen.</w:t>
      </w:r>
    </w:p>
    <w:p>
      <w:pPr>
        <w:ind w:firstLine="648"/>
        <w:spacing w:after="0" w:line="236" w:lineRule="auto"/>
        <w:rPr>
          <w:sz w:val="20"/>
          <w:szCs w:val="20"/>
          <w:color w:val="auto"/>
        </w:rPr>
      </w:pPr>
      <w:r>
        <w:rPr>
          <w:rFonts w:ascii="Arial" w:cs="Arial" w:eastAsia="Arial" w:hAnsi="Arial"/>
          <w:sz w:val="18"/>
          <w:szCs w:val="18"/>
          <w:color w:val="auto"/>
        </w:rPr>
        <w:t>Recent preclinical delivery studies have further optimized the dosing paradigm. VT-HTT01 is composed of an adeno-associated virus capsid (AAV1) and proprietary transgene that harnesses the RNA interference pathway to selectively knock down, or reduce, levels of HTT mRNA. In late 2018 and early 2019, we presented results demonstrating significant reduction of HTT mRNA at five weeks post-dosing in adult non-human primates using an MRI-guided surgical delivery of VY-HTT01 and a novel delivery paradigm targeting both the putamen and thalamus. Targeting the thalamus in addition to the putamen leverages more extensive and more preserved neuronal pathways to the cortex than delivery to the putamen alone. In adult non-human primates, at five weeks post-dosing, this novel dosing paradigm with VY-HTT01 resulted in well-tolerated and significant suppression of HTT in the striatum and in cortical neurons, which are critical in the progression of disease.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VY-HTT01 Program Status</w:t>
      </w:r>
    </w:p>
    <w:p>
      <w:pPr>
        <w:spacing w:after="0" w:line="212" w:lineRule="exact"/>
        <w:rPr>
          <w:sz w:val="20"/>
          <w:szCs w:val="20"/>
          <w:color w:val="auto"/>
        </w:rPr>
      </w:pPr>
    </w:p>
    <w:p>
      <w:pPr>
        <w:ind w:right="240" w:firstLine="648"/>
        <w:spacing w:after="0" w:line="243" w:lineRule="auto"/>
        <w:rPr>
          <w:sz w:val="20"/>
          <w:szCs w:val="20"/>
          <w:color w:val="auto"/>
        </w:rPr>
      </w:pPr>
      <w:r>
        <w:rPr>
          <w:rFonts w:ascii="Arial" w:cs="Arial" w:eastAsia="Arial" w:hAnsi="Arial"/>
          <w:sz w:val="18"/>
          <w:szCs w:val="18"/>
          <w:color w:val="212529"/>
        </w:rPr>
        <w:t>In June 2019, we and Sanofi Genzyme executed the Sanofi Genzyme Termination Agreement, under the terms of which Sanofi Genzyme relinquished its rights to the Huntington’s Program, including its rights to the exclusive license options to the Huntington’s Program. As a result, we gained worldwide rights to the treatment program for Huntington’s disease.</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VY-HTT01 is currently in preclinical IND-enabling studies. We are currently engaged in the ongoing conduct and review of preclinical studies for our Huntington’s disease program, VY-HTT01, and expect to provide an update on the program in the second quarter of 2020, including plans to file an investigational new drug, or IND, application. We also plan to initiate a prospective observational study of patients with late prodromal and early manifest Huntington’s disease in mid-2020. The longitudinal study will evaluate the clinical and biological evolution of peri-manifest Huntington’s disease patients, including clinical, neuroimaging, molecular, and digital biomarker outcomes. Patients participating in the observational study may also be eligible for later enrollment in the VY-HTT01 Phase 1 clinical trial.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 Program: VY-SOD102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25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ALS is a fatal neurodegenerative disease that leads to muscle atrophy, spasticity and weakness as well as impaired speech, swallowing and breathing, with many patients requiring ventilator support as the disease progresses. The average age of onset of ALS is 55 years, and median survival is approximately three years after initial symptoms appear. It is estimated that there are approximately 20,000 patients in the United States who are living with the disease. Familial, or inherited, ALS accounts for approximately 10% of ALS cases, and an estimated 20% of familial ALS is caused by mutations in the superoxide dismutase 1, or SOD1, gene. Therefore, there are an estimated 400-800 patients in the United States with ALS caused by mutations in the SOD1 gene.</w:t>
      </w:r>
    </w:p>
    <w:p>
      <w:pPr>
        <w:spacing w:after="0" w:line="122" w:lineRule="exact"/>
        <w:rPr>
          <w:sz w:val="20"/>
          <w:szCs w:val="20"/>
          <w:color w:val="auto"/>
        </w:rPr>
      </w:pPr>
    </w:p>
    <w:p>
      <w:pPr>
        <w:ind w:right="220" w:firstLine="648"/>
        <w:spacing w:after="0" w:line="248" w:lineRule="auto"/>
        <w:rPr>
          <w:sz w:val="20"/>
          <w:szCs w:val="20"/>
          <w:color w:val="auto"/>
        </w:rPr>
      </w:pPr>
      <w:r>
        <w:rPr>
          <w:rFonts w:ascii="Arial" w:cs="Arial" w:eastAsia="Arial" w:hAnsi="Arial"/>
          <w:sz w:val="16"/>
          <w:szCs w:val="16"/>
          <w:color w:val="auto"/>
        </w:rPr>
        <w:t>The normal function of the SOD1 protein is to catalyze the conversion of superoxide anion (O</w:t>
      </w:r>
      <w:r>
        <w:rPr>
          <w:rFonts w:ascii="Arial" w:cs="Arial" w:eastAsia="Arial" w:hAnsi="Arial"/>
          <w:sz w:val="24"/>
          <w:szCs w:val="24"/>
          <w:color w:val="auto"/>
          <w:vertAlign w:val="subscript"/>
        </w:rPr>
        <w:t>2</w:t>
      </w:r>
      <w:r>
        <w:rPr>
          <w:rFonts w:ascii="Arial" w:cs="Arial" w:eastAsia="Arial" w:hAnsi="Arial"/>
          <w:sz w:val="24"/>
          <w:szCs w:val="24"/>
          <w:color w:val="auto"/>
          <w:vertAlign w:val="superscript"/>
        </w:rPr>
        <w:t>-</w:t>
      </w:r>
      <w:r>
        <w:rPr>
          <w:rFonts w:ascii="Arial" w:cs="Arial" w:eastAsia="Arial" w:hAnsi="Arial"/>
          <w:sz w:val="16"/>
          <w:szCs w:val="16"/>
          <w:color w:val="auto"/>
        </w:rPr>
        <w:t>) to hydrogen peroxide (H</w:t>
      </w:r>
      <w:r>
        <w:rPr>
          <w:rFonts w:ascii="Arial" w:cs="Arial" w:eastAsia="Arial" w:hAnsi="Arial"/>
          <w:sz w:val="24"/>
          <w:szCs w:val="24"/>
          <w:color w:val="auto"/>
          <w:vertAlign w:val="subscript"/>
        </w:rPr>
        <w:t>2</w:t>
      </w:r>
      <w:r>
        <w:rPr>
          <w:rFonts w:ascii="Arial" w:cs="Arial" w:eastAsia="Arial" w:hAnsi="Arial"/>
          <w:sz w:val="16"/>
          <w:szCs w:val="16"/>
          <w:color w:val="auto"/>
        </w:rPr>
        <w:t>O</w:t>
      </w:r>
      <w:r>
        <w:rPr>
          <w:rFonts w:ascii="Arial" w:cs="Arial" w:eastAsia="Arial" w:hAnsi="Arial"/>
          <w:sz w:val="24"/>
          <w:szCs w:val="24"/>
          <w:color w:val="auto"/>
          <w:vertAlign w:val="subscript"/>
        </w:rPr>
        <w:t>2</w:t>
      </w:r>
      <w:r>
        <w:rPr>
          <w:rFonts w:ascii="Arial" w:cs="Arial" w:eastAsia="Arial" w:hAnsi="Arial"/>
          <w:sz w:val="16"/>
          <w:szCs w:val="16"/>
          <w:color w:val="auto"/>
        </w:rPr>
        <w:t>) and oxygen (O</w:t>
      </w:r>
      <w:r>
        <w:rPr>
          <w:rFonts w:ascii="Arial" w:cs="Arial" w:eastAsia="Arial" w:hAnsi="Arial"/>
          <w:sz w:val="24"/>
          <w:szCs w:val="24"/>
          <w:color w:val="auto"/>
          <w:vertAlign w:val="subscript"/>
        </w:rPr>
        <w:t>2</w:t>
      </w:r>
      <w:r>
        <w:rPr>
          <w:rFonts w:ascii="Arial" w:cs="Arial" w:eastAsia="Arial" w:hAnsi="Arial"/>
          <w:sz w:val="16"/>
          <w:szCs w:val="16"/>
          <w:color w:val="auto"/>
        </w:rPr>
        <w:t>). Mutations in SOD1 have been shown to lead to the formation of toxic aggregates of the</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SOD1 protein, resulting in the dysfunction and death of motor neurons. Patients with familial ALS caused by certain mutations in the SOD1 gene progress more rapidly than patients with other forms of ALS, although the reason for this more rapid progression is unknown.</w:t>
      </w:r>
    </w:p>
    <w:p>
      <w:pPr>
        <w:spacing w:after="0" w:line="230"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There are currently only two FDA-approved treatments for ALS, Riluzole by Sanofi, which has been shown to have only modest efficacy, prolonging life by a few months, and Edaravone, which has been shown to slow decline of daily functioning.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We believe that AAV gene therapy is an attractive approach to treating monogenic ALS caused by SOD1 mutations. Since the SOD1 gene mutations that cause ALS are toxic gain-of-function mutations, we believe that we can employ an AAV gene therapy approach that targets the knockdown of SOD1 gene expression. In addition, the primary target cells - motor neurons - reside within the spinal cord, which we believe can be effectively transduced with AAV gene therapy through intraparenchymal injection as well as other routes of administration. The mechanism of action of VY-SOD102 is knockdown of SOD1 expression in motor neurons, thereby potentially reducing the level of toxicity associated with mutated protein, and slowing functional decline and prolonging ventilator-independent survival.</w:t>
      </w:r>
    </w:p>
    <w:p>
      <w:pPr>
        <w:spacing w:after="0" w:line="207"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believe that there is also the potential to leverage our approach for the treatment of other genetically defined forms of 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Targeting SOD1 for Monogenic ALS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Results from our preclinical studies using intraparenchymal delivery of AAV vector to the spinal cord support targeting mutant SOD1 for the treatment of monogenic ALS. In the mini-pig, used as an animal model as it has a spinal cord similar in size to the human spinal cord, significant knockdown of SOD1 expression was observed following intraparenchymal spinal cord injection of an AAV vector carrying a transgene designed to inhibit SOD1 expression. This novel delivery approach with VY-SOD102 reduced SOD1 mRNA in the spinal cord on average by 70% and 50% in the cervical and thoracic regions, respectively, both regions critical for respiratory function, and 82% near the site of cervical injection. In addition, VY-SOD102 reduced SOD1 mRNA by 22% in the lumbar region.</w:t>
      </w:r>
    </w:p>
    <w:p>
      <w:pPr>
        <w:spacing w:after="0" w:line="207" w:lineRule="exact"/>
        <w:rPr>
          <w:sz w:val="20"/>
          <w:szCs w:val="20"/>
          <w:color w:val="auto"/>
        </w:rPr>
      </w:pPr>
    </w:p>
    <w:p>
      <w:pPr>
        <w:jc w:val="both"/>
        <w:ind w:right="160" w:firstLine="648"/>
        <w:spacing w:after="0" w:line="294" w:lineRule="auto"/>
        <w:rPr>
          <w:sz w:val="20"/>
          <w:szCs w:val="20"/>
          <w:color w:val="auto"/>
        </w:rPr>
      </w:pPr>
      <w:r>
        <w:rPr>
          <w:rFonts w:ascii="Arial" w:cs="Arial" w:eastAsia="Arial" w:hAnsi="Arial"/>
          <w:sz w:val="16"/>
          <w:szCs w:val="16"/>
          <w:color w:val="auto"/>
        </w:rPr>
        <w:t>The knockdown of SOD1 has also been reported to provide significant survival benefits in animal models of ALS. As shown in the example below, mice with a SOD1 mutation treated with an AAV vector to knock down expression of the mutant human SOD1 gene extended median survival by 87 days compared to mice treated with a control vector.</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Improved Survival Post Knockdown of SOD1</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85090</wp:posOffset>
            </wp:positionV>
            <wp:extent cx="2830195" cy="1800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0195" cy="1800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2092325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0" w:right="140" w:hanging="327"/>
        <w:spacing w:after="0" w:line="293"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Reprinted by permission from Macmillan Publishers Ltd: Foust et al, Molecular Therapy (2013), 21 (12); 2148-2159, copyright (2013). Purple line represents mice treated with AAV gene therapy, while gray line represents control mice.</w:t>
      </w:r>
    </w:p>
    <w:p>
      <w:pPr>
        <w:spacing w:after="0" w:line="1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8"/>
          <w:szCs w:val="18"/>
          <w:color w:val="auto"/>
        </w:rPr>
        <w:t>These studies provide proof-of-principle for our approach to treating monogenic ALS due to SOD1 mutations with VY-SOD102.</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239"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In late 2016, we identified VY-SOD101 as a lead clinical candidate after screening a series of capsids, microRNA expression cassettes, (a segment of DNA that contains the sequence that targets SOD1 gene expression selectively for knockdown), and encoded payloads. We screened more than 100 RNAi sequences, each represented by a bar in the graph below, and successfully identified multiple, highly-potent RNAi sequences targeting SOD1, as highlighted by the yellow bars in the figure below:</w:t>
      </w:r>
    </w:p>
    <w:p>
      <w:pPr>
        <w:spacing w:after="0" w:line="12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Overview of miRNA Target Sequences for Knockdown of SOD1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103505</wp:posOffset>
            </wp:positionV>
            <wp:extent cx="5445760" cy="1844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4576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The most potent RNAi sequences targeting SOD1 gene expression were evaluated in multiple microRNA expression cassettes and with a number of vector genome configurations. We have completed the necessary experiments to evaluate these potential lead candidates based upon criteria that include safety, selectivity, potency, and efficiency and precision of microRNA processing.</w:t>
      </w:r>
    </w:p>
    <w:p>
      <w:pPr>
        <w:spacing w:after="0" w:line="118" w:lineRule="exact"/>
        <w:rPr>
          <w:sz w:val="20"/>
          <w:szCs w:val="20"/>
          <w:color w:val="auto"/>
        </w:rPr>
      </w:pPr>
    </w:p>
    <w:p>
      <w:pPr>
        <w:ind w:right="20" w:firstLine="648"/>
        <w:spacing w:after="0" w:line="285" w:lineRule="auto"/>
        <w:rPr>
          <w:sz w:val="20"/>
          <w:szCs w:val="20"/>
          <w:color w:val="auto"/>
        </w:rPr>
      </w:pPr>
      <w:r>
        <w:rPr>
          <w:rFonts w:ascii="Arial" w:cs="Arial" w:eastAsia="Arial" w:hAnsi="Arial"/>
          <w:sz w:val="17"/>
          <w:szCs w:val="17"/>
          <w:color w:val="auto"/>
        </w:rPr>
        <w:t>In late 2017, we initiated additional preclinical studies to further optimize our ALS program’s therapeutic approach, including exploration of additional routes of administration and novel AAV capsids in large animal models. Based on these studies, we selected VY-SOD102 as our lead candidate. VY-SOD102, our clinical candidate for the treatment of a monogenic form of ALS, is composed of an AAV capsid and a proprietary transgene that harnesses the RNA interference pathway to selectively knock down, or reduce, levels of SOD1 mRNA. VY-SOD102 has the potential to durably reduce the levels of toxic mutant SOD1 protein in the spinal cord to slow the progression of disease. In late 2018 and early 2019, we presented data on VY-SOD102 administered with a novel delivery paradigm comprising a one-time, infusion after laminectomy to the cervical region of the spinal cord. Preclinical data previously reported included significant reductions of SOD1 mRNA throughout the spinal cord of the Göttingen mini-pig, which has a spinal cord similar in length and diameter to the human spinal cord. This novel delivery approach with VY-SOD102 yielded well-tolerated and significant reduction of SOD1 mRNA throughout the spinal cord at four weeks post-dosing. In June 2019 in connection with the restructuring of our gene therapy relationship with Sanofi Genzyme, we decided to reallocate resources to our Huntington’s Program and new discovery efforts. We intend to seek a partner to advance our preclinical program for SOD1 ALS and no longer expect to file an IND application for VY-SOD102 prior to partnering.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Friedreich’s Ataxia Program: VY-FXN01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212" w:lineRule="exact"/>
        <w:rPr>
          <w:sz w:val="20"/>
          <w:szCs w:val="20"/>
          <w:color w:val="auto"/>
        </w:rPr>
      </w:pPr>
    </w:p>
    <w:p>
      <w:pPr>
        <w:ind w:right="320" w:firstLine="648"/>
        <w:spacing w:after="0" w:line="284" w:lineRule="auto"/>
        <w:rPr>
          <w:sz w:val="20"/>
          <w:szCs w:val="20"/>
          <w:color w:val="auto"/>
        </w:rPr>
      </w:pPr>
      <w:r>
        <w:rPr>
          <w:rFonts w:ascii="Arial" w:cs="Arial" w:eastAsia="Arial" w:hAnsi="Arial"/>
          <w:sz w:val="16"/>
          <w:szCs w:val="16"/>
          <w:color w:val="auto"/>
        </w:rPr>
        <w:t>Friedreich’s ataxia is a debilitating neurodegenerative disease resulting in poor coordination of legs and arms, progressive loss of the ability to walk, generalized weakness, loss of sensation, scoliosis, diabetes and cardiomyopathy as well as impaired vision, hearing and speech. The typical age of onset is 10 to 12 years, and life expectancy is severely reduced with patients generally dying of neurological and cardiac complications between the ages of 35 and 45.</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9"/>
        <w:spacing w:after="0" w:line="262" w:lineRule="auto"/>
        <w:rPr>
          <w:sz w:val="20"/>
          <w:szCs w:val="20"/>
          <w:color w:val="auto"/>
        </w:rPr>
      </w:pPr>
      <w:r>
        <w:rPr>
          <w:rFonts w:ascii="Arial" w:cs="Arial" w:eastAsia="Arial" w:hAnsi="Arial"/>
          <w:sz w:val="18"/>
          <w:szCs w:val="18"/>
          <w:color w:val="auto"/>
        </w:rPr>
        <w:t>According to the Friedreich’s Ataxia Research Alliance, there are approximately 6,400 patients living with the disease in the United States. There are currently no FDA-approved treatments for the disease.</w:t>
      </w:r>
    </w:p>
    <w:p>
      <w:pPr>
        <w:spacing w:after="0" w:line="169" w:lineRule="exact"/>
        <w:rPr>
          <w:sz w:val="20"/>
          <w:szCs w:val="20"/>
          <w:color w:val="auto"/>
        </w:rPr>
      </w:pPr>
    </w:p>
    <w:p>
      <w:pPr>
        <w:ind w:right="39" w:firstLine="648"/>
        <w:spacing w:after="0"/>
        <w:rPr>
          <w:sz w:val="20"/>
          <w:szCs w:val="20"/>
          <w:color w:val="auto"/>
        </w:rPr>
      </w:pPr>
      <w:r>
        <w:rPr>
          <w:rFonts w:ascii="Arial" w:cs="Arial" w:eastAsia="Arial" w:hAnsi="Arial"/>
          <w:sz w:val="18"/>
          <w:szCs w:val="18"/>
          <w:color w:val="auto"/>
        </w:rPr>
        <w:t>Friedreich’s ataxia patients have mutations of the FXN gene that reduce production of the frataxin protein, resulting in the degeneration of sensory pathways and a variety of debilitating symptoms. Friedreich’s ataxia is an autosomal recessive disorder, meaning that a person must obtain a defective copy of the FXN gene from both parents in order to develop the condition. One healthy copy of the FXN gene, or 50% of normal frataxin protein levels, is sufficient to prevent the disease phenotype. We therefore believe that restoring FXN protein levels to at least 50% of normal levels by AAV gene therapy might lead to a successful therapy.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239" w:lineRule="exact"/>
        <w:rPr>
          <w:sz w:val="20"/>
          <w:szCs w:val="20"/>
          <w:color w:val="auto"/>
        </w:rPr>
      </w:pPr>
    </w:p>
    <w:p>
      <w:pPr>
        <w:ind w:right="19" w:firstLine="648"/>
        <w:spacing w:after="0"/>
        <w:rPr>
          <w:sz w:val="20"/>
          <w:szCs w:val="20"/>
          <w:color w:val="auto"/>
        </w:rPr>
      </w:pPr>
      <w:r>
        <w:rPr>
          <w:rFonts w:ascii="Arial" w:cs="Arial" w:eastAsia="Arial" w:hAnsi="Arial"/>
          <w:sz w:val="18"/>
          <w:szCs w:val="18"/>
          <w:color w:val="auto"/>
        </w:rPr>
        <w:t>We are developing an AAV gene therapy approach that we believe will deliver a functional version of the FXN gene to the sensory pathways through intravenous injection. We think this approach has the potential to improve balance, ability to walk, sensory capability, coordination, strength and functional capacity of Friedreich’s ataxia patients. Most Friedreich’s ataxia patients produce low levels of the frataxin protein, which although insufficient to prevent the disease, exposes the patient’s immune system to frataxin. This reduces the likelihood that the FXN protein expressed by AAV gene therapy will trigger a harmful immune response.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52" w:lineRule="exact"/>
        <w:rPr>
          <w:sz w:val="20"/>
          <w:szCs w:val="20"/>
          <w:color w:val="auto"/>
        </w:rPr>
      </w:pPr>
    </w:p>
    <w:p>
      <w:pPr>
        <w:ind w:right="159" w:firstLine="648"/>
        <w:spacing w:after="0" w:line="239" w:lineRule="auto"/>
        <w:rPr>
          <w:sz w:val="20"/>
          <w:szCs w:val="20"/>
          <w:color w:val="auto"/>
        </w:rPr>
      </w:pPr>
      <w:r>
        <w:rPr>
          <w:rFonts w:ascii="Arial" w:cs="Arial" w:eastAsia="Arial" w:hAnsi="Arial"/>
          <w:sz w:val="18"/>
          <w:szCs w:val="18"/>
          <w:color w:val="auto"/>
        </w:rPr>
        <w:t>We initially conducted preclinical studies in non-human primates and achieved high FXN expression levels within the target sensory ganglia, or clusters of neurons, along the spinal region following intrathecal injection. More recently, we conducted preclinical studies in non-human primates with IV injection and achieved target FXN expression levels within sensory ganglia and the heart. The levels of FXN expression observed using an AAV vector were, on average, greater than FXN levels present in control normal human brain tissue. FXN expression was also observed in the cerebellar dentate nucleus, another area of the CNS that is often affected in Friedreich’s ataxia, and that is often considered difficult to target therapeutically.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252" w:lineRule="exact"/>
        <w:rPr>
          <w:sz w:val="20"/>
          <w:szCs w:val="20"/>
          <w:color w:val="auto"/>
        </w:rPr>
      </w:pPr>
    </w:p>
    <w:p>
      <w:pPr>
        <w:ind w:right="19" w:firstLine="648"/>
        <w:spacing w:after="0" w:line="252" w:lineRule="auto"/>
        <w:rPr>
          <w:sz w:val="20"/>
          <w:szCs w:val="20"/>
          <w:color w:val="auto"/>
        </w:rPr>
      </w:pPr>
      <w:r>
        <w:rPr>
          <w:rFonts w:ascii="Arial" w:cs="Arial" w:eastAsia="Arial" w:hAnsi="Arial"/>
          <w:sz w:val="17"/>
          <w:szCs w:val="17"/>
          <w:color w:val="auto"/>
        </w:rPr>
        <w:t>VY-FXN01 is currently in preclinical development in collaboration with Neurocrine. We and Neurocrine are in the process of identifying a lead candidate which will comprise an optimal capsid, promoter, and FXN transgene. We are completing several AAV capsid screening experiments to identify capsids that effectively distribute to disease target tissues in a desired manner following intravenous injection. Criteria for evaluating these capsids include safety, overall level of transgene expression achieved, distribution of transgene expression and the specific cell types transduced. In addition, we are optimizing the promoter for VY-FXN01. To evaluate the therapeutic potential of our vectors, we have conducted testing in a new genetic mouse model of Friedreich’s ataxia. In this preclinical model of Friedreich’s ataxia, our gene therapy candidates durably improved sensory function, and rescued the Friedreich’s ataxia phenotype based on multiple functional tests. In physiological and behavioral assays, our gene therapy candidates demonstrated dose-dependent and durable responses for more than 10 months after a single administration, preventing central and peripheral disease progression. We also have a significant effort focused on better understanding the clinical course of Friedreich’s ataxia and identifying potential clinical endpoints for future clinical trials.</w:t>
      </w:r>
    </w:p>
    <w:p>
      <w:pPr>
        <w:spacing w:after="0" w:line="225" w:lineRule="exact"/>
        <w:rPr>
          <w:sz w:val="20"/>
          <w:szCs w:val="20"/>
          <w:color w:val="auto"/>
        </w:rPr>
      </w:pPr>
    </w:p>
    <w:p>
      <w:pPr>
        <w:ind w:right="259" w:firstLine="648"/>
        <w:spacing w:after="0" w:line="262" w:lineRule="auto"/>
        <w:rPr>
          <w:sz w:val="20"/>
          <w:szCs w:val="20"/>
          <w:color w:val="auto"/>
        </w:rPr>
      </w:pPr>
      <w:r>
        <w:rPr>
          <w:rFonts w:ascii="Arial" w:cs="Arial" w:eastAsia="Arial" w:hAnsi="Arial"/>
          <w:sz w:val="18"/>
          <w:szCs w:val="18"/>
          <w:color w:val="auto"/>
        </w:rPr>
        <w:t>Once we and Neurocrine identify a lead candidate for this program, we plan to complete IND enabling studies to evaluate its safety and efficacy.</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 Program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239" w:lineRule="exact"/>
        <w:rPr>
          <w:sz w:val="20"/>
          <w:szCs w:val="20"/>
          <w:color w:val="auto"/>
        </w:rPr>
      </w:pPr>
    </w:p>
    <w:p>
      <w:pPr>
        <w:ind w:right="80" w:firstLine="648"/>
        <w:spacing w:after="0" w:line="272" w:lineRule="auto"/>
        <w:rPr>
          <w:sz w:val="20"/>
          <w:szCs w:val="20"/>
          <w:color w:val="auto"/>
        </w:rPr>
      </w:pPr>
      <w:r>
        <w:rPr>
          <w:rFonts w:ascii="Arial" w:cs="Arial" w:eastAsia="Arial" w:hAnsi="Arial"/>
          <w:sz w:val="16"/>
          <w:szCs w:val="16"/>
          <w:color w:val="auto"/>
        </w:rPr>
        <w:t>In healthy individuals, tau is an abundant soluble cytoplasmic protein that binds to microtubules, which are key structural proteins in cells, to promote their stability and function. In Alzheimer’s disease and other tauopathies, tau aggregates and forms insoluble tau-containing neurofibrillary tangles. The progressive spread of tau pathology along distinct anatomical pathways in the brain closely correlates with disease progression and severity in a number of tauopathies, including Alzheimer’s disease, FTD, and PSP. In addition, mutations in the tau gene have been shown to cause inherited forms of tauopathies, including FTD and PSP. Because the extent of tau pathology in Alzheimer’s disease and other tauopathies closely correlates with the severity of neurodegeneration, synapse loss, and cognitive deficits, attempts to prevent, reduce, or slow the development of tau pathology have become important therapeutic strategies for these diseases.</w:t>
      </w:r>
    </w:p>
    <w:p>
      <w:pPr>
        <w:spacing w:after="0" w:line="209"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In previous preclinical studies in animal models, despite high weekly or biweekly systemic doses of anti-tau monoclonal antibodies administered over three to six months, only very low levels of antibody reached the brain, resulting in a modest reduction of tau pathology by ~40–50%. This incomplete and modest reduction in tau pathology following treatment with very high and frequent systemic doses of these antibodies may pose therapeutic challenges in humans with various tauopathies. To address these limitations, our AbbVie Tau Collaboration attempts to develop AAV gene therapies to deliver monoclonal antibodies to the brain directed against tau as potential new treatments for Alzheimer’s disease and other tau-related neurodegenerative diseases.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23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tau program is currently in the preclinical stage. We have agreed to collaborate with AbbVie on the research and development of specified vectorized antibody compounds comprised of an AAV or other viral capsid and a virus vector genome that encodes one or more antibodies that target and bind to a tau protein. During the research period of our collaboration, we and AbbVie agreed to each identify up to five potential antibodies for evaluation during the AbbVie Tau Collaboration. Under the agreement, up to three research antibodies may be selected as candidates for creation of research compounds. AbbVie has the right to select two of the three research antibodies. During a specified portion of the research period, AbbVie may exercise one or more of its exclusive development options to select up to a total of three research compounds and their corresponding product candidates to proceed to the development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Alpha-Synuclein Program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healthy individuals, alpha-synuclein is an abundant protein in the brain found in presynaptic terminals and is important for neurotransmitter trafficking. In the diseased brain, altered alpha-synuclein accumulates into inclusions called Lewy Bodies, resulting in impaired brain function and neuronal cell loss. The progressive spread of abnormal alpha-synuclein in the brain closely correlates with progressive neurodegeneration and symptom severity. However, one of the limitations with current weekly or biweekly infusions of biologic therapies for neurodegenerative diseases is that only a small amount of drug is able to make its way into the brain. Our AbbVie Alpha-Synuclein Collaboration seeks to develop a potential one-time treatment using our gene therapy platform to reduce alpha-synuclein pathology and neurodegeneration through the delivery of an AAV vector antibody that encodes the genetic instructions to produce anti-alpha-synuclein antibodies within the brain.</w:t>
      </w:r>
    </w:p>
    <w:p>
      <w:pPr>
        <w:spacing w:after="0" w:line="232"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Due to poor transfer of antibodies across the blood brain barrier, preclinical studies in animal models have shown that, despite high weekly or biweekly systemic doses of anti-alpha-synuclein monoclonal antibodies administered over three to six months, only very low levels of antibody reach the brain. This low level of antibodies in the CNS following treatment with very high and frequent systemic doses of antibodies may pose therapeutic challenges in humans with synucleinopathies. To address these limitations, our AbbVie Alpha-Synuclein Collaboration attempts to develop</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60"/>
        <w:spacing w:after="0" w:line="291" w:lineRule="auto"/>
        <w:rPr>
          <w:sz w:val="20"/>
          <w:szCs w:val="20"/>
          <w:color w:val="auto"/>
        </w:rPr>
      </w:pPr>
      <w:r>
        <w:rPr>
          <w:rFonts w:ascii="Arial" w:cs="Arial" w:eastAsia="Arial" w:hAnsi="Arial"/>
          <w:sz w:val="17"/>
          <w:szCs w:val="17"/>
          <w:color w:val="auto"/>
        </w:rPr>
        <w:t>AAV gene therapies to deliver monoclonal antibodies to the brain directed against alpha-synuclein as potential new treatments for Parkinson’s disease and other alpha-synuclein-related neurodegenerative diseases.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23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alpha-synuclein program is currently in the preclinical stage. We have agreed to collaborate with AbbVie on the research, development, and commercialization of specified vectorized antibody compounds comprised of an AAV or other viral capsid and a virus vector genome that encodes one or more antibodies directed against pathological species of alpha-synuclein for the potential treatment of Parkinson’s disease and other synucleinopathies. During the research period of our collaboration, we have agreed to conduct specified research activities to construct one or more virus vectors that encode antibodies designated by AbbVie, at our sole expense. AbbVie may exercise one or more of its exclusive development options to select up to a total of four research compounds and the corresponding product candidates to proceed to the development period.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Programs</w:t>
      </w:r>
    </w:p>
    <w:p>
      <w:pPr>
        <w:spacing w:after="0" w:line="256"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We are evaluating additional severe neurological diseases that could be treated using AAV gene therapy through application of either a gene replacement or a gene knockdown approach.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Tau Collaboration</w:t>
      </w:r>
    </w:p>
    <w:p>
      <w:pPr>
        <w:spacing w:after="0" w:line="252"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In February 2018, we entered into the AbbVie Tau Collaboration Agreement, for the research, development, and commercialization of AAV and other virus-based gene therapy products for the treatment of neurodegenerative diseases related to defective or excess aggregation of tau protein in the human brain, including Alzheimer’s disease.</w:t>
      </w:r>
    </w:p>
    <w:p>
      <w:pPr>
        <w:spacing w:after="0" w:line="175"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Under the AbbVie Tau Collaboration Agreement, we have agreed to collaborate with AbbVie on the research and development of specified vectorized antibody compounds comprised of an AAV or other viral capsid and a virus vector genome that encodes one or more antibodies that target and bind to a tau protein. The collaboration is comprised of a research period, a development period, and an exclusive license option.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Period and AbbVie Development Option</w:t>
      </w:r>
    </w:p>
    <w:p>
      <w:pPr>
        <w:spacing w:after="0" w:line="2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During the research period, each party has agreed to identify up to five antibodies for inclusion in the collaboration. Subject to certain conditions and exceptions, the parties will then select up to three antibodies, or the Research Antibodies, as candidates for creation of research compounds, or the Research Compounds, with AbbVie having the right to select two of the three Research Antibodies. We are obligated to use diligent efforts to conduct antibody engineering and other research activities to create Research Compounds and to develop product candidates containing or comprised of such Research Compounds. We will be solely responsible for the costs and expenses during the Research Period. During a specified portion of the Research Period, or the Development Option Period, AbbVie may exercise one or more of its exclusive development options, each of which we refer to as a Development Option, to select up to a total of three Research Compounds, or the Selected Research Compounds, and their corresponding product candidates, or the Selected Product Candidates, to proceed to the development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Period and AbbVie License Option</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During the development period, we are obligated to use diligent efforts to conduct development activities, including IND-enabling and Phase 1 clinical trial activities, for the Selected Research Compounds and corresponding Selected Product Candidates. We will be solely responsible for the costs and expenses during the development period. During a specified portion of the development period, or the License Option Period, AbbVie may exercise its exclusive license option, or the License Option, to further develop and commercialize all of the Research Compounds, or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Licensed Compounds, and corresponding product candidates, or the Licensed Products. Upon AbbVie’s exercise of its License Option, we have agreed to grant to AbbVie an exclusive, worldwide license, with the right to sublicense, under certain of our intellectual property rights to develop and commercialize the Licensed Compounds and the Licensed Products for all human diagnostic, prophylactic and therapeutic uses. In addition, after AbbVie’s exercise of the License Option, we have certain obligations to complete any remaining research and development activities that have not been completed for any Research Compounds and Product Candidates.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research and development activities will be conducted pursuant to the plans agreed to by the parties and overseen by a joint governance committee, or JGC, comprised of an equal number of representatives from each party. Prior to AbbVie’s exercise of its License Option, we will have final decision-making authority within the JGC, subject to specified limitations; thereafter, AbbVie will have final decision-making authority, subject to specified limitations. Any material amendment to the research or development plans, however, must be mutually agreed to by the parties, which may be through the JGC.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Under the AbbVie Tau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our obligation to complete any remaining research and development activities set forth in the agreed-upon plans), except that we may elect to share in AbbVie’s development costs relating to a Licensed Product on an indication-by-indication basis in exchange for a specified increase in royalties. If we exercise this cost-sharing option, we may either reimburse AbbVie for AbbVie’s applicable development costs or, in the case of certain budget overruns, AbbVie may instead deduct applicable development costs, up to a specified cap, from milestone and royalty payments owed by AbbVie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During both the research period and the development period, we will be solely responsible for the manufacture and supply of all preclinical and clinical requirements for the Research Compounds and Product Candidates. If AbbVie were to exercise its License Option, we would be required, at AbbVie’s request, to effect a full transfer of the manufacturing process for each Licensed Compound and corresponding Licensed Product to AbbVie. Following such transfer, we have agreed to disclose, on a continuing basis, all modifications, enhancements and improvements to manufacturing processes for the Licensed Products, and AbbVie has agreed to grant to us a non-exclusive, royalty-free license to modifications to the manufacturing process made by AbbVie, in each case subject to specified limitations.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23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6"/>
          <w:szCs w:val="16"/>
          <w:color w:val="auto"/>
        </w:rPr>
        <w:t>Under the terms of the AbbVie Tau Collaboration Agreement, AbbVie paid us an upfront payment of $69.0 million in February 2018. AbbVie has also agreed to pay us within 30 days after the applicable exercise date: (1) upon AbbVie’s exercise of a Development Option, (a) $80.0 million for the first Selected Research Compound and its corresponding Selected Product Candidate and (b) $30.0 million each for up to two additional Selected Research Compounds and their corresponding Selected Product Candidates, and (2) upon AbbVie’s exercise of the License Option, a one-time payment of $75.0 million. We will be eligible to receive (1) specified development and first-sale milestone payments for each Licensed Compound of up to an aggregate of $550.0 million in the case of an Alzheimer’s disease indication, up to $230.0 million in the case of the first indication other than Alzheimer’s disease, and $115.0 million for subsequent non-Alzheimer’s disease indication; and (2) tiered, escalating royalties, in a range from a high-single digit to a mid-to-high teen (or, if we have exercised our cost-sharing option, low-twenties) percentage of aggregate net sales of Licensed Products on a Licensed Compound by Licensed Compound basis. The royalties are subject to potential reductions for biosimilar market penetration, patent claim expiration, and other provisions, subject to specified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limits. For each Licensed Product, AbbVie may make a one-time request either to decrease its royalty payments to a specified low-single digit percentage or to terminate them altogether in exchange for a one-time payment by AbbVie at a fair market value to be negotiated by the parties. If the parties are not able to agree to the terms of such buy-down, the parties may seek a fair market value determination for the buy-down pursuant to dispute resolution procedures specified in the AbbVie Tau Collaboration Agreement.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Under the terms of the AbbVie Tau Collaboration Agreement, each party will own the entire right, title and interest in and to all know-how and patent rights first made or invented solely by it or its affiliates or its or their sublicensees in the course of the collaboration, with certain specified exceptions. Also subject to specified exceptions, the parties will jointly own all rights, title and interest in and to all know-how and patent rights first made or invented jointly by such party or its affiliates or its or their sublicensees in the course of the collaboration. Regardless of whether AbbVie has exercised a Development Option or the License Option, we have agreed to grant AbbVie perpetual, exclusive or non-exclusive (as the case may be), worldwide licenses to certain know-how and patent rights developed by us or jointly by the parties arising from the collaboration.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25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During the term of the AbbVie Tau Collaboration Agreement, (i) neither party nor any of its respective affiliates is permitted to directly or indirectly exploit any vectorized antibody compound targeting a tau protein, which we refer to as Vectorized Antibody Exclusivity, and (ii) neither we nor any of our affiliates is permitted to directly exploit any Research Antibody targeting a tau protein, which we refer to as Research Antibody Exclusivity, in each case subject to specified exceptions, including our conduct of basic research.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252"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Unless earlier terminated, the AbbVie Tau Collaboration Agreement will expire on the earliest to occur of the expiration of (i) the Development Option Period, without AbbVie’s exercise of a Development Option; (ii) the License Option Period, without AbbVie’s exercise of its License Option; and (iii) the last-to-expire royalty term with respect to all Licensed Products in all countries. Subject to a cure period, either we or AbbVie may terminate the AbbVie Tau Collaboration Agreement, in whole or, in the case of us, in part, subject to specified conditions, in the event of the other party’s uncured material breach. Either we or AbbVie may also terminate, subject to specified conditions, for insolvency of the other party, certain failures or delays to obtain certain regulatory clearances of the collaboration, or a joint determination of scientific infeasibility by the parties. AbbVie may terminate the AbbVie Tau Collaboration Agreement (i) without cause, in its entirety or, after its exercise of the License Option, on a country-by-country basis, with 180 days’ prior written notice or</w:t>
      </w:r>
    </w:p>
    <w:p>
      <w:pPr>
        <w:spacing w:after="0" w:line="4" w:lineRule="exact"/>
        <w:rPr>
          <w:sz w:val="20"/>
          <w:szCs w:val="20"/>
          <w:color w:val="auto"/>
        </w:rPr>
      </w:pPr>
    </w:p>
    <w:p>
      <w:pPr>
        <w:ind w:right="40" w:firstLine="2"/>
        <w:spacing w:after="0" w:line="239"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our non-compliance with certain anti-bribery or anti-corruption covenants. We may terminate the AbbVie Tau Collaboration Agreement, subject to specified conditions, if AbbVie or its affiliates challenge the validity or enforceability of certain of our, or jointly-held intellectual property rights.</w:t>
      </w:r>
    </w:p>
    <w:p>
      <w:pPr>
        <w:spacing w:after="0" w:line="23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Upon termination in certain cases, AbbVie has agreed to grant to us reversionary licenses to certain Licensed Compounds. In such case, we may be required to pay royalties to AbbVie in a range from a low to high single digit percentage of net sales of Licensed Products containing or comprised of such License Compound, subject to potential reduction in some cases. Additionally, upon termination in certain cases, the Vectorized Antibody Exclusivity and Research Antibody Exclusivity will survive until the third anniversary of the termination date. If the parties mutually agree to terminate for infeasibility or AbbVie terminates for our failure to deliver a final research or development report, neither us nor any of its affiliates may directly or indirectly exploit a vectorized antibody compound that targets or binds to a tau protein for 18 months after the termination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Neurocrine Collaboration</w:t>
      </w:r>
    </w:p>
    <w:p>
      <w:pPr>
        <w:spacing w:after="0" w:line="252"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In January 2019, we entered into the Neurocrine Collaboration Agreement for the research, development and commercialization of certain of our AAV gene therapy products. Under the Neurocrine Collaboration Agreement, upon the expiration or termination of applicable waiting periods and the receipt of any required approvals or clearances including antitrust clearance, we have agreed to collaborate on the conduct of four collaboration programs, which we refer to collectively as the Neurocrine Programs: the VY-AADC Program for the treatment of Parkinson’s disease, the FA Program for the treatment of Friedreich’s ataxia including the development of the VY-FXN01 product candidate, which together with the VY-AADC Program, we refer to as the Existing Programs, and two programs to be determined by us and Neurocrine at a later date, which we refer to as the Discovery Programs.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Licenses</w:t>
      </w:r>
    </w:p>
    <w:p>
      <w:pPr>
        <w:spacing w:after="0" w:line="239"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Under the terms of the Neurocrine Collaboration Agreement, subject to the rights retained by us thereunder, we have agreed to collaborate with Neurocrine on, and to grant, exclusive, royalty-bearing, non-transferable, sublicensable licenses to certain of our intellectual property rights, for all human and veterinary diagnostic, prophylactic, and therapeutic uses, for the research, development, and commercialization of gene therapy products, which we refer to as the Collaboration Products, under (i) the VY-AADC Program, on a worldwide basis; (ii) the FA Program, in the United States and, all countries in the world in which the Neurocrine Collaboration Agreement remains in effect with respect to the FA Program; and (iii) each Discovery Program, on a worldwide basis.</w:t>
      </w:r>
    </w:p>
    <w:p>
      <w:pPr>
        <w:spacing w:after="0" w:line="167"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212529"/>
        </w:rPr>
        <w:t>As a result of the June 2019 Sanofi Genzyme Termination Agreement, we gained worldwide rights to the Huntington’s Program and ex-U.S. rights to the FA program. We subsequently transferred the ex-U.S. rights to the FA Program to Neurocrine pursuant to the Neurocrine Collaboration Agreement. To facilitate our transfer of the ex-U.S. rights to the FA Program to Neurocrine, we and Neurocrine amended the Neurocrine Collaboration Agreement and we received a $5.0 million payment from Neurocrine.</w:t>
      </w:r>
    </w:p>
    <w:p>
      <w:pPr>
        <w:spacing w:after="0" w:line="17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7"/>
          <w:szCs w:val="17"/>
          <w:color w:val="auto"/>
        </w:rPr>
        <w:t>Pursuant to development plans to be agreed by the parties, which will be overseen by a joint steering committee, or JSC, we have operational responsibility, subject to certain exceptions, for the conduct of each Neurocrine Program prior to the Transition Event for each Program, as described below, and are required to use commercially reasonable efforts to develop the Collaboration Products. Neurocrine has agreed to be responsible for all costs incurred by us in conducting these activities for each Neurocrine Program, in accordance with an agreed budget. If we breach our development responsibilities or in certain circumstances upon a change in control of us, Neurocrine has the right but not the obligation to assume the activities under such Neurocrine Program.</w:t>
      </w:r>
    </w:p>
    <w:p>
      <w:pPr>
        <w:spacing w:after="0" w:line="167"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Upon the occurrence of a specified event for each Neurocrine Program, or a Transition Event, Neurocrine has agreed to assume responsibility for development, manufacturing and commercialization activities for such Neurocrine Program from us and to pay milestones and royalties on future net sales as described further below. For each Existing Program, we have the option, or a Co-Co Option, to co-develop and co-commercialize such Neurocrine Program upon the occurrence of a specified event, or a Co-Co Trigger Event. Should we elect to exercise our Co-Co Option, we have agreed to enter into a cost- and profit-sharing arrangement with Neurocrine, or a Co-Co Agreement, whereby we have agreed to jointly develop and commercialize Collaboration Products for such Neurocrine Program, or Co-Co Products, and share in its costs, profits and losses, and we agree to forfeit certain milestones and royalties on net sales in the United States during the effective period of the applicable Co-Co Agreement. The Transition Events are (i) with respect to the VY-AADC Program, our receipt of topline data for the ongoing RESTORE-1 Phase 2 clinical trial for VY-AADC (NBIb-1817); (ii) with respect to the FA Program, our receipt of topline data for the initial Phase 1 clinical trial for an</w:t>
      </w:r>
    </w:p>
    <w:p>
      <w:pPr>
        <w:spacing w:after="0" w:line="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FA Program product candidate; and (iii) with respect to each Discovery Program, the preparation by us and the approval by Neurocrine of an investigational new drug application to be filed with the FDA by Neurocrine for the first development candidate in such Discovery Program. The Co-Co Trigger Events are (i) with respect to the VY-AADC Program, our receipt of topline data for the ongoing RESTORE-1 Phase 2 clinical trial for VY-AADC (NBIb-1817) and (ii) with respect to the FA Program, the achievement of milestones or metrics specified in the applicable development plan, as determined by the JSC.</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exceptions specified in the Neurocrine Collaboration Agreement, profits and losses under our Co-Co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Option are agreed to be allocated (i) 50% to Neurocrine and 50% to us for a Collaboration Product from the VY-AADC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Program and (ii) 60% to Neurocrine and 40% to us for a Collaboration Product from the FA Program; provided, however,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that Neurocrine may elect, within a specified period following the acceptance for filing of a BLA from the FDA, to pay 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$35.0 million rate-shifting fee to us to change the allocation for the VY-AADC Program to 55% to Neurocrine and 45% to us.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parties have agreed that each Co-Co Agreement will provide us the right to terminate for any reason upon prior written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notice to Neurocrine and Neurocrine the right to terminate in certain circumstances upon our change of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Our research and development activities under the Neurocrine Collaboration Agreement are to be conducted pursuant to plans agreed to by the parties, on a program-by-program basis, and overseen by the JSC, which is composed of an equal number of representatives from the parties. The JSC may delegate matters within its authority to subcommittees of the JSC. In addition, the Neurocrine Collaboration Agreement establishes working groups to handle specified matters on a subject matter-by-subject matter basis. If a working group or subcommittee cannot agree on a matter within its purview within a specified time, such matter is to be referred sequentially to the JSC and then the executive officers of the parties. If the executive officers are not able to resolve the matter, then (i) with respect to each Existing Program, subject to specified exceptions, (x) Neurocrine has the right to resolve such matter prior to our exercise of our Co-Co Option with regard to such Co-Co Product or if such Co-Co Option expires or goes unexercised and (y) following the timely exercise by us of our Co-Co Option, depending on the subject of such matter, either Neurocrine, in certain instances, or the parties jointly or the JSC, in other instances, would have the right to resolve such matter, and (ii) with respect to Discovery Programs, subject to specified exceptions, Neurocrine has the right to resolve such matter.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 Selection</w:t>
      </w:r>
    </w:p>
    <w:p>
      <w:pPr>
        <w:spacing w:after="0" w:line="252"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The parties have committed, following the effective date of the Neurocrine Collaboration Agreement, to agree on a list of up to eight target genes, or Targets, from which Neurocrine has the right to nominate Targets for the two Discovery Programs. Each Target for the Discovery Programs must be approved by a consensus of the JSC or the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39"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Prior to the Transition Event for a Neurocrine Program, we are responsible for the manufacture of any Collaboration Products for the Program. Following the Transition Event, the parties shall negotiate the manufacturing and supply responsibilities, subject to the terms of any applicable Co-Co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Under the terms of the Neurocrine Collaboration Agreement, Neurocrine has paid us an upfront payment of $115.0 million. In connection with the Neurocrine Collaboration Agreement, Neurocrine also paid us $50.0 million as consideration for an equity purchase of 4,179,728 shares of our common stock. The Neurocrine Collaboration Agreement provides for aggregate development milestone payments from Neurocrine to us for Collaboration Products under (i) the VY-AADC Program of up to $170.0 million; (ii) the FA Program of up to $195.0 million, and (iii) each of the two Discovery Programs of up to $130.0 million per Discovery Program. We may be entitled to receive aggregate commercial milestone payments for each Collaboration Product of up to $275.0 million, subject to an aggregate cap on commercial milestone payments across all Neurocrine Programs of $1.1 billion.</w:t>
      </w:r>
    </w:p>
    <w:p>
      <w:pPr>
        <w:spacing w:after="0" w:line="209"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Neurocrine has also agreed to pay us royalties, based on future net sales of the Collaboration Products. Such royalty percentages, for net sales in and outside the United States, as applicable, range (i) for the VY-AADC Program, from the mid-teens to thirty and the low-teens to twenty, respectively; (ii) for the FA Program, from the low-teens to high-teens and high-single digits to mid-teens, respectively; and (iii) for each Discovery Program, from the high-single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digits to mid-teens and mid-single digits to low-teens, respectively. On a country-by-country and program-by-program basis, royalty payments would commence on the first commercial sale of a Collaboration Product and terminate on the later of</w:t>
      </w:r>
    </w:p>
    <w:p>
      <w:pPr>
        <w:spacing w:after="0" w:line="1" w:lineRule="exact"/>
        <w:rPr>
          <w:sz w:val="20"/>
          <w:szCs w:val="20"/>
          <w:color w:val="auto"/>
        </w:rPr>
      </w:pPr>
    </w:p>
    <w:p>
      <w:pPr>
        <w:ind w:right="20" w:firstLine="2"/>
        <w:spacing w:after="0" w:line="264" w:lineRule="auto"/>
        <w:tabs>
          <w:tab w:leader="none" w:pos="2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expiration of the last patent covering the Collaboration Product or its method of use in such country, (b) 10 years from the first commercial sale of the Collaboration Product in such country and (c) the expiration of regulatory exclusivity in such country, or the Royalty Term. Royalty payments may be reduced by up to 50% in specified circumstances, including expiration of patents rights related to a Collaboration Product, approval of biosimilar products in a given country or required payment of licensing fees to third parties related to the development and commercialization of any Collaboration Product. Additionally, the licenses granted to Neurocrine shall automatically convert to fully paid-up, non-royalty bearing, perpetual, irrevocable, exclusive licenses on a country-by-country and product-by-product basis upon the expiration of the Royalty Term applicable to such Collaboration Product in such country.</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Intellectual Property</w:t>
      </w:r>
    </w:p>
    <w:p>
      <w:pPr>
        <w:spacing w:after="0" w:line="236" w:lineRule="exact"/>
        <w:rPr>
          <w:sz w:val="20"/>
          <w:szCs w:val="20"/>
          <w:color w:val="auto"/>
        </w:rPr>
      </w:pPr>
    </w:p>
    <w:p>
      <w:pPr>
        <w:jc w:val="both"/>
        <w:ind w:right="100" w:firstLine="648"/>
        <w:spacing w:after="0" w:line="243" w:lineRule="auto"/>
        <w:rPr>
          <w:sz w:val="20"/>
          <w:szCs w:val="20"/>
          <w:color w:val="auto"/>
        </w:rPr>
      </w:pPr>
      <w:r>
        <w:rPr>
          <w:rFonts w:ascii="Arial" w:cs="Arial" w:eastAsia="Arial" w:hAnsi="Arial"/>
          <w:sz w:val="18"/>
          <w:szCs w:val="18"/>
          <w:color w:val="auto"/>
        </w:rPr>
        <w:t>Under the terms of the Neurocrine Collaboration Agreement and subject to specified exceptions therein, each party owns the entire right, title and interest in and to all intellectual property rights made solely by its employees or agents in the course of the collaboration. The parties jointly own all rights, title and interest in and to all intellectual property rights made or invented jointly by employees or agents of both parties</w:t>
      </w:r>
      <w:r>
        <w:rPr>
          <w:rFonts w:ascii="Arial" w:cs="Arial" w:eastAsia="Arial" w:hAnsi="Arial"/>
          <w:sz w:val="18"/>
          <w:szCs w:val="18"/>
          <w:i w:val="1"/>
          <w:i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252"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During the term of the Neurocrine Collaboration Agreement, neither party nor any of its respective affiliates is permitted to directly or indirectly exploit any AAV-based gene therapy products directed to a Target to which a Collaboration Product is directed, subject to specified exceptions, including the parties’ conduct of basic research and our activities under the Sanofi Genzyme Collaboration.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252"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Unless earlier terminated, the Neurocrine Collaboration Agreement expires on the later of (i) the expiration of the last to expire Royalty Term with respect to a Collaboration Product in all countries in the relevant territory or (ii) the expiration or termination of all Co-Co Agreements. Neurocrine may terminate the Neurocrine Collaboration Agreement in its entirety or on a program-by-program or country-by-country basis by providing at least (a) 180-day advance notice if such notice is provided prior to the first commercial sale of the Collaboration Product to which the termination applies or (b) one-year advance notice if such notice is provided after the first commercial sale of the Collaboration Product to which the termination applies. We may terminate the Neurocrine Collaboration Agreement, subject to specified conditions, if</w:t>
      </w:r>
    </w:p>
    <w:p>
      <w:pPr>
        <w:spacing w:after="0" w:line="1" w:lineRule="exact"/>
        <w:rPr>
          <w:sz w:val="20"/>
          <w:szCs w:val="20"/>
          <w:color w:val="auto"/>
        </w:rPr>
      </w:pPr>
    </w:p>
    <w:p>
      <w:pPr>
        <w:ind w:firstLine="2"/>
        <w:spacing w:after="0" w:line="253" w:lineRule="auto"/>
        <w:tabs>
          <w:tab w:leader="none" w:pos="2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Neurocrine fails to make the equity purchase of 4,179,728 shares of our common stock, for an aggregate purchase price of approximately $50.0 million, or (ii) Neurocrine challenges the validity or enforceability of certain of our intellectual property rights. Subject to a cure period, either party may terminate the Neurocrine Collaboration Agreement in the event of a material breach by the other party in whole or in part, subject to specified conditions. Either party may also terminate the Neurocrine Collaboration Agreement if specified regulatory agencies seek to enjoin the transaction or if the parties are unable to obtain antitrust clearance within 180 days of the applicable antitrust filings.</w:t>
      </w:r>
    </w:p>
    <w:p>
      <w:pPr>
        <w:spacing w:after="0" w:line="179" w:lineRule="exact"/>
        <w:rPr>
          <w:sz w:val="20"/>
          <w:szCs w:val="20"/>
          <w:color w:val="auto"/>
        </w:rPr>
      </w:pPr>
    </w:p>
    <w:p>
      <w:pPr>
        <w:ind w:firstLine="648"/>
        <w:spacing w:after="0" w:line="299" w:lineRule="auto"/>
        <w:rPr>
          <w:sz w:val="20"/>
          <w:szCs w:val="20"/>
          <w:color w:val="auto"/>
        </w:rPr>
      </w:pPr>
      <w:r>
        <w:rPr>
          <w:rFonts w:ascii="Arial" w:cs="Arial" w:eastAsia="Arial" w:hAnsi="Arial"/>
          <w:sz w:val="16"/>
          <w:szCs w:val="16"/>
          <w:color w:val="auto"/>
        </w:rPr>
        <w:t>Upon termination in certain cases, Neurocrine has agreed to grant to us licenses to certain Neurocrine intellectual property, subject to a negotiation between the parties to establish royalty rates for use of such intellectual property. In the event of a breach by us with respect to a Neurocrine Program, if such termination were to occur after a Transition Event, then</w:t>
      </w:r>
    </w:p>
    <w:p>
      <w:pPr>
        <w:spacing w:after="0" w:line="2" w:lineRule="exact"/>
        <w:rPr>
          <w:sz w:val="20"/>
          <w:szCs w:val="20"/>
          <w:color w:val="auto"/>
        </w:rPr>
      </w:pPr>
    </w:p>
    <w:p>
      <w:pPr>
        <w:ind w:right="100" w:firstLine="2"/>
        <w:spacing w:after="0" w:line="274" w:lineRule="auto"/>
        <w:tabs>
          <w:tab w:leader="none" w:pos="2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Co-Co Agreement is in effect with respect to such program, Neurocrine can terminate the Co-Co Agreement for such program and we would no longer have co-development and co-commercialization rights with respect to the Collaboration Product and (ii) subject to any license agreements, Neurocrine would no longer have any obligations with respect to any Collaboration Products resulting from such program.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Alpha-Synuclein Collaboration</w:t>
      </w:r>
    </w:p>
    <w:p>
      <w:pPr>
        <w:spacing w:after="0" w:line="171" w:lineRule="exact"/>
        <w:rPr>
          <w:sz w:val="20"/>
          <w:szCs w:val="20"/>
          <w:color w:val="auto"/>
        </w:rPr>
      </w:pPr>
    </w:p>
    <w:p>
      <w:pPr>
        <w:ind w:right="380" w:firstLine="648"/>
        <w:spacing w:after="0" w:line="275" w:lineRule="auto"/>
        <w:rPr>
          <w:sz w:val="20"/>
          <w:szCs w:val="20"/>
          <w:color w:val="auto"/>
        </w:rPr>
      </w:pPr>
      <w:r>
        <w:rPr>
          <w:rFonts w:ascii="Arial" w:cs="Arial" w:eastAsia="Arial" w:hAnsi="Arial"/>
          <w:sz w:val="18"/>
          <w:szCs w:val="18"/>
          <w:color w:val="auto"/>
        </w:rPr>
        <w:t>In February 2019, we entered into the AbbVie Alpha-Synuclein Collaboration Agreement with AbbVie for the research, development and commercialization of AAV and other virus-based gene therapy products directed against pathological species of alpha-synuclein for the potential treatment of indications including Parkinson’s disease and other synucleinopathies.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AbbVie Options</w:t>
      </w:r>
    </w:p>
    <w:p>
      <w:pPr>
        <w:spacing w:after="0" w:line="158"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Under the AbbVie Alpha-Synuclein Collaboration Agreement, we and AbbVie have agreed to collaborate on the research and development of specified vectorized antibody compounds comprised of an AAV or other viral capsid and a virus vector genome that encodes one or more antibodies that target and bind to the alpha-synuclein protein. The collaboration is comprised of a research period and a development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Period and AbbVie Development Option</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During the research period, we are obligated to conduct research activities directed to constructing one or more virus vectors that encode antibodies designated by AbbVie, or AbbVie Designated Antibodies, which initially are to be antibodies provided by AbbVie. We are obligated to use diligent efforts to conduct research activities to create research compounds and to develop product candidates containing or comprised of such research compounds. We are solely responsible for the costs and expenses during the research period. During a specified portion of the research period, AbbVie may exercise one or more of its exclusive development options to select up to a total of four research compounds and their corresponding Product candidates to proceed to the development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Period and AbbVie License Option</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During the development period, we are obligated to use diligent efforts to conduct development activities, including IND application-enabling and Phase 1 clinical trial activities, for the selected research compounds and corresponding selected product candidates. We are solely responsible for the costs and expenses during the development period. During a specified portion of the development period, AbbVie may exercise its exclusive license option to further develop and commercialize all of the research compounds and corresponding product candidates. Upon AbbVie’s exercise of its license option, we have agreed to grant to AbbVie an exclusive, worldwide license, with the right to sublicense, under certain of our intellectual property rights to develop and commercialize the licensed compounds and the licensed products for all human diagnostic, prophylactic and therapeutic uses. In addition, after AbbVie’s exercise of the license option, we have certain obligations to complete any remaining research and development activities that have not been completed for any research compounds and product candidates.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58"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Our research and development activities are to be conducted pursuant to the plans agreed to by the parties and overseen by a joint governance committee, or the ASN JGC, comprised of an equal number of representatives from each of us and AbbVie. Prior to AbbVie’s exercise of its License Option, we have final decision-making authority within the ASN JGC, subject to specified limitations; thereafter, AbbVie is entitled to final decision-making authority, subject to specified limitations. Any material amendment to the research or development plans, however, must be mutually agreed to by the parties, which may be through the ASN JGC.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171"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16"/>
          <w:szCs w:val="16"/>
          <w:color w:val="auto"/>
        </w:rPr>
        <w:t>Under the AbbVie Alpha-Synuclein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our obligation to complete any remaining research and development activities set forth in the agreed-upon plans.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71" w:lineRule="exact"/>
        <w:rPr>
          <w:sz w:val="20"/>
          <w:szCs w:val="20"/>
          <w:color w:val="auto"/>
        </w:rPr>
      </w:pPr>
    </w:p>
    <w:p>
      <w:pPr>
        <w:ind w:right="200" w:firstLine="648"/>
        <w:spacing w:after="0" w:line="309" w:lineRule="auto"/>
        <w:rPr>
          <w:sz w:val="20"/>
          <w:szCs w:val="20"/>
          <w:color w:val="auto"/>
        </w:rPr>
      </w:pPr>
      <w:r>
        <w:rPr>
          <w:rFonts w:ascii="Arial" w:cs="Arial" w:eastAsia="Arial" w:hAnsi="Arial"/>
          <w:sz w:val="16"/>
          <w:szCs w:val="16"/>
          <w:color w:val="auto"/>
        </w:rPr>
        <w:t>During both the research period and the development period, we are solely responsible for the manufacture and supply of all pre-clinical and clinical requirements for the research compounds and product candidates. If AbbVie were to exercise its license option, we would be required, at AbbVie’s request, to effect a full transfer of the manufacturing process for each licensed compound and corresponding licensed product to AbbVie. Following such transfer, we have agreed to disclose, on a continuing basis, all modifications, enhancements and improvements to manufacturing processes for the licensed products, and AbbVie has agreed to grant to us a non-exclusive, royalty-free license to modifications to the manufacturing process made by AbbVie, in each case, subject to specified limitations.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w:t>
      </w:r>
    </w:p>
    <w:p>
      <w:pPr>
        <w:spacing w:after="0" w:line="171"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Under the terms of the AbbVie Alpha-Synuclein Collaboration Agreement, AbbVie has agreed to pay us an upfront payment of $65.0 million within 15 business days of entry into the AbbVie Alpha-Synuclein Collaboration Agreement. AbbVie has also agreed to pay to us, within 30 days after the applicable exercise date: (i) upon AbbVie’s exercise of a development option, (a) $80.0 million for the first selected research compound and its corresponding selected product candidate and (b) $30.0 million each for up to three additional selected research compounds and their corresponding selected product candidates, and (ii) upon AbbVie’s exercise of the license option, a one-time payment of $75.0 million. We are eligible to receive (i) specified regulatory milestone payments for each licensed compound of up to an aggregate of $450.0 million in the case of a Parkinson’s disease indication and up to $185.0 million in the case of the first indication other than Parkinson’s disease and $92.5 million for a subsequent non-Parkinson’s disease indication; (ii) specified commercial milestone payments for all licensed products for all indications up to an aggregate of $500.0 million; and (iii) tiered, escalating royalties, in the mid-single digit percentage range for aggregate net sales of licensed products on a licensed compound by licensed compound basis. The royalties are subject to potential reductions for biosimilar market penetration, patent claim expiration, and other provisions, subject to specified limits. Subject to certain exceptions, we and AbbVie have agreed to be financially responsible for all payments owed to a third party with which it has contracted for any use of in-licensed intellectual property under the AbbVie Alpha-Synuclein Collaboration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Under the terms of the AbbVie Alpha-Synuclein Collaboration Agreement, each party owns the entire right, title and interest in and to all know-how and patent rights first made or invented solely by it or its affiliates or its or their sublicensees in the course of the collaboration, with certain specified exceptions. Also subject to specified exceptions, the parties jointly own all rights, title and interest in and to all know-how and patent rights first made or invented jointly by such party or its affiliates or its or their sublicensees in the course of the collaboration. Regardless of whether AbbVie has exercised a development option or the license option, we have agreed to grant AbbVie perpetual, exclusive or non-exclusive (as the case may be), worldwide licenses to certain know-how and patent rights developed by the Company or jointly by the parties arising from the collaboration.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71" w:lineRule="exact"/>
        <w:rPr>
          <w:sz w:val="20"/>
          <w:szCs w:val="20"/>
          <w:color w:val="auto"/>
        </w:rPr>
      </w:pPr>
    </w:p>
    <w:p>
      <w:pPr>
        <w:ind w:right="60" w:firstLine="648"/>
        <w:spacing w:after="0" w:line="272" w:lineRule="auto"/>
        <w:rPr>
          <w:sz w:val="20"/>
          <w:szCs w:val="20"/>
          <w:color w:val="auto"/>
        </w:rPr>
      </w:pPr>
      <w:r>
        <w:rPr>
          <w:rFonts w:ascii="Arial" w:cs="Arial" w:eastAsia="Arial" w:hAnsi="Arial"/>
          <w:sz w:val="18"/>
          <w:szCs w:val="18"/>
          <w:color w:val="auto"/>
        </w:rPr>
        <w:t>During the term of the AbbVie Alpha-Synuclein Collaboration Agreement, (i) neither party nor any of its respective affiliates is permitted to directly or indirectly exploit any vectorized antibody compound targeting the alpha-synuclein protein, or Vectorized Antibody Exclusivity and (ii) neither us nor any of our affiliates is permitted to directly or indirectly exploit any AbbVie Designated Antibody, in each case subject to specified exceptions, including AbbVie’s conduct of basic research.</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1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7"/>
          <w:szCs w:val="17"/>
          <w:color w:val="auto"/>
        </w:rPr>
        <w:t>Unless earlier terminated, the AbbVie Alpha-Synuclein Collaboration Agreement expires on the earliest to occur of the expiration of (i) the development option period, without AbbVie’s exercise of a development option; (ii) the license option period, without AbbVie’s exercise of its license option; and (iii) the last-to-expire royalty term with respect to all licensed products in all countries. Subject to a cure period, either party may terminate the AbbVie Alpha-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Synuclein Collaboration Agreement, in whole or, in the case of us, in part, subject to specified conditions, in the event of the other party’s uncured material breach. Either party may also terminate, subject to specified conditions, for insolvency of the other party, certain failures or delays to obtain certain regulatory clearances of the collaboration, or a joint determination of scientific infeasibility by the parties. AbbVie may terminate the AbbVie Alpha-Synuclein Collaboration Agreement (i) without cause, in its entirety or, after its exercise of the license option, on a country-by-country basis, with 180 days’ prior written notice or (ii) for our non-compliance with certain anti-bribery or anti-corruption covenants. We may terminate the AbbVie Alpha-Synuclein Collaboration Agreement, subject to specified conditions, if AbbVie or its affiliates challenge the validity or enforceability of certain of our or jointly-held intellectual property rights.</w:t>
      </w:r>
    </w:p>
    <w:p>
      <w:pPr>
        <w:spacing w:after="0" w:line="109"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Upon termination in certain cases, the Vectorized Antibody Exclusivity and AbbVie Designated Exclusivity survives until the third anniversary of the termination date. If the parties mutually agree to terminate for infeasibility or AbbVie terminates for our failure to deliver a final research or development report, neither we nor any of our affiliates may directly or indirectly exploit a vectorized antibody compound that targets or binds to the alpha-synuclein protein for 18 months after the termination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University of Massachusetts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On January 30, 2014, we entered into a license agreement with the University of Massachusetts, or UMass, pursuant to which UMass granted us an exclusive, worldwide, royalty-bearing license to certain of its licensed patents to make, have made, use, offer for sale, sell, have sold and import certain licensed products in the field of human diseases that use gene therapy applications. Our license is subject to any rights that may be required to be granted to the government of the United States, and UMass reserves the right to use the licensed patents for education and research and, with our consent, for non-commercial patient care, without the payment of any compensation to us.</w:t>
      </w:r>
    </w:p>
    <w:p>
      <w:pPr>
        <w:spacing w:after="0" w:line="216" w:lineRule="exact"/>
        <w:rPr>
          <w:sz w:val="20"/>
          <w:szCs w:val="20"/>
          <w:color w:val="auto"/>
        </w:rPr>
      </w:pPr>
    </w:p>
    <w:p>
      <w:pPr>
        <w:ind w:right="360" w:firstLine="648"/>
        <w:spacing w:after="0" w:line="274" w:lineRule="auto"/>
        <w:rPr>
          <w:sz w:val="20"/>
          <w:szCs w:val="20"/>
          <w:color w:val="auto"/>
        </w:rPr>
      </w:pPr>
      <w:r>
        <w:rPr>
          <w:rFonts w:ascii="Arial" w:cs="Arial" w:eastAsia="Arial" w:hAnsi="Arial"/>
          <w:sz w:val="16"/>
          <w:szCs w:val="16"/>
          <w:color w:val="auto"/>
        </w:rPr>
        <w:t>In consideration for rights granted to us under the agreement, we made an upfront payment of $0.2 million to UMass. We are obligated to pay UMass (i) low-single digit royalty payments based on net sales of the licensed products,</w:t>
      </w:r>
    </w:p>
    <w:p>
      <w:pPr>
        <w:spacing w:after="0" w:line="1" w:lineRule="exact"/>
        <w:rPr>
          <w:sz w:val="20"/>
          <w:szCs w:val="20"/>
          <w:color w:val="auto"/>
        </w:rPr>
      </w:pPr>
    </w:p>
    <w:p>
      <w:pPr>
        <w:ind w:left="260" w:hanging="258"/>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annual maintenance payments of $30.0 thousand, which are creditable against royalties payable in such period,</w:t>
      </w:r>
    </w:p>
    <w:p>
      <w:pPr>
        <w:spacing w:after="0" w:line="7" w:lineRule="exact"/>
        <w:rPr>
          <w:rFonts w:ascii="Arial" w:cs="Arial" w:eastAsia="Arial" w:hAnsi="Arial"/>
          <w:sz w:val="17"/>
          <w:szCs w:val="17"/>
          <w:color w:val="auto"/>
        </w:rPr>
      </w:pPr>
    </w:p>
    <w:p>
      <w:pPr>
        <w:ind w:right="300" w:firstLine="2"/>
        <w:spacing w:after="0" w:line="270" w:lineRule="auto"/>
        <w:tabs>
          <w:tab w:leader="none" w:pos="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minimum aggregate annual royalty payments that are creditable against royalties payable in such period, with the minimum aggregate amount payable being in the low-six digits for each of the first four years of this agreement and a minimum aggregate amount payable being in the mid-six digits for each year, thereafter, (iv) milestone payments of up to $1.8 million, per licensed product for the first five licensed products, based on the achievement of development and regulatory milestones and (v) a percentage of sublicensing income that decreases over time from low double digit percentages to a mid-single digit percentage. We also agreed to reimburse UMass approximately $0.7 million for patent related expenses incurred by UMass as of the effective date of the agreement over a two-year period.</w:t>
      </w:r>
    </w:p>
    <w:p>
      <w:pPr>
        <w:spacing w:after="0" w:line="196" w:lineRule="exact"/>
        <w:rPr>
          <w:sz w:val="20"/>
          <w:szCs w:val="20"/>
          <w:color w:val="auto"/>
        </w:rPr>
      </w:pPr>
    </w:p>
    <w:p>
      <w:pPr>
        <w:jc w:val="both"/>
        <w:ind w:right="660" w:firstLine="648"/>
        <w:spacing w:after="0" w:line="324" w:lineRule="auto"/>
        <w:rPr>
          <w:sz w:val="20"/>
          <w:szCs w:val="20"/>
          <w:color w:val="auto"/>
        </w:rPr>
      </w:pPr>
      <w:r>
        <w:rPr>
          <w:rFonts w:ascii="Arial" w:cs="Arial" w:eastAsia="Arial" w:hAnsi="Arial"/>
          <w:sz w:val="16"/>
          <w:szCs w:val="16"/>
          <w:color w:val="auto"/>
        </w:rPr>
        <w:t>Under the agreement, we agreed to use commercially reasonable efforts to develop licensed products and to introduce such licensed products into the commercial market, and further agreed to certain development milestones.</w:t>
      </w:r>
    </w:p>
    <w:p>
      <w:pPr>
        <w:spacing w:after="0" w:line="16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The agreement will terminate on the date that is the later of (i) seven years after the first commercial sale of the last licensed product under the agreement or (ii) such time as there are no valid claims covering a licensed product. We have the right to terminate the agreement for any reason upon 90 days prior written notice, and we and UMass have the right to terminate the agreement if the other party fails to cure a written breach within 60 days of receiving written notice of such breach.</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MassBiologics and UMass Collaboration Agreement</w:t>
      </w:r>
    </w:p>
    <w:p>
      <w:pPr>
        <w:spacing w:after="0" w:line="239" w:lineRule="exact"/>
        <w:rPr>
          <w:sz w:val="20"/>
          <w:szCs w:val="20"/>
          <w:color w:val="auto"/>
        </w:rPr>
      </w:pPr>
    </w:p>
    <w:p>
      <w:pPr>
        <w:ind w:right="280" w:firstLine="648"/>
        <w:spacing w:after="0" w:line="241" w:lineRule="auto"/>
        <w:rPr>
          <w:sz w:val="20"/>
          <w:szCs w:val="20"/>
          <w:color w:val="auto"/>
        </w:rPr>
      </w:pPr>
      <w:r>
        <w:rPr>
          <w:rFonts w:ascii="Arial" w:cs="Arial" w:eastAsia="Arial" w:hAnsi="Arial"/>
          <w:sz w:val="18"/>
          <w:szCs w:val="18"/>
          <w:color w:val="auto"/>
        </w:rPr>
        <w:t>On October 20, 2014, we entered into a Collaboration Agreement with UMass and MassBiologics, pursuant to which we shall (i) fund certain projects that will be conducted by UMass or MassBiologics, (ii) fund certain educational programs of UMass, including post-doctoral research at our laboratories beginning in 2015 and an annual lecture series beginning in 2015 and (iii) collaborate with MassBiologics to establish scalable processes for manufacturing recombinant AAV vector products using cGMP.</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2014, we agreed to the first project under this agreement whereby we funded approximately</w:t>
      </w:r>
    </w:p>
    <w:p>
      <w:pPr>
        <w:spacing w:after="0" w:line="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$2.9 million over a 16-month period for certain research and development services performed by MassBiologics. The project commenced in January 2015 and completed during 2016. We and UMass and/or MassBiologics may agree to conduct other projects in the future, the terms of which will be agreed upon at such time.</w:t>
      </w:r>
    </w:p>
    <w:p>
      <w:pPr>
        <w:spacing w:after="0" w:line="230"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This agreement will remain in effect for a period of five years and automatically renews for additional one-year periods. Either party has the right to terminate this agreement, once in each renewal period, for any reason upon providing the other party with 90 days written notice or in the event of a material breach of the agreement by the other party that is not cured within 60 days of written notice.</w:t>
      </w:r>
    </w:p>
    <w:p>
      <w:pPr>
        <w:spacing w:after="0" w:line="215"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We will own all intellectual property rights generated under this agreement, either by our employees, UMass and/or MassBiologics employees, or jointly by our employees and UMass and/or MassBiologics employees, that cover AAV materials. We and UMass and/or MassBiologics, as applicable, will jointly own any intellectual property rights generated under this agreement jointly by our employees and the employees of UMass and/or MassBiologics, as applicable, that do not cover AAV materials.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7"/>
          <w:szCs w:val="17"/>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207"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We are aware of several companies focused on developing AAV gene therapies in various indications, including AAVANTIBio, Inc., Abeona Therapeutics, Inc., Adverum Biotechnologies, Inc., Aevitas Therapeutics, Inc., Apic Bio, Inc., Applied Genetic Technologies Corporation, Asklepios BioPharmaceutical, Inc., Audentes Therapeutics, Inc., AveXis, Inc. (acquired by Novartis AG in 2018), or AveXis, Axovant Sciences Ltd., or Axovant, Biogen, Inc., or Biogen, Brain Neurotherapy Bio, Inc., GenSight Biologics SA, Homology Medicines, Inc., LogicBio Therapeutics, Inc., Lysogene SA, MeiraGTx Ltd., or MeiraGTx, Neurogene, Inc., Passage Bio, Inc., Pfizer, Inc., Prevail Therapeutics, Inc., PTC Therapeutics, Inc., REGENXBio Inc., Sarepta Therapeutics, Inc., Solid Biosciences, Inc., Spark Therapeutics, Inc. (acquired by F. Hoffmann-La Roche Ltd., or Roche, in 2019), or Spark, StrideBio, Inc., and uniQure NV, or uniQure,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21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We expect that VY-AADC (NBIb-1817) will compete with a variety of therapies currently marketed and in development for Parkinson’s disease, including DBS marketed by Medtronic plc, Abbott Laboratories (acquired from St. Jude Medical in 2017), and other medical device companies, DUOPA/Duodopa marketed by AbbVie, as well as other novel, non-oral forms of levodopa in development, including Mitsubishi Tanabe Pharma’s ND0612 (acquired from NeuroDerm in 2017), Acorda Therapeutics’ inhaled levodopa, INBRIJA (CVT-301), and Sunovion Pharmaceuticals’, or Sunovion’s, sublingual apomorphine, APL-130277. Gene therapy competition for Parkinson’s disease previously included AMT-090 or AAV-GDNF, but this was deprioritized by uniQure in 2016. Axovant is developing a second generation LentiVector gene therapy, AXO-Lenti-PD (previously OXB-102, licensed from Oxford Biomedica in 2018). MeiraGTx is developing AAV-GAD, acquired from Vector Neurosciences, Inc. in 2018.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expect that our preclinical programs will compete with a variety of therapies in development, including:</w:t>
      </w:r>
    </w:p>
    <w:p>
      <w:pPr>
        <w:spacing w:after="0" w:line="143" w:lineRule="exact"/>
        <w:rPr>
          <w:sz w:val="20"/>
          <w:szCs w:val="20"/>
          <w:color w:val="auto"/>
        </w:rPr>
      </w:pPr>
    </w:p>
    <w:p>
      <w:pPr>
        <w:ind w:left="1000" w:right="140" w:hanging="323"/>
        <w:spacing w:after="0" w:line="332"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VY-HTT01 for Huntington’s disease will potentially compete with RG6042 (IONIS-HTTR</w:t>
      </w:r>
      <w:r>
        <w:rPr>
          <w:rFonts w:ascii="Arial" w:cs="Arial" w:eastAsia="Arial" w:hAnsi="Arial"/>
          <w:sz w:val="26"/>
          <w:szCs w:val="26"/>
          <w:color w:val="auto"/>
          <w:vertAlign w:val="subscript"/>
        </w:rPr>
        <w:t>x</w:t>
      </w:r>
      <w:r>
        <w:rPr>
          <w:rFonts w:ascii="Arial" w:cs="Arial" w:eastAsia="Arial" w:hAnsi="Arial"/>
          <w:sz w:val="17"/>
          <w:szCs w:val="17"/>
          <w:color w:val="auto"/>
        </w:rPr>
        <w:t>) being developed by Roche in collaboration with Ionis Pharmaceuticals, Inc., or Ionis, WVE-120101 and WVE-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0" w:right="140"/>
        <w:spacing w:after="0" w:line="298" w:lineRule="auto"/>
        <w:rPr>
          <w:sz w:val="20"/>
          <w:szCs w:val="20"/>
          <w:color w:val="auto"/>
        </w:rPr>
      </w:pPr>
      <w:r>
        <w:rPr>
          <w:rFonts w:ascii="Arial" w:cs="Arial" w:eastAsia="Arial" w:hAnsi="Arial"/>
          <w:sz w:val="16"/>
          <w:szCs w:val="16"/>
          <w:color w:val="auto"/>
        </w:rPr>
        <w:t>120102 being developed by WAVE Life Sciences Ltd. in collaboration with Takeda Pharmaceutical Company Limited, or Takeda, a Zinc Finger Protein (ZFP) therapy being developed by Sangamo Therapeutics, Inc. in collaboration with Shire plc, and gene therapies being developed by uniQure and Spark;</w:t>
      </w:r>
    </w:p>
    <w:p>
      <w:pPr>
        <w:spacing w:after="0" w:line="2" w:lineRule="exact"/>
        <w:rPr>
          <w:sz w:val="20"/>
          <w:szCs w:val="20"/>
          <w:color w:val="auto"/>
        </w:rPr>
      </w:pPr>
    </w:p>
    <w:p>
      <w:pPr>
        <w:ind w:left="1000" w:hanging="323"/>
        <w:spacing w:after="0" w:line="26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VY-SOD102 for a monogenic form of ALS will potentially compete with BIIB067 (IONIS-SOD1R</w:t>
      </w:r>
      <w:r>
        <w:rPr>
          <w:rFonts w:ascii="Arial" w:cs="Arial" w:eastAsia="Arial" w:hAnsi="Arial"/>
          <w:sz w:val="27"/>
          <w:szCs w:val="27"/>
          <w:color w:val="auto"/>
          <w:vertAlign w:val="subscript"/>
        </w:rPr>
        <w:t>x</w:t>
      </w:r>
      <w:r>
        <w:rPr>
          <w:rFonts w:ascii="Arial" w:cs="Arial" w:eastAsia="Arial" w:hAnsi="Arial"/>
          <w:sz w:val="18"/>
          <w:szCs w:val="18"/>
          <w:color w:val="auto"/>
        </w:rPr>
        <w:t>) being developed by Biogen, in collaboration with Ionis, and gene therapies being developed by AveXis and Apic Bio, Inc.;VY-FXN01 for Friedreich’s ataxia will potentially compete with AAV gene therapies being developed by Pfizer, Inc., PTC Therapeutics, Inc., StrideBio, Inc. in collaboration with Takeda, AAVANTIBio, Inc., and AveXis;</w:t>
      </w:r>
    </w:p>
    <w:p>
      <w:pPr>
        <w:spacing w:after="0" w:line="186" w:lineRule="exact"/>
        <w:rPr>
          <w:rFonts w:ascii="Arial" w:cs="Arial" w:eastAsia="Arial" w:hAnsi="Arial"/>
          <w:sz w:val="18"/>
          <w:szCs w:val="18"/>
          <w:color w:val="auto"/>
        </w:rPr>
      </w:pPr>
    </w:p>
    <w:p>
      <w:pPr>
        <w:ind w:left="1000" w:right="180" w:hanging="323"/>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Tau program for tauopathies including Alzheimer’s disease, PSP, and FTD will potentially compete with tau antibodies being developed by Roche Genentech Inc. in collaboration with AC Immune SA, Eli Lilly &amp; Co., AbbVie, Biogen, and several other companies, as well as an antisense oligonucleotide program being developed by Ionis in collaboration with Biogen; and</w:t>
      </w:r>
    </w:p>
    <w:p>
      <w:pPr>
        <w:spacing w:after="0" w:line="119" w:lineRule="exact"/>
        <w:rPr>
          <w:rFonts w:ascii="Arial" w:cs="Arial" w:eastAsia="Arial" w:hAnsi="Arial"/>
          <w:sz w:val="18"/>
          <w:szCs w:val="18"/>
          <w:color w:val="auto"/>
        </w:rPr>
      </w:pPr>
    </w:p>
    <w:p>
      <w:pPr>
        <w:ind w:left="1000" w:hanging="323"/>
        <w:spacing w:after="0" w:line="25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alpha-synuclein program for synucleinopathies, including Parkinson’s disease, Lewy Body Dementia, and multiple system atrophy, will potentially compete with alpha-synuclein antibodies being developed by Roche in collaboration with Prothena Corporation, Biogen in collaboration with Neurimmune AG, AstraZeneca plc in collaboration with Takeda, and several other companies, as well as an antisense oligonucleotide program being developed by Ionis in collaboration with Biogen.</w:t>
      </w:r>
    </w:p>
    <w:p>
      <w:pPr>
        <w:spacing w:after="0" w:line="229"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In addition, companies that are currently engaged in gene therapy for non-neurological diseases could at any time decide to develop gene therapies for neurological diseases.</w:t>
      </w:r>
    </w:p>
    <w:p>
      <w:pPr>
        <w:spacing w:after="0" w:line="196"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 candidates and commercializing those product candidates. Accordingly, our competitors may be more successful than us in obtaining approval for product candidates and achieving widespread market acceptance. Our competitors’ product candidates may be more effective, or more effectively marketed and sold, than any product candidate we may commercialize and may render our treatments obsolete or non-competitive before we can recover the expenses of developing and commercializing any of our product candidates.</w:t>
      </w:r>
    </w:p>
    <w:p>
      <w:pPr>
        <w:spacing w:after="0" w:line="204"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230"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8"/>
          <w:szCs w:val="18"/>
          <w:color w:val="auto"/>
        </w:rPr>
        <w:t>We anticipate that we will face intense and increasing competition as new product candidates enter the market and advanced technologies become available. We expect any product candidates that we develop and commercialize to compete on the basis of, among other things, efficacy, safety, convenience of administration and delivery, price, and the availability of reimbursement from government and other third-party payers.</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baculovirus/Sf9 AAV production system, a technology for producing AAV vectors at scale in insect-derived cells. We focus on developing internal processes and capabilities to produce high-yield and high-quality gene therapies. The process has been successfully transferred to our contract manufacturing organizations where it is used in manufacturing of clinical materials in accordance with the FDA’s cGMP. We have entered into agreements with Brammer Bio and Fujifilm Diosynth Biotechnologies to further expand our manufacturing capabilities to support the development of our gene therapy programs. We have also built an onsite, state-of-the-art process research and development facility to enable the manufacturing of high quality AAV gene therapy vectors at laboratory scale.</w:t>
      </w:r>
    </w:p>
    <w:p>
      <w:pPr>
        <w:spacing w:after="0" w:line="205"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3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We strive to protect the proprietary technology, inventions, and know-how to enhance improvements that are commercially important to the development of our business, including seeking, maintaining, and defending patent rights, whether developed internally or licensed from third parties. We also rely on trade secrets and know-how relating to our proprietary technology platform, on continuing technological innovation and on in-licensing opportunities to develop, improve and maintain the strength of our position in the field of gene therapy that may be important for the development of our business. We additionally may rely on regulatory protection afforded through data exclusivity, market exclusivity and patent term extensions where available.</w:t>
      </w:r>
    </w:p>
    <w:p>
      <w:pPr>
        <w:spacing w:after="0" w:line="221"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Our commercial success may depend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 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22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We have 272 patent applications pending in the United States and foreign jurisdictions. At least 27 patent applications have been filed and are pending in the United States and foreign jurisdictions by or on behalf of universities which have granted us exclusive license rights to the technology. To date, 72 patents have issued to our licensors which have granted us exclusive license rights to the technology. To date, 106 patents have issued to our licensors which have granted us non-exclusive license rights to the technology with 45 applications pending. Our policy is to file patent applications to protect technology, inventions and improvements to inventions that are commercially important to the development of our business. We seek United States and international patent protection for a variety of technologies, including: research tools and methods, methods for transferring genetic material into cells, AAV-based biological products, methods of designing novel AAV constructs, methods for treating diseases of interest and methods for manufacturing our AAV-based products. We also intend to seek patent protection or rely upon trade secret rights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protect other technologies that may be used to discover and validate targets and that may be used to identify and develop novel biological products. We seek protection, in part, through confidentiality and proprietary information agreements. We are a party to various other license agreements that give us rights to use specific technologies in our 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Intellectual Property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Parkinson’s Disease</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own five pending patent families with three issued patents and 55 patent applications directed to AAV constructs encoding the gene AADC for therapeutic uses. Patents that grant from these patent families are generally expected to start to expire in 2035, subject to possible patent term extensions.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Huntington’s Disease</w:t>
      </w:r>
    </w:p>
    <w:p>
      <w:pPr>
        <w:spacing w:after="0" w:line="239"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We own five pending patent families with 31 patent applications directed to pharmaceutical compositions and methods for targeting HTT for the treatment of Huntington’s disease. Patents from this family are generally expected to start to expire in 2037, subject to possible patent term extensions.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We own five pending patent families with 28 patent applications directed to targeting SOD1 for the treatment of ALS, and we have an ownership interest in a sixth patent family with two patent applications directed to pharmaceutical compositions and methods for the treatment of ALS to protect our intellectual property arising from a funded grant from The Amyotrophic Lateral Sclerosis Association. We own one pending patent family with 1 patent application directed to chromosome 9 open reading frame 72, or C9orf72, for the treatment of ALS. Patents that grant from these patent families are generally expected to start to expire in 2035, subject to possible patent term extensions.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Friedreich’s Ataxia</w:t>
      </w:r>
    </w:p>
    <w:p>
      <w:pPr>
        <w:spacing w:after="0" w:line="252"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We own three pending patent families with 11 patent applications and we have an ownership interest in one pending patent family with two patent applications directed to AAVs encoding frataxin constructs for the treatment of Friedreich’s ataxia. Patents that grant from these patent families are generally expected to start to expire in 2036, subject to possible patent term extensions.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Tauopathies, Synucleinopathies and Antibodies</w:t>
      </w:r>
    </w:p>
    <w:p>
      <w:pPr>
        <w:spacing w:after="0" w:line="239"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We own seven pending patent families directed to antibodies with 16 patent applications. The first patent family has five patent applications directed to assays for the detection of neutralizing antibodies. The next six patent families have ten patent applications directed to vectorized antibodies and other therapies. The last patent family has one patent application directed to vectored augmentation of proteins. Patents from these families are generally expected to start to expire in 2036, subject to possible patent term extensions.</w:t>
      </w:r>
    </w:p>
    <w:p>
      <w:pPr>
        <w:spacing w:after="0" w:line="230" w:lineRule="exact"/>
        <w:rPr>
          <w:sz w:val="20"/>
          <w:szCs w:val="20"/>
          <w:color w:val="auto"/>
        </w:rPr>
      </w:pPr>
    </w:p>
    <w:p>
      <w:pPr>
        <w:ind w:right="400" w:firstLine="648"/>
        <w:spacing w:after="0" w:line="263" w:lineRule="auto"/>
        <w:rPr>
          <w:sz w:val="20"/>
          <w:szCs w:val="20"/>
          <w:color w:val="auto"/>
        </w:rPr>
      </w:pPr>
      <w:r>
        <w:rPr>
          <w:rFonts w:ascii="Arial" w:cs="Arial" w:eastAsia="Arial" w:hAnsi="Arial"/>
          <w:sz w:val="17"/>
          <w:szCs w:val="17"/>
          <w:color w:val="auto"/>
        </w:rPr>
        <w:t>We have one pending patent family with two patent applications directed to pharmaceutical compositions and methods for the treatment of Alzheimer’s Disease. We also have one pending patent family with one patent applications directed to pharmaceutical compositions and methods for the treatment of tauopathies. Patents from these families are generally expected to start to expire in 2040, subject to possible patent term extensions.</w:t>
      </w:r>
    </w:p>
    <w:p>
      <w:pPr>
        <w:spacing w:after="0" w:line="210" w:lineRule="exact"/>
        <w:rPr>
          <w:sz w:val="20"/>
          <w:szCs w:val="20"/>
          <w:color w:val="auto"/>
        </w:rPr>
      </w:pPr>
    </w:p>
    <w:p>
      <w:pPr>
        <w:ind w:right="280" w:firstLine="648"/>
        <w:spacing w:after="0" w:line="248" w:lineRule="auto"/>
        <w:rPr>
          <w:sz w:val="20"/>
          <w:szCs w:val="20"/>
          <w:color w:val="auto"/>
        </w:rPr>
      </w:pPr>
      <w:r>
        <w:rPr>
          <w:rFonts w:ascii="Arial" w:cs="Arial" w:eastAsia="Arial" w:hAnsi="Arial"/>
          <w:sz w:val="18"/>
          <w:szCs w:val="18"/>
          <w:color w:val="auto"/>
        </w:rPr>
        <w:t>We have one pending patent family with one patent applications directed to pharmaceutical compositions and methods for the treatment of Synucleinopathies. Patents from this family are generally expected to start to expire in 2040, subject to possible patent term extensions.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Neuropathic Pain</w:t>
      </w:r>
    </w:p>
    <w:p>
      <w:pPr>
        <w:spacing w:after="0" w:line="252" w:lineRule="exact"/>
        <w:rPr>
          <w:sz w:val="20"/>
          <w:szCs w:val="20"/>
          <w:color w:val="auto"/>
        </w:rPr>
      </w:pPr>
    </w:p>
    <w:p>
      <w:pPr>
        <w:ind w:right="400" w:firstLine="648"/>
        <w:spacing w:after="0" w:line="248" w:lineRule="auto"/>
        <w:rPr>
          <w:sz w:val="20"/>
          <w:szCs w:val="20"/>
          <w:color w:val="auto"/>
        </w:rPr>
      </w:pPr>
      <w:r>
        <w:rPr>
          <w:rFonts w:ascii="Arial" w:cs="Arial" w:eastAsia="Arial" w:hAnsi="Arial"/>
          <w:sz w:val="18"/>
          <w:szCs w:val="18"/>
          <w:color w:val="auto"/>
        </w:rPr>
        <w:t>We own one pending patent family with one patent application directed to pharmaceutical compositions and methods for the treatment of neuropathic pain. Patents from this family are generally expected to start to expire in 2040, subject to possible patent term extensions.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Regulatable Expression</w:t>
      </w:r>
    </w:p>
    <w:p>
      <w:pPr>
        <w:spacing w:after="0" w:line="252"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We own two pending patent families with five patent applications directed to regulatable expression control of AAV transgenes. Patents that grant from this patent family are generally expected to start to expire in 2036, subject to possible patent term extensions.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Delivery</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own one pending patent family with two patent applications directed to cannula delivery system and methods of use. Patents that grant from this patent family are generally expected to start to expire in 2039, subject to possible patent term extensions.</w:t>
      </w:r>
    </w:p>
    <w:p>
      <w:pPr>
        <w:spacing w:after="0" w:line="223"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We have an ownership interest in two pending patent families directed to trajectory array delivery devices, including the V-TAG device and methods of use. Patents that grant from these patent families are generally expected to start to expire in 2037, subject to possible patent term extensions.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Engineering</w:t>
      </w:r>
    </w:p>
    <w:p>
      <w:pPr>
        <w:spacing w:after="0" w:line="239"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We own eight pending patent families with 20 patent applications directed to AAV production and/or engineering of the capsid and we have an ownership interest in two patent families with two patent applications directed to engineering of the capsid. Patents that grant from these patent families are generally expected to start to expire in 2035, subject to possible patent term extensions.</w:t>
      </w:r>
    </w:p>
    <w:p>
      <w:pPr>
        <w:spacing w:after="0" w:line="229" w:lineRule="exact"/>
        <w:rPr>
          <w:sz w:val="20"/>
          <w:szCs w:val="20"/>
          <w:color w:val="auto"/>
        </w:rPr>
      </w:pPr>
    </w:p>
    <w:p>
      <w:pPr>
        <w:jc w:val="both"/>
        <w:ind w:right="100" w:firstLine="648"/>
        <w:spacing w:after="0" w:line="324" w:lineRule="auto"/>
        <w:rPr>
          <w:sz w:val="20"/>
          <w:szCs w:val="20"/>
          <w:color w:val="auto"/>
        </w:rPr>
      </w:pPr>
      <w:r>
        <w:rPr>
          <w:rFonts w:ascii="Arial" w:cs="Arial" w:eastAsia="Arial" w:hAnsi="Arial"/>
          <w:sz w:val="16"/>
          <w:szCs w:val="16"/>
          <w:color w:val="auto"/>
        </w:rPr>
        <w:t>We own three patent families with 43 patent applications directed to engineering of the vector genome. Patents that grant from these patent families are generally expected to start to expire in 2035, subject to possible patent term extensions.</w:t>
      </w:r>
    </w:p>
    <w:p>
      <w:pPr>
        <w:spacing w:after="0" w:line="16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7"/>
          <w:szCs w:val="17"/>
          <w:color w:val="auto"/>
        </w:rPr>
        <w:t>We own one patent family with one patent application directed to genome engineering. Patents that grant from this patent family are generally expected to start to expire in 2040, subject to possible patent term extensions.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Production; Chemistry, Manufacturing, and Controls</w:t>
      </w:r>
    </w:p>
    <w:p>
      <w:pPr>
        <w:spacing w:after="0" w:line="252" w:lineRule="exact"/>
        <w:rPr>
          <w:sz w:val="20"/>
          <w:szCs w:val="20"/>
          <w:color w:val="auto"/>
        </w:rPr>
      </w:pPr>
    </w:p>
    <w:p>
      <w:pPr>
        <w:ind w:right="120" w:firstLine="648"/>
        <w:spacing w:after="0" w:line="324" w:lineRule="auto"/>
        <w:rPr>
          <w:sz w:val="20"/>
          <w:szCs w:val="20"/>
          <w:color w:val="auto"/>
        </w:rPr>
      </w:pPr>
      <w:r>
        <w:rPr>
          <w:rFonts w:ascii="Arial" w:cs="Arial" w:eastAsia="Arial" w:hAnsi="Arial"/>
          <w:sz w:val="16"/>
          <w:szCs w:val="16"/>
          <w:color w:val="auto"/>
        </w:rPr>
        <w:t>We own 22 pending patent families with 33 patent applications directed to AAV production and CMC. Patents that grant from this patent family are generally expected to start to expire in 2035, subject to possible patent term extensions.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39"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We have obtained exclusive licenses and non-exclusive licenses to patents directed to both compositions of matter and methods of use.</w:t>
      </w:r>
    </w:p>
    <w:p>
      <w:pPr>
        <w:spacing w:after="0" w:line="210"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have licensed six families of patents and patent applications, in the exclusive field of gene therapy for human diseases, directed to RNAi constructs as vector payloads, their design and use in the treatment of neurological disorders from the University of Massachusetts. These families of patents and applications are pending and/or granted in the United States and other territories and comprises 85 granted patents and 14 applications. Patents have been granted in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United States, Canada, Europe, Israel, Japan, Korea and Australia. Nationalization for some members has taken place in Germany, Spain, France, Great Britain, Italy, and Netherlands. Patents that grant from these patent families are generally expected to expire between 2022 and 2025, subject to possible patent term extensions.</w:t>
      </w:r>
    </w:p>
    <w:p>
      <w:pPr>
        <w:spacing w:after="0" w:line="2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We have exclusively licensed three families of patents and patent applications directed to novel AAV capsids from the University of Massachusetts. These families of patents and applications, pending and/or granted in the United States and other territories, and comprises 31 granted patents and 18 applications. Patents have been granted in the United States, Europe and Japan. Nationalization for some members has taken place in Switzerland, Germany, Denmark, Spain, France, Great Britain, Ireland, Italy, Netherlands, and Sweden. Patents that grant from these patent families are generally expected to expire between 2030 and 2035, subject to possible patent term extensions.</w:t>
      </w:r>
    </w:p>
    <w:p>
      <w:pPr>
        <w:spacing w:after="0" w:line="203"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have non-exclusively licensed a patent family directed to production methods for AAV in insect cells from the NIH, U.S. Department of Health and Human Services. This family of patents is granted in the United States, Canada, Australia and Europe and further nationalized in Germany, France and Great Britain and comprises eight granted patents. Patents that grant from this patent family are generally expected to expire in 2022, subject to possible patent term extensions.</w:t>
      </w:r>
    </w:p>
    <w:p>
      <w:pPr>
        <w:spacing w:after="0" w:line="196"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We have non-exclusively licensed one patent family directed to novel AAV capsids from the Board of Trustees of the Leland Stanford Junior University. This family comprises five granted patents. Patents that grant from these patent families are generally expected to expire beginning in 2027, subject to possible patent term extensions.</w:t>
      </w:r>
    </w:p>
    <w:p>
      <w:pPr>
        <w:spacing w:after="0" w:line="205"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We have non-exclusively licensed two families of patents and patent applications from Ablexis, LLC. These families of patents and patent applications are pending and/or granted in the United States and other territories and comprise 31 granted patents and 18 applications. Patents have been granted in Australia, Canada, Europe, Korea, New Zealand and the United States. Nationalization for some members has taken place in Austria, Belgium, Denmark, France, Germany, Ireland, Italy, Netherlands, Poland, Spain, Switzerland, and United Kingdom. Patents that grant from these patent families are generally expected to expire between 2029 and 2030, subject to possible patent term extensions.</w:t>
      </w:r>
    </w:p>
    <w:p>
      <w:pPr>
        <w:spacing w:after="0" w:line="18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We have non-exclusively licensed two families of patents and patent applications directed to AAV capsids from the California Institute of Technology. These families of patents and patent applications are pending in the United States and internationally and comprise 18 granted patents and 22 applications. Patents have been granted in the United States. Patents that grant from these patent families are generally expected to start to expire in 2034, subject to possible patent term extensions.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We own U.S. Reg. Nos. 4,545,283 for the service mark VOYAGER THERAPEUTICS and 4,621,083 for the service mark VOYAGER THERAPEUTICS Logo for “pharmaceutical research and development in the field of gene therapy.” These marks were granted registration on the Principal Register of the United States Patent and Trademark Office, or USPTO, on June 3, 2014 and October 14, 2014, respectively.</w:t>
      </w:r>
    </w:p>
    <w:p>
      <w:pPr>
        <w:spacing w:after="0" w:line="21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also own pending trademark applications in the USPTO for the marks V-TAG and the V-TAG Logo, for “medical system comprised of a surgical device for guiding, locating or placing a diagnostic device or therapeutic device, namely, stents, probes, needles, leads, grafts, pumps, syringes, catheters, and implants during a medical procedure and related software sold as a unit, for use in the field of neurology; MRI-compatible medical system comprised of an MRI-compatible surgical device for guiding, locating or placing a diagnostic device or therapeutic device, namely, stents, probes, needles, leads, grafts, pumps, syringes, catheters, and implants during a MRI-guided procedure and related software sold as a unit, for use in the field of neurology,” as well as European Community trademark registrations for VOYAGER TRAJECTORY ARRAY GUIDE (No. 017430042, registered May 8, 2018) and V-TAG (No. 017430182, registered May 8, 2018)for these same goods.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register trademarks in connection with our biological products.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 Protection</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56"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In the United States, biological products, including gene therapy products, are licensed by FDA for marketing under the Public Health Service Act, or PHS Act, and regulated under the Federal Food, Drug, and Cosmetic Act, or FDCA. Both the FDCA and the PHS Act and their corresponding regulations govern, among other things, the testing, manufacturing, safety, purity, potency, efficacy, labeling, packaging, storage, record keeping, distribution, import, export, reporting, advertising and other promotional practices involving biological products. FDA clearance must be obtained before clinical testing of biological products, and each clinical study protocol for a gene therapy product is reviewed by the FDA and, in some instances, the NIH, through its RAC. FDA licensure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w:t>
      </w:r>
    </w:p>
    <w:p>
      <w:pPr>
        <w:spacing w:after="0" w:line="210"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Within CBER, the Office of Tissues and Advanced Therapies (OTAT) is responsible for gene therapy review and evaluation.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viral shedding, environmental assessments, potency testing, and chemistry, manufacturing and control information in gene therapy INDs. FDA guidance documents provide the agency’s current thinking about a particular subject but are not legally binding.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Biological Products Development Process</w:t>
      </w:r>
    </w:p>
    <w:p>
      <w:pPr>
        <w:spacing w:after="0" w:line="252" w:lineRule="exact"/>
        <w:rPr>
          <w:sz w:val="20"/>
          <w:szCs w:val="20"/>
          <w:color w:val="auto"/>
        </w:rPr>
      </w:pPr>
    </w:p>
    <w:p>
      <w:pPr>
        <w:ind w:right="560" w:firstLine="648"/>
        <w:spacing w:after="0" w:line="251" w:lineRule="auto"/>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229" w:lineRule="exact"/>
        <w:rPr>
          <w:sz w:val="20"/>
          <w:szCs w:val="20"/>
          <w:color w:val="auto"/>
        </w:rPr>
      </w:pPr>
    </w:p>
    <w:p>
      <w:pPr>
        <w:ind w:left="1000" w:right="120" w:hanging="323"/>
        <w:spacing w:after="0" w:line="182" w:lineRule="auto"/>
        <w:tabs>
          <w:tab w:leader="none" w:pos="1000" w:val="left"/>
        </w:tabs>
        <w:numPr>
          <w:ilvl w:val="0"/>
          <w:numId w:val="26"/>
        </w:numPr>
        <w:rPr>
          <w:rFonts w:ascii="Arial" w:cs="Arial" w:eastAsia="Arial" w:hAnsi="Arial"/>
          <w:sz w:val="35"/>
          <w:szCs w:val="35"/>
          <w:color w:val="auto"/>
          <w:vertAlign w:val="subscript"/>
        </w:rPr>
      </w:pPr>
      <w:r>
        <w:rPr>
          <w:rFonts w:ascii="Arial" w:cs="Arial" w:eastAsia="Arial" w:hAnsi="Arial"/>
          <w:sz w:val="16"/>
          <w:szCs w:val="16"/>
          <w:color w:val="auto"/>
        </w:rPr>
        <w:t>completion of nonclinical laboratory tests and animal studies according to good laboratory practices, or GLPs, and applicable requirements for the humane use of laboratory animals or other applicable regulations;</w:t>
      </w:r>
    </w:p>
    <w:p>
      <w:pPr>
        <w:spacing w:after="0" w:line="1" w:lineRule="exact"/>
        <w:rPr>
          <w:rFonts w:ascii="Arial" w:cs="Arial" w:eastAsia="Arial" w:hAnsi="Arial"/>
          <w:sz w:val="35"/>
          <w:szCs w:val="35"/>
          <w:color w:val="auto"/>
          <w:vertAlign w:val="subscript"/>
        </w:rPr>
      </w:pPr>
    </w:p>
    <w:p>
      <w:pPr>
        <w:ind w:left="1000" w:hanging="323"/>
        <w:spacing w:after="0" w:line="230" w:lineRule="auto"/>
        <w:tabs>
          <w:tab w:leader="none" w:pos="10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preparation of clinical trial material in accordance with cGMPs;</w:t>
      </w:r>
    </w:p>
    <w:p>
      <w:pPr>
        <w:spacing w:after="0" w:line="24" w:lineRule="exact"/>
        <w:rPr>
          <w:rFonts w:ascii="Arial" w:cs="Arial" w:eastAsia="Arial" w:hAnsi="Arial"/>
          <w:sz w:val="22"/>
          <w:szCs w:val="22"/>
          <w:color w:val="auto"/>
        </w:rPr>
      </w:pPr>
    </w:p>
    <w:p>
      <w:pPr>
        <w:ind w:left="1000" w:right="80" w:hanging="323"/>
        <w:spacing w:after="0" w:line="181" w:lineRule="auto"/>
        <w:tabs>
          <w:tab w:leader="none" w:pos="1000" w:val="left"/>
        </w:tabs>
        <w:numPr>
          <w:ilvl w:val="0"/>
          <w:numId w:val="26"/>
        </w:numPr>
        <w:rPr>
          <w:rFonts w:ascii="Arial" w:cs="Arial" w:eastAsia="Arial" w:hAnsi="Arial"/>
          <w:sz w:val="34"/>
          <w:szCs w:val="34"/>
          <w:color w:val="auto"/>
          <w:vertAlign w:val="subscript"/>
        </w:rPr>
      </w:pPr>
      <w:r>
        <w:rPr>
          <w:rFonts w:ascii="Arial" w:cs="Arial" w:eastAsia="Arial" w:hAnsi="Arial"/>
          <w:sz w:val="16"/>
          <w:szCs w:val="16"/>
          <w:color w:val="auto"/>
        </w:rPr>
        <w:t>submission to the FDA of an application for an IND, which must become effective before human clinical trials may begin;</w:t>
      </w:r>
    </w:p>
    <w:p>
      <w:pPr>
        <w:spacing w:after="0" w:line="2" w:lineRule="exact"/>
        <w:rPr>
          <w:rFonts w:ascii="Arial" w:cs="Arial" w:eastAsia="Arial" w:hAnsi="Arial"/>
          <w:sz w:val="34"/>
          <w:szCs w:val="34"/>
          <w:color w:val="auto"/>
          <w:vertAlign w:val="subscript"/>
        </w:rPr>
      </w:pPr>
    </w:p>
    <w:p>
      <w:pPr>
        <w:ind w:left="1000" w:right="100" w:hanging="323"/>
        <w:spacing w:after="0" w:line="25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ind w:left="1000" w:right="500" w:hanging="323"/>
        <w:spacing w:after="0" w:line="261"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by an institutional biosafety committee, or IBC, assessing the safety of the clinical research and identifying any potential risk to public health or the environment;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right="100" w:hanging="323"/>
        <w:spacing w:after="0" w:line="189" w:lineRule="auto"/>
        <w:tabs>
          <w:tab w:leader="none" w:pos="1000" w:val="left"/>
        </w:tabs>
        <w:numPr>
          <w:ilvl w:val="0"/>
          <w:numId w:val="27"/>
        </w:numPr>
        <w:rPr>
          <w:rFonts w:ascii="Arial" w:cs="Arial" w:eastAsia="Arial" w:hAnsi="Arial"/>
          <w:sz w:val="43"/>
          <w:szCs w:val="43"/>
          <w:color w:val="auto"/>
          <w:vertAlign w:val="subscript"/>
        </w:rPr>
      </w:pPr>
      <w:r>
        <w:rPr>
          <w:rFonts w:ascii="Arial" w:cs="Arial" w:eastAsia="Arial" w:hAnsi="Arial"/>
          <w:sz w:val="18"/>
          <w:szCs w:val="18"/>
          <w:color w:val="auto"/>
        </w:rPr>
        <w:t>performance of adequate and well-controlled human clinical trials according to the FDA’s regulations commonly referred to as good clinical practice, or GCPs, and any additional requirements for the protection of human research subjects and their health information, to establish the safety, purity, potency, and efficacy, of the proposed biological product for its intended use;</w:t>
      </w:r>
    </w:p>
    <w:p>
      <w:pPr>
        <w:ind w:left="1000" w:right="200" w:hanging="323"/>
        <w:spacing w:after="0" w:line="180" w:lineRule="auto"/>
        <w:tabs>
          <w:tab w:leader="none" w:pos="1000" w:val="left"/>
        </w:tabs>
        <w:numPr>
          <w:ilvl w:val="0"/>
          <w:numId w:val="27"/>
        </w:numPr>
        <w:rPr>
          <w:rFonts w:ascii="Arial" w:cs="Arial" w:eastAsia="Arial" w:hAnsi="Arial"/>
          <w:sz w:val="34"/>
          <w:szCs w:val="34"/>
          <w:color w:val="auto"/>
          <w:vertAlign w:val="subscript"/>
        </w:rPr>
      </w:pPr>
      <w:r>
        <w:rPr>
          <w:rFonts w:ascii="Arial" w:cs="Arial" w:eastAsia="Arial" w:hAnsi="Arial"/>
          <w:sz w:val="16"/>
          <w:szCs w:val="16"/>
          <w:color w:val="auto"/>
        </w:rPr>
        <w:t>submission to the FDA of a BLA, for marketing approval that includes substantive evidence of safety, purity, potency, and efficacy from results of nonclinical testing and clinical trials;</w:t>
      </w:r>
    </w:p>
    <w:p>
      <w:pPr>
        <w:ind w:left="1000" w:right="40" w:hanging="323"/>
        <w:spacing w:after="0" w:line="198" w:lineRule="auto"/>
        <w:tabs>
          <w:tab w:leader="none" w:pos="1000" w:val="left"/>
        </w:tabs>
        <w:numPr>
          <w:ilvl w:val="0"/>
          <w:numId w:val="27"/>
        </w:numPr>
        <w:rPr>
          <w:rFonts w:ascii="Arial" w:cs="Arial" w:eastAsia="Arial" w:hAnsi="Arial"/>
          <w:sz w:val="36"/>
          <w:szCs w:val="36"/>
          <w:color w:val="auto"/>
          <w:vertAlign w:val="subscript"/>
        </w:rPr>
      </w:pPr>
      <w:r>
        <w:rPr>
          <w:rFonts w:ascii="Arial" w:cs="Arial" w:eastAsia="Arial" w:hAnsi="Arial"/>
          <w:sz w:val="16"/>
          <w:szCs w:val="16"/>
          <w:color w:val="auto"/>
        </w:rPr>
        <w:t>satisfactory completion of an FDA inspection prior to BLA approval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4" w:lineRule="exact"/>
        <w:rPr>
          <w:rFonts w:ascii="Arial" w:cs="Arial" w:eastAsia="Arial" w:hAnsi="Arial"/>
          <w:sz w:val="36"/>
          <w:szCs w:val="36"/>
          <w:color w:val="auto"/>
          <w:vertAlign w:val="subscript"/>
        </w:rPr>
      </w:pPr>
    </w:p>
    <w:p>
      <w:pPr>
        <w:ind w:left="1000" w:hanging="323"/>
        <w:spacing w:after="0"/>
        <w:tabs>
          <w:tab w:leader="none" w:pos="1000" w:val="left"/>
        </w:tabs>
        <w:numPr>
          <w:ilvl w:val="0"/>
          <w:numId w:val="27"/>
        </w:numPr>
        <w:rPr>
          <w:rFonts w:ascii="Arial" w:cs="Arial" w:eastAsia="Arial" w:hAnsi="Arial"/>
          <w:sz w:val="21"/>
          <w:szCs w:val="21"/>
          <w:color w:val="auto"/>
        </w:rPr>
      </w:pPr>
      <w:r>
        <w:rPr>
          <w:rFonts w:ascii="Arial" w:cs="Arial" w:eastAsia="Arial" w:hAnsi="Arial"/>
          <w:sz w:val="17"/>
          <w:szCs w:val="17"/>
          <w:color w:val="auto"/>
        </w:rPr>
        <w:t>potential FDA audit of the nonclinical and clinical study sites that generated the data in support of the BLA;</w:t>
      </w:r>
    </w:p>
    <w:p>
      <w:pPr>
        <w:spacing w:after="0" w:line="23" w:lineRule="exact"/>
        <w:rPr>
          <w:rFonts w:ascii="Arial" w:cs="Arial" w:eastAsia="Arial" w:hAnsi="Arial"/>
          <w:sz w:val="21"/>
          <w:szCs w:val="21"/>
          <w:color w:val="auto"/>
        </w:rPr>
      </w:pPr>
    </w:p>
    <w:p>
      <w:pPr>
        <w:ind w:left="1000" w:right="360" w:hanging="323"/>
        <w:spacing w:after="0" w:line="181" w:lineRule="auto"/>
        <w:tabs>
          <w:tab w:leader="none" w:pos="1000" w:val="left"/>
        </w:tabs>
        <w:numPr>
          <w:ilvl w:val="0"/>
          <w:numId w:val="27"/>
        </w:numPr>
        <w:rPr>
          <w:rFonts w:ascii="Arial" w:cs="Arial" w:eastAsia="Arial" w:hAnsi="Arial"/>
          <w:sz w:val="34"/>
          <w:szCs w:val="34"/>
          <w:color w:val="auto"/>
          <w:vertAlign w:val="subscript"/>
        </w:rPr>
      </w:pPr>
      <w:r>
        <w:rPr>
          <w:rFonts w:ascii="Arial" w:cs="Arial" w:eastAsia="Arial" w:hAnsi="Arial"/>
          <w:sz w:val="16"/>
          <w:szCs w:val="16"/>
          <w:color w:val="auto"/>
        </w:rPr>
        <w:t>potential FDA Advisory Committee meeting to elicit expert input on critical issues and including a vote by external Committee members;</w:t>
      </w:r>
    </w:p>
    <w:p>
      <w:pPr>
        <w:spacing w:after="0" w:line="2" w:lineRule="exact"/>
        <w:rPr>
          <w:rFonts w:ascii="Arial" w:cs="Arial" w:eastAsia="Arial" w:hAnsi="Arial"/>
          <w:sz w:val="34"/>
          <w:szCs w:val="34"/>
          <w:color w:val="auto"/>
          <w:vertAlign w:val="subscript"/>
        </w:rPr>
      </w:pPr>
    </w:p>
    <w:p>
      <w:pPr>
        <w:ind w:left="1000" w:hanging="323"/>
        <w:spacing w:after="0" w:line="230" w:lineRule="auto"/>
        <w:tabs>
          <w:tab w:leader="none" w:pos="1000" w:val="left"/>
        </w:tabs>
        <w:numPr>
          <w:ilvl w:val="0"/>
          <w:numId w:val="27"/>
        </w:numPr>
        <w:rPr>
          <w:rFonts w:ascii="Arial" w:cs="Arial" w:eastAsia="Arial" w:hAnsi="Arial"/>
          <w:sz w:val="22"/>
          <w:szCs w:val="22"/>
          <w:color w:val="auto"/>
        </w:rPr>
      </w:pPr>
      <w:r>
        <w:rPr>
          <w:rFonts w:ascii="Arial" w:cs="Arial" w:eastAsia="Arial" w:hAnsi="Arial"/>
          <w:sz w:val="18"/>
          <w:szCs w:val="18"/>
          <w:color w:val="auto"/>
        </w:rPr>
        <w:t>FDA review and approval, or licensure, of the BLA, and payment of associated user fees; and</w:t>
      </w:r>
    </w:p>
    <w:p>
      <w:pPr>
        <w:spacing w:after="0" w:line="24" w:lineRule="exact"/>
        <w:rPr>
          <w:rFonts w:ascii="Arial" w:cs="Arial" w:eastAsia="Arial" w:hAnsi="Arial"/>
          <w:sz w:val="22"/>
          <w:szCs w:val="22"/>
          <w:color w:val="auto"/>
        </w:rPr>
      </w:pPr>
    </w:p>
    <w:p>
      <w:pPr>
        <w:ind w:left="1000" w:right="140" w:hanging="323"/>
        <w:spacing w:after="0" w:line="181" w:lineRule="auto"/>
        <w:tabs>
          <w:tab w:leader="none" w:pos="1000" w:val="left"/>
        </w:tabs>
        <w:numPr>
          <w:ilvl w:val="0"/>
          <w:numId w:val="27"/>
        </w:numPr>
        <w:rPr>
          <w:rFonts w:ascii="Arial" w:cs="Arial" w:eastAsia="Arial" w:hAnsi="Arial"/>
          <w:sz w:val="34"/>
          <w:szCs w:val="34"/>
          <w:color w:val="auto"/>
          <w:vertAlign w:val="subscript"/>
        </w:rPr>
      </w:pPr>
      <w:r>
        <w:rPr>
          <w:rFonts w:ascii="Arial" w:cs="Arial" w:eastAsia="Arial" w:hAnsi="Arial"/>
          <w:sz w:val="16"/>
          <w:szCs w:val="16"/>
          <w:color w:val="auto"/>
        </w:rPr>
        <w:t>compliance with any post approval requirements, including the potential requirement to implement a Risk Evaluation and Mitigation Strategy, or REMS, and the potential requirement to conduct post approval studies.</w:t>
      </w:r>
    </w:p>
    <w:p>
      <w:pPr>
        <w:spacing w:after="0" w:line="24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Before testing any biological product candidate, including a gene therapy product, in humans, the product candidate enters the preclinical testing stage. Preclinical tests, also referred to as nonclinical tests,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3"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Previously, when a gene therapy study was conducted at, or sponsored by, institutions receiving NIH funding for recombinant DNA research, prior to the submission of an IND to the FDA, a protocol and related documentation was to be submitted to and the study was registered with the NIH Office of Biotechnology Activities, or OBA, pursuant to the NIH Guidelines for Research Involving Recombinant DNA Molecules, or NIH Guidelines. Compliance with the NIH Guidelines was mandatory for investigators at institutions receiving NIH funds for research involving recombinant DNA, however many companies and other institutions not otherwise subject to the NIH Guidelines had voluntarily followed them. Under an FDA and NIH proposal in 2018, the role of the Recombinant DNA Advisory Committee, or RAC, in reviewing gene therapy protocols would be entirely eliminated and sponsors would no longer be required to submit reports to NIH on such protocols. Going forward, NIH says the RAC will continue to function as an advisory board to NIH on emerging fields such as gene editing, synthetic biology and neurotechnology.</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 FDA has issued various guidance documents regarding gene therapies, including recent final guidance documents released in January 2020 relating to chemistry, manufacturing and controls information for gene therapy INDs, gene therapies for rare diseases and gene therapies for retinal disorders.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21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of the IND. Some preclinical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study can begin, or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trials due to safety concerns or non-compliance. If the FDA imposes a clinical hold, studies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studies.</w:t>
      </w:r>
    </w:p>
    <w:p>
      <w:pPr>
        <w:spacing w:after="0" w:line="22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Clinical trials involve the administration of the biological product candidate to healthy volunteers or subjects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study subject or his or her legal representative and must monitor the clinical study until completed. Additionally, some trials are overseen by an independent group of qualified experts organized by the trial sponsor, known as a data safety monitoring board or committee. Clinical trials involving recombinant or synthetic (or both) nucleic acid molecules performed at or sponsored by an institution that receives any NIH funding for such research also must be reviewed by an IBC, a local institutional committee that reviews and oversees basic and clinical research conducted at that institution. The IBC assesses the safety of the research and identifies any potential risk to public health or the environment.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52" w:lineRule="exact"/>
        <w:rPr>
          <w:sz w:val="20"/>
          <w:szCs w:val="20"/>
          <w:color w:val="auto"/>
        </w:rPr>
      </w:pPr>
    </w:p>
    <w:p>
      <w:pPr>
        <w:ind w:left="1000" w:hanging="323"/>
        <w:spacing w:after="0" w:line="228" w:lineRule="auto"/>
        <w:tabs>
          <w:tab w:leader="none" w:pos="1000" w:val="left"/>
        </w:tabs>
        <w:numPr>
          <w:ilvl w:val="0"/>
          <w:numId w:val="28"/>
        </w:numPr>
        <w:rPr>
          <w:rFonts w:ascii="Arial" w:cs="Arial" w:eastAsia="Arial" w:hAnsi="Arial"/>
          <w:sz w:val="36"/>
          <w:szCs w:val="36"/>
          <w:color w:val="auto"/>
          <w:vertAlign w:val="subscript"/>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The biological product is initially introduced into healthy human subjects and tested for safety.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of some products for severe or life-threatening diseases, especially when the product may be too inherently toxic to ethically administer to healthy volunteers, the initial human testing is often conducted in patients. Guidelines on clinical trials with gene therapy products issued by OTAT state that the FDA has determined that the benefit-risk ratio of these products does not warrant their evaluation in healthy human subjects.</w:t>
      </w:r>
    </w:p>
    <w:p>
      <w:pPr>
        <w:spacing w:after="0" w:line="2" w:lineRule="exact"/>
        <w:rPr>
          <w:rFonts w:ascii="Arial" w:cs="Arial" w:eastAsia="Arial" w:hAnsi="Arial"/>
          <w:sz w:val="36"/>
          <w:szCs w:val="36"/>
          <w:color w:val="auto"/>
          <w:vertAlign w:val="subscript"/>
        </w:rPr>
      </w:pPr>
    </w:p>
    <w:p>
      <w:pPr>
        <w:ind w:left="1000" w:right="100" w:hanging="323"/>
        <w:spacing w:after="0" w:line="182" w:lineRule="auto"/>
        <w:tabs>
          <w:tab w:leader="none" w:pos="1000" w:val="left"/>
        </w:tabs>
        <w:numPr>
          <w:ilvl w:val="0"/>
          <w:numId w:val="28"/>
        </w:numPr>
        <w:rPr>
          <w:rFonts w:ascii="Arial" w:cs="Arial" w:eastAsia="Arial" w:hAnsi="Arial"/>
          <w:sz w:val="40"/>
          <w:szCs w:val="40"/>
          <w:color w:val="auto"/>
          <w:vertAlign w:val="subscript"/>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biological product is evaluated in a limited patient population to identify possible adverse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and safety risks, to preliminarily evaluate the efficacy of the product for specific targeted diseases and to determine dosage tolerance, optimal dosage and dosing schedule.</w:t>
      </w:r>
    </w:p>
    <w:p>
      <w:pPr>
        <w:spacing w:after="0" w:line="2" w:lineRule="exact"/>
        <w:rPr>
          <w:rFonts w:ascii="Arial" w:cs="Arial" w:eastAsia="Arial" w:hAnsi="Arial"/>
          <w:sz w:val="40"/>
          <w:szCs w:val="40"/>
          <w:color w:val="auto"/>
          <w:vertAlign w:val="subscript"/>
        </w:rPr>
      </w:pPr>
    </w:p>
    <w:p>
      <w:pPr>
        <w:ind w:left="1000" w:right="120" w:hanging="323"/>
        <w:spacing w:after="0" w:line="198" w:lineRule="auto"/>
        <w:tabs>
          <w:tab w:leader="none" w:pos="1000" w:val="left"/>
        </w:tabs>
        <w:numPr>
          <w:ilvl w:val="0"/>
          <w:numId w:val="28"/>
        </w:numPr>
        <w:rPr>
          <w:rFonts w:ascii="Arial" w:cs="Arial" w:eastAsia="Arial" w:hAnsi="Arial"/>
          <w:sz w:val="36"/>
          <w:szCs w:val="36"/>
          <w:color w:val="auto"/>
          <w:vertAlign w:val="subscript"/>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are undertaken to further evaluate dosage, clinical efficacy, potency and safety in an</w:t>
      </w:r>
      <w:r>
        <w:rPr>
          <w:rFonts w:ascii="Arial" w:cs="Arial" w:eastAsia="Arial" w:hAnsi="Arial"/>
          <w:sz w:val="16"/>
          <w:szCs w:val="16"/>
          <w:i w:val="1"/>
          <w:iCs w:val="1"/>
          <w:color w:val="auto"/>
        </w:rPr>
        <w:t xml:space="preserve"> </w:t>
      </w:r>
      <w:r>
        <w:rPr>
          <w:rFonts w:ascii="Arial" w:cs="Arial" w:eastAsia="Arial" w:hAnsi="Arial"/>
          <w:sz w:val="16"/>
          <w:szCs w:val="16"/>
          <w:color w:val="auto"/>
        </w:rPr>
        <w:t>expanded patient population at geographically dispersed clinical trial sites. These clinical trials are intended to establish the overall risk/benefit ratio of the product and provide an adequate basis for product labeling.</w:t>
      </w:r>
    </w:p>
    <w:p>
      <w:pPr>
        <w:spacing w:after="0" w:line="24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years of annual examinations followed by ten years of annual queries, either in person or by questionnaire, of trial subjects.</w:t>
      </w:r>
    </w:p>
    <w:p>
      <w:pPr>
        <w:spacing w:after="0" w:line="2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testing that suggest a significant risk for human subjects, or any clinically important increase in the rate of a serious</w:t>
      </w:r>
      <w:r>
        <w:rPr>
          <w:rFonts w:ascii="Arial" w:cs="Arial" w:eastAsia="Arial" w:hAnsi="Arial"/>
          <w:sz w:val="17"/>
          <w:szCs w:val="17"/>
          <w:i w:val="1"/>
          <w:iCs w:val="1"/>
          <w:color w:val="auto"/>
        </w:rPr>
        <w:t xml:space="preserve"> </w:t>
      </w:r>
      <w:r>
        <w:rPr>
          <w:rFonts w:ascii="Arial" w:cs="Arial" w:eastAsia="Arial" w:hAnsi="Arial"/>
          <w:sz w:val="17"/>
          <w:szCs w:val="17"/>
          <w:color w:val="auto"/>
        </w:rPr>
        <w:t>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 The FDA has issued various guidance documents regarding gene therapies, including draft guidance documents released in July 2018 relating to gene therapies for human retinal disorders and gene therapies for rare diseases, and on January 15, 2019, the FDA issued a statement that it would issue additional guidance to facilitate the development of gene therapy products.</w:t>
      </w:r>
    </w:p>
    <w:p>
      <w:pPr>
        <w:spacing w:after="0" w:line="22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18"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 Similar requirements for posting clinical trial information are present in the European Union and other countries.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252"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On December 13, 2016, the 21st Century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w:t>
      </w:r>
    </w:p>
    <w:p>
      <w:pPr>
        <w:spacing w:after="0" w:line="203"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8"/>
          <w:szCs w:val="18"/>
          <w:color w:val="auto"/>
        </w:rPr>
        <w:t>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223"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23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213"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Under the Prescription Drug User Fee Act, or PDUFA, as amended, each BLA must be accompanied by a significant user fee. Under federal law, the submission of most applications is subject to an application user fee, which for federal fiscal year 2020 is $2,942,965 for an application requiring clinical data. The sponsor of an approved application is also subject to an annual program fee, which for fiscal year 2020 is $325,424.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23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BLA must be resubmitted with the additional information. The resubmitted application also is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to file.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21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Finally, for a gene therapy product, the FDA also will not approve the product if the manufacturer is not in compliance with good tissue practices, or GTP. These standards are found in FDA regulations and guidance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22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209"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One of the performance goals agreed to by the FDA under the PDUFA is to review standard BLAs in 10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39"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Following approval, the manufacturing facilities are subject to biennial inspections by the FDA’s biologics team and such inspections may result in an issuance of FDA Form 483 deficiency observations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222" w:lineRule="exact"/>
        <w:rPr>
          <w:sz w:val="20"/>
          <w:szCs w:val="20"/>
          <w:color w:val="auto"/>
        </w:rPr>
      </w:pPr>
    </w:p>
    <w:p>
      <w:pPr>
        <w:ind w:right="20" w:firstLine="648"/>
        <w:spacing w:after="0" w:line="304"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202" w:lineRule="exact"/>
        <w:rPr>
          <w:sz w:val="20"/>
          <w:szCs w:val="20"/>
          <w:color w:val="auto"/>
        </w:rPr>
      </w:pPr>
    </w:p>
    <w:p>
      <w:pPr>
        <w:ind w:right="240" w:firstLine="648"/>
        <w:spacing w:after="0" w:line="284" w:lineRule="auto"/>
        <w:rPr>
          <w:sz w:val="20"/>
          <w:szCs w:val="20"/>
          <w:color w:val="auto"/>
        </w:rPr>
      </w:pPr>
      <w:r>
        <w:rPr>
          <w:rFonts w:ascii="Arial" w:cs="Arial" w:eastAsia="Arial" w:hAnsi="Arial"/>
          <w:sz w:val="16"/>
          <w:szCs w:val="16"/>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59"/>
        <w:spacing w:after="0" w:line="241" w:lineRule="auto"/>
        <w:rPr>
          <w:sz w:val="20"/>
          <w:szCs w:val="20"/>
          <w:color w:val="auto"/>
        </w:rPr>
      </w:pPr>
      <w:r>
        <w:rPr>
          <w:rFonts w:ascii="Arial" w:cs="Arial" w:eastAsia="Arial" w:hAnsi="Arial"/>
          <w:sz w:val="18"/>
          <w:szCs w:val="18"/>
          <w:color w:val="auto"/>
        </w:rPr>
        <w:t>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39" w:lineRule="exact"/>
        <w:rPr>
          <w:sz w:val="20"/>
          <w:szCs w:val="20"/>
          <w:color w:val="auto"/>
        </w:rPr>
      </w:pPr>
    </w:p>
    <w:p>
      <w:pPr>
        <w:ind w:right="19" w:firstLine="648"/>
        <w:spacing w:after="0" w:line="274" w:lineRule="auto"/>
        <w:rPr>
          <w:sz w:val="20"/>
          <w:szCs w:val="20"/>
          <w:color w:val="auto"/>
        </w:rPr>
      </w:pPr>
      <w:r>
        <w:rPr>
          <w:rFonts w:ascii="Arial" w:cs="Arial" w:eastAsia="Arial" w:hAnsi="Arial"/>
          <w:sz w:val="16"/>
          <w:szCs w:val="16"/>
          <w:color w:val="auto"/>
        </w:rPr>
        <w:t>Under the Orphan Drug Act, the FDA may grant Orphan Drug Designation, or ODD,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204" w:lineRule="exact"/>
        <w:rPr>
          <w:sz w:val="20"/>
          <w:szCs w:val="20"/>
          <w:color w:val="auto"/>
        </w:rPr>
      </w:pPr>
    </w:p>
    <w:p>
      <w:pPr>
        <w:ind w:right="159" w:firstLine="441"/>
        <w:spacing w:after="0" w:line="257" w:lineRule="auto"/>
        <w:rPr>
          <w:sz w:val="20"/>
          <w:szCs w:val="20"/>
          <w:color w:val="auto"/>
        </w:rPr>
      </w:pPr>
      <w:r>
        <w:rPr>
          <w:rFonts w:ascii="Arial" w:cs="Arial" w:eastAsia="Arial" w:hAnsi="Arial"/>
          <w:sz w:val="17"/>
          <w:szCs w:val="17"/>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 This is the case despite an earlier court opinion holding that the Orphan Drug Act unambiguously required the FDA to recognize orphan exclusivity regardless of a showing of clinical superiority.</w:t>
      </w:r>
    </w:p>
    <w:p>
      <w:pPr>
        <w:spacing w:after="0" w:line="216" w:lineRule="exact"/>
        <w:rPr>
          <w:sz w:val="20"/>
          <w:szCs w:val="20"/>
          <w:color w:val="auto"/>
        </w:rPr>
      </w:pPr>
    </w:p>
    <w:p>
      <w:pPr>
        <w:ind w:right="79" w:firstLine="648"/>
        <w:spacing w:after="0" w:line="271" w:lineRule="auto"/>
        <w:rPr>
          <w:sz w:val="20"/>
          <w:szCs w:val="20"/>
          <w:color w:val="auto"/>
        </w:rPr>
      </w:pPr>
      <w:r>
        <w:rPr>
          <w:rFonts w:ascii="Arial" w:cs="Arial" w:eastAsia="Arial" w:hAnsi="Arial"/>
          <w:sz w:val="16"/>
          <w:szCs w:val="16"/>
          <w:color w:val="auto"/>
        </w:rPr>
        <w:t>Competitors, however, may receive approval of different products for the indication for which the orphan product has exclusivity or obtain approval for the same product but for a different indication for which the orphan product has exclusivity.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 Programs</w:t>
      </w:r>
    </w:p>
    <w:p>
      <w:pPr>
        <w:spacing w:after="0" w:line="252" w:lineRule="exact"/>
        <w:rPr>
          <w:sz w:val="20"/>
          <w:szCs w:val="20"/>
          <w:color w:val="auto"/>
        </w:rPr>
      </w:pPr>
    </w:p>
    <w:p>
      <w:pPr>
        <w:ind w:right="19" w:firstLine="648"/>
        <w:spacing w:after="0" w:line="253"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218" w:lineRule="exact"/>
        <w:rPr>
          <w:sz w:val="20"/>
          <w:szCs w:val="20"/>
          <w:color w:val="auto"/>
        </w:rPr>
      </w:pPr>
    </w:p>
    <w:p>
      <w:pPr>
        <w:ind w:right="159" w:firstLine="648"/>
        <w:spacing w:after="0" w:line="270" w:lineRule="auto"/>
        <w:rPr>
          <w:sz w:val="20"/>
          <w:szCs w:val="20"/>
          <w:color w:val="auto"/>
        </w:rPr>
      </w:pPr>
      <w:r>
        <w:rPr>
          <w:rFonts w:ascii="Arial" w:cs="Arial" w:eastAsia="Arial" w:hAnsi="Arial"/>
          <w:sz w:val="17"/>
          <w:szCs w:val="17"/>
          <w:color w:val="auto"/>
        </w:rPr>
        <w:t>The FDA may give a priority review designation to biological products that treats a serious condition and, if approved, would provide a significant improvement in safety or effectiveness. A priority review means that the goal for the FDA to review an application is six months, rather than the standard review of ten months under current PDUFA</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guidelines. Most products that are eligible for fast track designation may also be considered appropriate to receive a priority review.</w:t>
      </w:r>
    </w:p>
    <w:p>
      <w:pPr>
        <w:spacing w:after="0" w:line="210"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biological product that is intended, alone or in combination with one or more other drugs, to treat a serious or life-threatening disease or condition, and preliminary clinical evidence indicates that the biological product may demonstrate substantial improvement over existing therapies on one or more clinically significant endpoints, such as substantial treatment effects observed early in clinical development.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22"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programs for regenerative medicine therapies for serious conditions</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As part of the 21st Century Cures Act, Congress amended the FDCA to create an expedited development and approval program for regenerative medicine advanced therapies, which include cell therapies, therapeutic tissue engineering products, human cell and tissue products, and combination products using any such therapies or products. As of November 2017, the FDA has interpreted this definition as follows: gene therapies, including genetically modified cells, that lead to a durable modification of cells or tissues may meet the definition of a regenerative medicine advanced therapy. The FDA has now determined that ‘</w:t>
      </w:r>
      <w:r>
        <w:rPr>
          <w:rFonts w:ascii="Arial" w:cs="Arial" w:eastAsia="Arial" w:hAnsi="Arial"/>
          <w:sz w:val="16"/>
          <w:szCs w:val="16"/>
          <w:i w:val="1"/>
          <w:iCs w:val="1"/>
          <w:color w:val="auto"/>
        </w:rPr>
        <w:t>in vitro</w:t>
      </w:r>
      <w:r>
        <w:rPr>
          <w:rFonts w:ascii="Arial" w:cs="Arial" w:eastAsia="Arial" w:hAnsi="Arial"/>
          <w:sz w:val="16"/>
          <w:szCs w:val="16"/>
          <w:color w:val="auto"/>
        </w:rPr>
        <w:t>’ gene therapies will qualify as a regenerative medicine advanced therapy based on this definition. VY-AADC (NBIb-1817) is an ‘</w:t>
      </w:r>
      <w:r>
        <w:rPr>
          <w:rFonts w:ascii="Arial" w:cs="Arial" w:eastAsia="Arial" w:hAnsi="Arial"/>
          <w:sz w:val="16"/>
          <w:szCs w:val="16"/>
          <w:i w:val="1"/>
          <w:iCs w:val="1"/>
          <w:color w:val="auto"/>
        </w:rPr>
        <w:t>in vitro</w:t>
      </w:r>
      <w:r>
        <w:rPr>
          <w:rFonts w:ascii="Arial" w:cs="Arial" w:eastAsia="Arial" w:hAnsi="Arial"/>
          <w:sz w:val="16"/>
          <w:szCs w:val="16"/>
          <w:color w:val="auto"/>
        </w:rPr>
        <w:t>’ gene therapy for Parkinson’s disease and received this designation on June 18, 2018. Regenerative medicine advanced therapies do not include those human cells, tissues, and cellular and tissue-based products regulated solely under section 361 of the Public Health Service Act and 21 CFR Part 1271. The new program is intended to facilitate efficient development and expedite review of regenerative medicine advanced therapies, which are intended to treat, modify, reverse, or cure a serious or life-threatening disease or condition.</w:t>
      </w:r>
    </w:p>
    <w:p>
      <w:pPr>
        <w:spacing w:after="0" w:line="20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A drug sponsor may request that the FDA designate a drug as a regenerative medicine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medicine advanced therapy may be eligible for priority review or accelerated approval through (i) surrogate or intermediate endpoints reasonably likely to predict long-term clinical benefit or (ii) reliance upon data obtained from a meaningful number of sites. Benefits of such designation also include early interactions with the FDA to discuss any potential surrogate or intermediate endpoint to be used to support accelerated approval. A regenerative medicine advanced therapy that is granted accelerated approval and is subject to post-approval requirements may fulfill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Term Restoration</w:t>
      </w:r>
    </w:p>
    <w:p>
      <w:pPr>
        <w:spacing w:after="0" w:line="252"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less any time the applicant failed to act with due diligence.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Data Exclusivity</w:t>
      </w:r>
    </w:p>
    <w:p>
      <w:pPr>
        <w:spacing w:after="0" w:line="21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7"/>
          <w:szCs w:val="17"/>
          <w:color w:val="auto"/>
        </w:rPr>
        <w:t>The 2010 Patient Protection and Affordable Care Act, or the ACA, which was signed into law on March 23, 2010, included a subtitle called the Biologics Price Competition and Innovation Act of 2009 or BPCIA. The BPCIA established a regulatory scheme authorizing the FDA to approve biosimilars and interchangeable biosimilars. As of January 1, 2020, the FDA has approved 26 biosimilar products for use in the United States. No interchangeable biosimilars have been approved. The FDA has issued several guidance documents outlining an approach to review and approval of biosimilars. Additional guidance is expected to be finalized by FDA in the near term.</w:t>
      </w:r>
    </w:p>
    <w:p>
      <w:pPr>
        <w:spacing w:after="0" w:line="176"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FDA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252" w:lineRule="exact"/>
        <w:rPr>
          <w:sz w:val="20"/>
          <w:szCs w:val="20"/>
          <w:color w:val="auto"/>
        </w:rPr>
      </w:pPr>
    </w:p>
    <w:p>
      <w:pPr>
        <w:ind w:right="200" w:firstLine="648"/>
        <w:spacing w:after="0" w:line="291" w:lineRule="auto"/>
        <w:rPr>
          <w:sz w:val="20"/>
          <w:szCs w:val="20"/>
          <w:color w:val="auto"/>
        </w:rPr>
      </w:pPr>
      <w:r>
        <w:rPr>
          <w:rFonts w:ascii="Arial" w:cs="Arial" w:eastAsia="Arial" w:hAnsi="Arial"/>
          <w:sz w:val="17"/>
          <w:szCs w:val="17"/>
          <w:color w:val="auto"/>
        </w:rPr>
        <w:t>Pediatric exclusivity is another type of non-patent exclusivity in the United States and, if granted, provides for the attachment of an additional six months of marketing protection to the term of any existing regulatory exclusivity 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patent protection, including the non-patent and orphan exclusivity.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period during which the FDA will not approve a biosimilar application.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11"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In addition, the ACA is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With regard to biopharmaceutical products, in addition to the Biologics Price Competition and Innovation Act of 2009 included in the ACA, among other things, the ACA expanded and increased industry rebates for drugs covered under Medicaid programs and made changes to the coverage requirements under the Medicare prescription drug benefit. Some of the provisions of the 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ACA.</w:t>
      </w:r>
    </w:p>
    <w:p>
      <w:pPr>
        <w:spacing w:after="0" w:line="97"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The current administration has also taken executive actions to undermine or delay implementation of the ACA. Since January 2017, President Trump has signed two Executive Orders which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Trump administration from terminating the subsidies, but their request for a restraining order was denied by a federal judge in California on October 25, 2017. In addition, the Center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$12.0 billion in ACA risk corridor payments to third-party payors who argued were owed to them. That decision is under review by the U.S. Supreme Court during its current term. This decision is under review by the U.S. Supreme Court during its current term. The full effects of this gap in reimbursement on third-party payors, the viability of the ACA marketplace, providers, and potentially our business, are not yet known.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Since enactment of the ACA, there have been, and continue to be, numerous legal challenges and Congressional actions to repeal and replace provisions of the law. For example, with enactment of the Tax Cuts and Jobs Act of 2017, known as the TCJA, which was signed by President Trump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recently represented to the Court of Appeals considering 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19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w:t>
      </w:r>
    </w:p>
    <w:p>
      <w:pPr>
        <w:spacing w:after="0" w:line="23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Foreign Corrupt Practices Act</w:t>
      </w:r>
    </w:p>
    <w:p>
      <w:pPr>
        <w:spacing w:after="0" w:line="252"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Clearance of Companion Diagnostics in the United States</w:t>
      </w:r>
    </w:p>
    <w:p>
      <w:pPr>
        <w:spacing w:after="0" w:line="212"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 xml:space="preserve">If safe and effective use of a therapeutic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In July 2016, the FDA issued a draft guidance intended to assist sponsors of the drug therapeutic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on issues related to co-development of the products.</w:t>
      </w:r>
    </w:p>
    <w:p>
      <w:pPr>
        <w:spacing w:after="0" w:line="164"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 xml:space="preserve">If FDA determines that a companion diagnostic device or delivery device (combination product) is essential to the safe and effective use of a novel therapeutic product or indication, FDA generally will not approve the therapeutic product or new therapeutic product indication if the companion diagnostic or delivery device is not approved or cleared for that indication. Approval or clearance of the companion diagnostic or delivery device will ensure that the device has been adequately evaluated and has adequate performance characteristics in the intended population. The review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in conjunction with the review of our therapeutic treatments for cancer will, therefore, likely involve coordination of review by the FDA’s Center for Drug Evaluation and Research and the FDA’s CDRH Office.</w:t>
      </w:r>
    </w:p>
    <w:p>
      <w:pPr>
        <w:spacing w:after="0" w:line="18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Under the FDCA,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w:t>
      </w:r>
    </w:p>
    <w:p>
      <w:pPr>
        <w:spacing w:after="0" w:line="156"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fees for medical device product review. For federal fiscal year 2020, the standard fee for review of a PMA is $340,995 and the small business fee is $85,249.</w:t>
      </w:r>
    </w:p>
    <w:p>
      <w:pPr>
        <w:spacing w:after="0" w:line="230" w:lineRule="exact"/>
        <w:rPr>
          <w:sz w:val="20"/>
          <w:szCs w:val="20"/>
          <w:color w:val="auto"/>
        </w:rPr>
      </w:pPr>
    </w:p>
    <w:p>
      <w:pPr>
        <w:ind w:right="20" w:firstLine="648"/>
        <w:spacing w:after="0" w:line="241" w:lineRule="auto"/>
        <w:rPr>
          <w:sz w:val="20"/>
          <w:szCs w:val="20"/>
          <w:color w:val="auto"/>
        </w:rPr>
      </w:pPr>
      <w:r>
        <w:rPr>
          <w:rFonts w:ascii="Arial" w:cs="Arial" w:eastAsia="Arial" w:hAnsi="Arial"/>
          <w:sz w:val="17"/>
          <w:szCs w:val="17"/>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(i) has the same technological characteristics as the predicate device, or (ii) has different technological characteristics, and (a) the data supporting substantial equivalence contains information, including appropriate clinical or scientific data, if deemed necessary by the FDA, that demonstrates that the device is as safe and as effective as a legally marketed device, and (b)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 On July 23, 2018, the CDRH of the FDA cleared the 510(k) for our V-TAG</w:t>
      </w:r>
      <w:r>
        <w:rPr>
          <w:rFonts w:ascii="Arial" w:cs="Arial" w:eastAsia="Arial" w:hAnsi="Arial"/>
          <w:sz w:val="26"/>
          <w:szCs w:val="26"/>
          <w:color w:val="auto"/>
          <w:vertAlign w:val="superscript"/>
        </w:rPr>
        <w:t>TM</w:t>
      </w:r>
      <w:r>
        <w:rPr>
          <w:rFonts w:ascii="Arial" w:cs="Arial" w:eastAsia="Arial" w:hAnsi="Arial"/>
          <w:sz w:val="17"/>
          <w:szCs w:val="17"/>
          <w:color w:val="auto"/>
        </w:rPr>
        <w:t xml:space="preserve"> device that is compatible for use with MRIs.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 Outside of the United States</w:t>
      </w:r>
    </w:p>
    <w:p>
      <w:pPr>
        <w:spacing w:after="0" w:line="25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w:t>
      </w:r>
    </w:p>
    <w:p>
      <w:pPr>
        <w:spacing w:after="0" w:line="202" w:lineRule="exact"/>
        <w:rPr>
          <w:sz w:val="20"/>
          <w:szCs w:val="20"/>
          <w:color w:val="auto"/>
        </w:rPr>
      </w:pPr>
    </w:p>
    <w:p>
      <w:pPr>
        <w:ind w:right="20" w:firstLine="648"/>
        <w:spacing w:after="0" w:line="292"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e.g., a clinical trial application for each clinical trial for each EU country in which the trial is conducted; a clinical trial notification is required in Japan.</w:t>
      </w:r>
    </w:p>
    <w:p>
      <w:pPr>
        <w:spacing w:after="0" w:line="188" w:lineRule="exact"/>
        <w:rPr>
          <w:sz w:val="20"/>
          <w:szCs w:val="20"/>
          <w:color w:val="auto"/>
        </w:rPr>
      </w:pPr>
    </w:p>
    <w:p>
      <w:pPr>
        <w:ind w:right="360" w:firstLine="648"/>
        <w:spacing w:after="0" w:line="248"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Pricing and Reimbursement for Biopharmaceutical Products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60"/>
        <w:spacing w:after="0" w:line="294" w:lineRule="auto"/>
        <w:rPr>
          <w:sz w:val="20"/>
          <w:szCs w:val="20"/>
          <w:color w:val="auto"/>
        </w:rPr>
      </w:pPr>
      <w:r>
        <w:rPr>
          <w:rFonts w:ascii="Arial" w:cs="Arial" w:eastAsia="Arial" w:hAnsi="Arial"/>
          <w:sz w:val="16"/>
          <w:szCs w:val="16"/>
          <w:color w:val="auto"/>
        </w:rPr>
        <w:t>could further limit our net revenue and results. Decreases in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43" w:lineRule="exact"/>
        <w:rPr>
          <w:sz w:val="20"/>
          <w:szCs w:val="20"/>
          <w:color w:val="auto"/>
        </w:rPr>
      </w:pPr>
    </w:p>
    <w:p>
      <w:pPr>
        <w:ind w:right="80" w:firstLine="648"/>
        <w:spacing w:after="0" w:line="263" w:lineRule="auto"/>
        <w:rPr>
          <w:sz w:val="20"/>
          <w:szCs w:val="20"/>
          <w:color w:val="auto"/>
        </w:rPr>
      </w:pPr>
      <w:r>
        <w:rPr>
          <w:rFonts w:ascii="Arial" w:cs="Arial" w:eastAsia="Arial" w:hAnsi="Arial"/>
          <w:sz w:val="17"/>
          <w:szCs w:val="17"/>
          <w:color w:val="auto"/>
        </w:rPr>
        <w:t>We were incorporated under the laws of Delaware in June 2013. Our principal executive offices are located at 75 Sidney Street, Cambridge, MA 02139. Other operations, including laboratory space, are located at 64 Sidney Street, Cambridge, MA 02139. We lease our office and laboratory space, which consist of approximately 74,000 square feet located in two locations in Cambridge, Massachusetts. Our lease expires in 2026.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7"/>
          <w:szCs w:val="17"/>
          <w:color w:val="auto"/>
        </w:rPr>
        <w:t>As of December 31, 2019, we employed 185 full-time employees in the United States, including 144 in research and development and 41 in general and administrative, and one part-time employee. Sixty of our employees have either an MD, PhD, or PharmD. We have never had a work stoppage, and none of our employees is represented by a labor organization or under any collective-bargaining arrangements. We consider our employee relations to be positive.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As of the date of this Annual Report on Form 10-K, we were not party to any material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Our Internet address is http://www.voyagertherapeutics.com. We make available, free of charge, on or through our website our annual reports on Form 10-K, quarterly reports on Form 10-Q, current reports on Form 8-K, proxy statements and any amendments to those reports filed or furnished pursuant to Section 13(a) or 15(d) of the Securities and Exchange Act as soon as reasonably practicable after such material is electronically filed with or furnished to the Securities and Exchange Commission. The information on our website is not part of this Annual Report for the year ended December 31, 2019.</w:t>
      </w:r>
    </w:p>
    <w:p>
      <w:pPr>
        <w:spacing w:after="0" w:line="19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 this Annual Report on Form 10-K, including our financial statements and related notes thereto, should be carefully considered. The risks and uncertainties described below are not the only ones we face. Additional risks and uncertainties not presently known to us or that we presently deem less significant may also impair our business operations. Please see page 3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1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losses for the foreseeable future and may never achieve or maintain profitability.</w:t>
      </w:r>
    </w:p>
    <w:p>
      <w:pPr>
        <w:spacing w:after="0" w:line="169"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We are a clinical-stage gene therapy company with a limited operating history and have not yet generated revenues from the sales of our product candidates. Investment in biotechnology companies is highly speculative because it entails substantial upfront capital expenditures and significant risk that any product candidates will fail to be safe and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efficacious, obtain regulatory approval or become commercially viable. We have not yet demonstrated the ability to complete any clinical trials of our product candidates, obtain marketing approvals, manufacture a commercial-scale product or conduct sales and marketing activities necessary for successful commercialization. We continue to incur significant expenses related to research and development, and other operations in order to commercialize our product candidates. As a result, we are not and have never been profitable and have incurred losses since our inception. Our net losses were $43.6 million,</w:t>
      </w:r>
    </w:p>
    <w:p>
      <w:pPr>
        <w:spacing w:after="0" w:line="2" w:lineRule="exact"/>
        <w:rPr>
          <w:sz w:val="20"/>
          <w:szCs w:val="20"/>
          <w:color w:val="auto"/>
        </w:rPr>
      </w:pPr>
    </w:p>
    <w:p>
      <w:pPr>
        <w:ind w:right="1240"/>
        <w:spacing w:after="0" w:line="243" w:lineRule="auto"/>
        <w:rPr>
          <w:sz w:val="20"/>
          <w:szCs w:val="20"/>
          <w:color w:val="auto"/>
        </w:rPr>
      </w:pPr>
      <w:r>
        <w:rPr>
          <w:rFonts w:ascii="Arial" w:cs="Arial" w:eastAsia="Arial" w:hAnsi="Arial"/>
          <w:sz w:val="18"/>
          <w:szCs w:val="18"/>
          <w:color w:val="auto"/>
        </w:rPr>
        <w:t>$88.3 million, and $70.7 million for the years ended December 31, 2019, 2018, and 2017 respectively. As of December 31, 2019, we had an accumulated deficit of $312.6 million.</w:t>
      </w:r>
    </w:p>
    <w:p>
      <w:pPr>
        <w:spacing w:after="0" w:line="186" w:lineRule="exact"/>
        <w:rPr>
          <w:sz w:val="20"/>
          <w:szCs w:val="20"/>
          <w:color w:val="auto"/>
        </w:rPr>
      </w:pPr>
    </w:p>
    <w:p>
      <w:pPr>
        <w:ind w:right="120" w:firstLine="648"/>
        <w:spacing w:after="0" w:line="252" w:lineRule="auto"/>
        <w:rPr>
          <w:sz w:val="20"/>
          <w:szCs w:val="20"/>
          <w:color w:val="auto"/>
        </w:rPr>
      </w:pPr>
      <w:r>
        <w:rPr>
          <w:rFonts w:ascii="Arial" w:cs="Arial" w:eastAsia="Arial" w:hAnsi="Arial"/>
          <w:sz w:val="17"/>
          <w:szCs w:val="17"/>
          <w:color w:val="auto"/>
        </w:rPr>
        <w:t>We historically have financed our operations primarily through private placements of our redeemable convertible preferred stock, public offerings of our common stock, and strategic collaborations, including those with Sanofi Genzyme Corporation, or Sanofi Genzyme, AbbVie Biotechnology Ltd and AbbVie Ireland Unlimited Company, or collectively, AbbVie, and Neurocrine Biosciences, Inc., or Neurocrine. On November 16, 2015 we closed our initial public offering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commissions and offering expenses payable by us. On November 7, 2017, we sold 5,175,000 shares of common stock to the public at an offering price of $12.00 per share, including 675,000 shares of common stock issued upon the full exercise by the underwriters of their option to purchase additional shares, resulting in net proceeds to us of $58.0 million after deducting underwriting discounts, commissions, and offering expenses payable by us. On March 11, 2019, in connection with our collaboration with Neurocrine, we sold 4,179,728 shares of common stock to Neurocrine at a price of $11.9625 per share, resulting in net proceeds to us of $50.0 million.</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To date, we have devoted substantially all of our financial resources to building our gene therapy platform, selecting product programs, conducting research and development, including preclinical development of our product candidates, building our intellectual property portfolio, building our team, and establishing strategic collaborations. We expect that it could be several years before we have a commercialized product, if we ever succeed in doing so.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2" w:lineRule="exact"/>
        <w:rPr>
          <w:sz w:val="20"/>
          <w:szCs w:val="20"/>
          <w:color w:val="auto"/>
        </w:rPr>
      </w:pPr>
    </w:p>
    <w:p>
      <w:pPr>
        <w:ind w:left="1000" w:right="420" w:hanging="32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capsid engineering and payload development, manufacturing, dosing, and delivery techniques;</w:t>
      </w:r>
    </w:p>
    <w:p>
      <w:pPr>
        <w:spacing w:after="0" w:line="170" w:lineRule="exact"/>
        <w:rPr>
          <w:rFonts w:ascii="Arial" w:cs="Arial" w:eastAsia="Arial" w:hAnsi="Arial"/>
          <w:sz w:val="18"/>
          <w:szCs w:val="18"/>
          <w:color w:val="auto"/>
        </w:rPr>
      </w:pPr>
    </w:p>
    <w:p>
      <w:pPr>
        <w:ind w:left="1000" w:right="480" w:hanging="32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work with our collaboration partner Neurocrine to advance VY-AADC (NBIb-1817) as a treatment for Parkinson’s disease through Phase 1 development and the VY-AADC RESTORE-1 Phase 2 clinical trial;</w:t>
      </w:r>
    </w:p>
    <w:p>
      <w:pPr>
        <w:spacing w:after="0" w:line="123" w:lineRule="exact"/>
        <w:rPr>
          <w:rFonts w:ascii="Arial" w:cs="Arial" w:eastAsia="Arial" w:hAnsi="Arial"/>
          <w:sz w:val="16"/>
          <w:szCs w:val="16"/>
          <w:color w:val="auto"/>
        </w:rPr>
      </w:pPr>
    </w:p>
    <w:p>
      <w:pPr>
        <w:ind w:left="1000" w:right="20" w:hanging="32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and continue research and development of, our other programs;</w:t>
      </w:r>
    </w:p>
    <w:p>
      <w:pPr>
        <w:spacing w:after="0" w:line="170" w:lineRule="exact"/>
        <w:rPr>
          <w:rFonts w:ascii="Arial" w:cs="Arial" w:eastAsia="Arial" w:hAnsi="Arial"/>
          <w:sz w:val="18"/>
          <w:szCs w:val="18"/>
          <w:color w:val="auto"/>
        </w:rPr>
      </w:pPr>
    </w:p>
    <w:p>
      <w:pPr>
        <w:ind w:left="1000" w:right="180" w:hanging="32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 joint research and development under our strategic collaborations for the research, development, and commercialization of certain of our pipeline programs;</w:t>
      </w:r>
    </w:p>
    <w:p>
      <w:pPr>
        <w:spacing w:after="0" w:line="170" w:lineRule="exact"/>
        <w:rPr>
          <w:rFonts w:ascii="Arial" w:cs="Arial" w:eastAsia="Arial" w:hAnsi="Arial"/>
          <w:sz w:val="18"/>
          <w:szCs w:val="18"/>
          <w:color w:val="auto"/>
        </w:rPr>
      </w:pPr>
    </w:p>
    <w:p>
      <w:pPr>
        <w:ind w:left="1000" w:right="780" w:hanging="32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70" w:lineRule="exact"/>
        <w:rPr>
          <w:rFonts w:ascii="Arial" w:cs="Arial" w:eastAsia="Arial" w:hAnsi="Arial"/>
          <w:sz w:val="18"/>
          <w:szCs w:val="18"/>
          <w:color w:val="auto"/>
        </w:rPr>
      </w:pPr>
    </w:p>
    <w:p>
      <w:pPr>
        <w:ind w:left="1000" w:right="320" w:hanging="32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AAV gene therapies and develop additional programs or product candidates;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right="220" w:hanging="323"/>
        <w:spacing w:after="0" w:line="264"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obtain and maintain regulatory clearances for devices to deliver our AAV gene therapies, and to provide financial and operating support to partners manufacturing and supplying these devices for use in our clinical development program;</w:t>
      </w:r>
    </w:p>
    <w:p>
      <w:pPr>
        <w:spacing w:after="0" w:line="181" w:lineRule="exact"/>
        <w:rPr>
          <w:rFonts w:ascii="Arial" w:cs="Arial" w:eastAsia="Arial" w:hAnsi="Arial"/>
          <w:sz w:val="18"/>
          <w:szCs w:val="18"/>
          <w:color w:val="auto"/>
        </w:rPr>
      </w:pPr>
    </w:p>
    <w:p>
      <w:pPr>
        <w:ind w:left="1000" w:right="220" w:hanging="32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marketing and regulatory approvals for VY-AADC (NBIb-1817) or other product candidates or devices that arise from our programs that successfully complete clinical development;</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225" w:lineRule="exact"/>
        <w:rPr>
          <w:rFonts w:ascii="Arial" w:cs="Arial" w:eastAsia="Arial" w:hAnsi="Arial"/>
          <w:sz w:val="18"/>
          <w:szCs w:val="18"/>
          <w:color w:val="auto"/>
        </w:rPr>
      </w:pPr>
    </w:p>
    <w:p>
      <w:pPr>
        <w:ind w:left="1000" w:right="200" w:hanging="32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70" w:lineRule="exact"/>
        <w:rPr>
          <w:rFonts w:ascii="Arial" w:cs="Arial" w:eastAsia="Arial" w:hAnsi="Arial"/>
          <w:sz w:val="18"/>
          <w:szCs w:val="18"/>
          <w:color w:val="auto"/>
        </w:rPr>
      </w:pPr>
    </w:p>
    <w:p>
      <w:pPr>
        <w:ind w:left="1000" w:right="160" w:hanging="32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1000" w:right="740" w:hanging="32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5" w:lineRule="exact"/>
        <w:rPr>
          <w:sz w:val="20"/>
          <w:szCs w:val="20"/>
          <w:color w:val="auto"/>
        </w:rPr>
      </w:pPr>
    </w:p>
    <w:p>
      <w:pPr>
        <w:ind w:right="500" w:firstLine="648"/>
        <w:spacing w:after="0" w:line="248"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Our expenses will increase if:</w:t>
      </w:r>
    </w:p>
    <w:p>
      <w:pPr>
        <w:spacing w:after="0" w:line="182" w:lineRule="exact"/>
        <w:rPr>
          <w:sz w:val="20"/>
          <w:szCs w:val="20"/>
          <w:color w:val="auto"/>
        </w:rPr>
      </w:pPr>
    </w:p>
    <w:p>
      <w:pPr>
        <w:ind w:left="1000" w:right="280" w:hanging="323"/>
        <w:spacing w:after="0" w:line="26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FDA, or the European Medicines Agency, or EMA, or other regulatory agencies to redesign or modify trials or studies or to perform trials or studies in addition to those currently expected;</w:t>
      </w:r>
    </w:p>
    <w:p>
      <w:pPr>
        <w:spacing w:after="0" w:line="181" w:lineRule="exact"/>
        <w:rPr>
          <w:rFonts w:ascii="Arial" w:cs="Arial" w:eastAsia="Arial" w:hAnsi="Arial"/>
          <w:sz w:val="18"/>
          <w:szCs w:val="18"/>
          <w:color w:val="auto"/>
        </w:rPr>
      </w:pPr>
    </w:p>
    <w:p>
      <w:pPr>
        <w:ind w:left="1000" w:right="420" w:hanging="32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any delays in the receipt of regulatory clearance to begin our planned clinical programs or to use companion devices required in such clinical programs; or</w:t>
      </w:r>
    </w:p>
    <w:p>
      <w:pPr>
        <w:spacing w:after="0" w:line="170" w:lineRule="exact"/>
        <w:rPr>
          <w:rFonts w:ascii="Arial" w:cs="Arial" w:eastAsia="Arial" w:hAnsi="Arial"/>
          <w:sz w:val="18"/>
          <w:szCs w:val="18"/>
          <w:color w:val="auto"/>
        </w:rPr>
      </w:pPr>
    </w:p>
    <w:p>
      <w:pPr>
        <w:ind w:left="1000" w:right="380" w:hanging="32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any delays in enrollment of patients in or completing our clinical trials or the development of our product candidates.</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To become and remain profitable, we must develop and eventually commercialize, alone or with our collaborators,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developing and obtaining marketing approval of any required companion devices; manufacturing at clinical and commercial scale; marketing and selling those products that are approved; satisfying any post-marketing requirements and achieving an adequate level of market acceptance of and obtaining and maintaining adequate coverage and reimbursement from third-party payors for such products; and protecting our rights to our intellectual property portfolio.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our stockholders to lose all or part of their investment.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may not be able to generate sufficient revenue from the commercialization of our product candidates and may never be profitable.</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Our ability to generate revenue and achieve profitability depends on our ability, alone or with our collaboration partners, to successfully complete the development of, and obtain the regulatory approvals necessary to commercialize, our current and future product candidates. Our lead product candidate VY-AADC (NBIb-1817), which we have the option to co-commercialize with Neurocrine in the United States, is being evaluated in the Phase 1b clinical trial, the separate Phase 1 clinical trial, and the RESTORE-1 Phase 2 clinical trial. We do not anticipate generating revenues from product sales for the next several years, and we may never succeed in doing so. Our ability to generate future revenues from product sales depends heavily on our and our collaborators’ success in:</w:t>
      </w:r>
    </w:p>
    <w:p>
      <w:pPr>
        <w:spacing w:after="0" w:line="180" w:lineRule="exact"/>
        <w:rPr>
          <w:sz w:val="20"/>
          <w:szCs w:val="20"/>
          <w:color w:val="auto"/>
        </w:rPr>
      </w:pPr>
    </w:p>
    <w:p>
      <w:pPr>
        <w:ind w:left="1000" w:hanging="32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completing preclinical and clinical development of our product candidates and any required companion devices and identifying new product candidates;</w:t>
      </w:r>
    </w:p>
    <w:p>
      <w:pPr>
        <w:spacing w:after="0" w:line="170" w:lineRule="exact"/>
        <w:rPr>
          <w:rFonts w:ascii="Arial" w:cs="Arial" w:eastAsia="Arial" w:hAnsi="Arial"/>
          <w:sz w:val="18"/>
          <w:szCs w:val="18"/>
          <w:color w:val="auto"/>
        </w:rPr>
      </w:pPr>
    </w:p>
    <w:p>
      <w:pPr>
        <w:ind w:left="1000" w:right="500" w:hanging="32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70" w:lineRule="exact"/>
        <w:rPr>
          <w:rFonts w:ascii="Arial" w:cs="Arial" w:eastAsia="Arial" w:hAnsi="Arial"/>
          <w:sz w:val="18"/>
          <w:szCs w:val="18"/>
          <w:color w:val="auto"/>
        </w:rPr>
      </w:pPr>
    </w:p>
    <w:p>
      <w:pPr>
        <w:ind w:left="1000" w:right="120" w:hanging="323"/>
        <w:spacing w:after="0" w:line="26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marketing and distribution infrastructure or, alternatively, collaborating with a commercialization partner;</w:t>
      </w:r>
    </w:p>
    <w:p>
      <w:pPr>
        <w:spacing w:after="0" w:line="181" w:lineRule="exact"/>
        <w:rPr>
          <w:rFonts w:ascii="Arial" w:cs="Arial" w:eastAsia="Arial" w:hAnsi="Arial"/>
          <w:sz w:val="18"/>
          <w:szCs w:val="18"/>
          <w:color w:val="auto"/>
        </w:rPr>
      </w:pPr>
    </w:p>
    <w:p>
      <w:pPr>
        <w:ind w:left="1000" w:right="20" w:hanging="32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adequate coverage and reimbursement by government and third-party payors for our product candidates if and when approved;</w:t>
      </w:r>
    </w:p>
    <w:p>
      <w:pPr>
        <w:spacing w:after="0" w:line="170" w:lineRule="exact"/>
        <w:rPr>
          <w:rFonts w:ascii="Arial" w:cs="Arial" w:eastAsia="Arial" w:hAnsi="Arial"/>
          <w:sz w:val="18"/>
          <w:szCs w:val="18"/>
          <w:color w:val="auto"/>
        </w:rPr>
      </w:pPr>
    </w:p>
    <w:p>
      <w:pPr>
        <w:ind w:left="1000" w:right="40" w:hanging="32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and enhancing a sustainable, scalable, reproducible and transferable manufacturing process for our vectors and product candidates;</w:t>
      </w:r>
    </w:p>
    <w:p>
      <w:pPr>
        <w:spacing w:after="0" w:line="170" w:lineRule="exact"/>
        <w:rPr>
          <w:rFonts w:ascii="Arial" w:cs="Arial" w:eastAsia="Arial" w:hAnsi="Arial"/>
          <w:sz w:val="18"/>
          <w:szCs w:val="18"/>
          <w:color w:val="auto"/>
        </w:rPr>
      </w:pPr>
    </w:p>
    <w:p>
      <w:pPr>
        <w:ind w:left="1000" w:right="120" w:hanging="323"/>
        <w:spacing w:after="0" w:line="31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have the financial, operating and technical capabilities to provide adequate products and services, in both amount and quality, to support clinical development and the market demand for our product candidates, if and when approved;</w:t>
      </w:r>
    </w:p>
    <w:p>
      <w:pPr>
        <w:spacing w:after="0" w:line="146" w:lineRule="exact"/>
        <w:rPr>
          <w:rFonts w:ascii="Arial" w:cs="Arial" w:eastAsia="Arial" w:hAnsi="Arial"/>
          <w:sz w:val="16"/>
          <w:szCs w:val="16"/>
          <w:color w:val="auto"/>
        </w:rPr>
      </w:pPr>
    </w:p>
    <w:p>
      <w:pPr>
        <w:ind w:left="1000" w:hanging="32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obtaining an adequate level of market acceptance of our product candidates as a viable treatment option;</w:t>
      </w:r>
    </w:p>
    <w:p>
      <w:pPr>
        <w:spacing w:after="0" w:line="236" w:lineRule="exact"/>
        <w:rPr>
          <w:rFonts w:ascii="Arial" w:cs="Arial" w:eastAsia="Arial" w:hAnsi="Arial"/>
          <w:sz w:val="17"/>
          <w:szCs w:val="17"/>
          <w:color w:val="auto"/>
        </w:rPr>
      </w:pPr>
    </w:p>
    <w:p>
      <w:pPr>
        <w:ind w:left="1000" w:hanging="32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225" w:lineRule="exact"/>
        <w:rPr>
          <w:rFonts w:ascii="Arial" w:cs="Arial" w:eastAsia="Arial" w:hAnsi="Arial"/>
          <w:sz w:val="18"/>
          <w:szCs w:val="18"/>
          <w:color w:val="auto"/>
        </w:rPr>
      </w:pPr>
    </w:p>
    <w:p>
      <w:pPr>
        <w:ind w:left="1000" w:right="80" w:hanging="32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70" w:lineRule="exact"/>
        <w:rPr>
          <w:rFonts w:ascii="Arial" w:cs="Arial" w:eastAsia="Arial" w:hAnsi="Arial"/>
          <w:sz w:val="18"/>
          <w:szCs w:val="18"/>
          <w:color w:val="auto"/>
        </w:rPr>
      </w:pPr>
    </w:p>
    <w:p>
      <w:pPr>
        <w:ind w:left="1000" w:right="560" w:hanging="32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maintaining, protecting, enforcing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avoiding and defending against third-party claims of interference or infringement;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EMA, or other regulatory authorities to redesign or modify preclinical studies or clinical trials or to perform preclinical studies or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9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We expect our expenses to increase in connection with our ongoing and planned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product sales, medical affairs, marketing, manufacturing and distribution. Since the completion of our IPO on November 16, 2015, we have also incurred costs associated with operating as a public company. Accordingly, we will need to obtain substantial additional funding in connection with our continuing operations. If we are unable to raise capital or enter into business development transactions when needed or on acceptable terms, we could be forced to delay, reduce or eliminate certain of our research and development programs or any future commercialization efforts.</w:t>
      </w:r>
    </w:p>
    <w:p>
      <w:pPr>
        <w:spacing w:after="0" w:line="169"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Our operations have consumed significant amounts of cash since inception. As of December 31, 2019, our cash, cash equivalents, and marketable debt securities were $281.5 million. Based upon our current operating plan, we expect that our existing cash, cash equivalents, and marketable debt securities, as well as ongoing reimbursement amounts expected from development costs related to our collaboration and license agreement with Neurocrine, or the Neurocrine Collaboration Agreement, will enable us to meet our operating expenses and capital expenditure requirements into mid-2022.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1000" w:right="40" w:hanging="32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 and any required companion devices;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scope, progress, results, costs, prioritization, and number of our research and development programs;</w:t>
      </w:r>
    </w:p>
    <w:p>
      <w:pPr>
        <w:spacing w:after="0" w:line="236" w:lineRule="exact"/>
        <w:rPr>
          <w:rFonts w:ascii="Arial" w:cs="Arial" w:eastAsia="Arial" w:hAnsi="Arial"/>
          <w:sz w:val="17"/>
          <w:szCs w:val="17"/>
          <w:color w:val="auto"/>
        </w:rPr>
      </w:pPr>
    </w:p>
    <w:p>
      <w:pPr>
        <w:jc w:val="both"/>
        <w:ind w:left="1000" w:right="80" w:hanging="323"/>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progress and status of our strategic collaborations, including any research and development costs for which we are responsible, the potential exercise by our collaboration partners of options to develop or license certain products and product candidates, and our potential receipt of future milestone payments and royalties from our collaboration partners;</w:t>
      </w:r>
    </w:p>
    <w:p>
      <w:pPr>
        <w:spacing w:after="0" w:line="186" w:lineRule="exact"/>
        <w:rPr>
          <w:rFonts w:ascii="Arial" w:cs="Arial" w:eastAsia="Arial" w:hAnsi="Arial"/>
          <w:sz w:val="18"/>
          <w:szCs w:val="18"/>
          <w:color w:val="auto"/>
        </w:rPr>
      </w:pPr>
    </w:p>
    <w:p>
      <w:pPr>
        <w:jc w:val="both"/>
        <w:ind w:left="1000" w:right="20" w:hanging="323"/>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65" w:lineRule="exact"/>
        <w:rPr>
          <w:rFonts w:ascii="Arial" w:cs="Arial" w:eastAsia="Arial" w:hAnsi="Arial"/>
          <w:sz w:val="17"/>
          <w:szCs w:val="17"/>
          <w:color w:val="auto"/>
        </w:rPr>
      </w:pPr>
    </w:p>
    <w:p>
      <w:pPr>
        <w:ind w:left="1000" w:hanging="32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1000" w:right="580" w:hanging="32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70" w:lineRule="exact"/>
        <w:rPr>
          <w:rFonts w:ascii="Arial" w:cs="Arial" w:eastAsia="Arial" w:hAnsi="Arial"/>
          <w:sz w:val="18"/>
          <w:szCs w:val="18"/>
          <w:color w:val="auto"/>
        </w:rPr>
      </w:pPr>
    </w:p>
    <w:p>
      <w:pPr>
        <w:ind w:left="1000" w:right="340" w:hanging="32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property-related claims;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right="200" w:hanging="323"/>
        <w:spacing w:after="0" w:line="264"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including any intellectual property associated with such candidates or technologies, or acquire or invest in other businesses, such as our investment in CLPT;</w:t>
      </w:r>
    </w:p>
    <w:p>
      <w:pPr>
        <w:spacing w:after="0" w:line="181" w:lineRule="exact"/>
        <w:rPr>
          <w:rFonts w:ascii="Arial" w:cs="Arial" w:eastAsia="Arial" w:hAnsi="Arial"/>
          <w:sz w:val="18"/>
          <w:szCs w:val="18"/>
          <w:color w:val="auto"/>
        </w:rPr>
      </w:pPr>
    </w:p>
    <w:p>
      <w:pPr>
        <w:ind w:left="1000" w:right="40" w:hanging="32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related to evaluating possible alternative devices that may be useful in the delivery of our product candidates, including our potential delivery devices, such as the Variable Trajectory Array Guide, or V-TAG™;</w:t>
      </w:r>
    </w:p>
    <w:p>
      <w:pPr>
        <w:spacing w:after="0" w:line="123" w:lineRule="exact"/>
        <w:rPr>
          <w:rFonts w:ascii="Arial" w:cs="Arial" w:eastAsia="Arial" w:hAnsi="Arial"/>
          <w:sz w:val="16"/>
          <w:szCs w:val="16"/>
          <w:color w:val="auto"/>
        </w:rPr>
      </w:pPr>
    </w:p>
    <w:p>
      <w:pPr>
        <w:ind w:left="1000" w:right="360" w:hanging="32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advancing our manufacturing capabilities and of securing manufacturing arrangements for pre-commercial and commercial production;</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product sales by us or our collaborators from any product candidates for which we obtain marketing approval in the future;</w:t>
      </w:r>
    </w:p>
    <w:p>
      <w:pPr>
        <w:spacing w:after="0" w:line="170" w:lineRule="exact"/>
        <w:rPr>
          <w:rFonts w:ascii="Arial" w:cs="Arial" w:eastAsia="Arial" w:hAnsi="Arial"/>
          <w:sz w:val="18"/>
          <w:szCs w:val="18"/>
          <w:color w:val="auto"/>
        </w:rPr>
      </w:pPr>
    </w:p>
    <w:p>
      <w:pPr>
        <w:ind w:left="1000" w:right="160" w:hanging="323"/>
        <w:spacing w:after="0" w:line="264"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operating as a public company, meeting applicable financial, regulatory, and quality control standards, fulfilling healthcare compliance requirements, and maintaining adequate product, clinical trial, and directors’ and officers’ liability insurance coverage; and</w:t>
      </w:r>
    </w:p>
    <w:p>
      <w:pPr>
        <w:spacing w:after="0" w:line="181" w:lineRule="exact"/>
        <w:rPr>
          <w:rFonts w:ascii="Arial" w:cs="Arial" w:eastAsia="Arial" w:hAnsi="Arial"/>
          <w:sz w:val="18"/>
          <w:szCs w:val="18"/>
          <w:color w:val="auto"/>
        </w:rPr>
      </w:pPr>
    </w:p>
    <w:p>
      <w:pPr>
        <w:jc w:val="both"/>
        <w:ind w:left="1000" w:right="960" w:hanging="32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124"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 payments or royalty payments under our collaboration agreements will be derived from sales of products that may not be commercially available for many years, if at all. Accordingly, we will need to continue to rely on additional financing and business development to achieve our business objectives. Adequate additional financing or business development transactions may not be available to us on acceptable terms, or at all.</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6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Until such time, if ever, as we can generate product revenues sufficient to achieve profitability, we expect to finance our cash needs through a combination of equity offerings, debt financings, collaborations, strategic alliances, and licensing arrangements. We do not have any committed external source of funds other than the amounts we are entitled to receive from our collaboration partners for potential option exercises, the achievement of specified regulatory and commercial milestones, and royalty payments under our collaboration agreements.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 In addition, we may seek additional capital due to favorable market conditions or strategic considerations, even if we believe we have sufficient funds for our current or future operating plans. Our issuance of additional securities, whether equity or debt, or the possibility of such issuance, may cause the market price of our common stock to decline. Further, our existing stockholders may not agree with the terms of such financings.</w:t>
      </w:r>
    </w:p>
    <w:p>
      <w:pPr>
        <w:spacing w:after="0" w:line="17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that we would otherwise prefer to develop and market ourselves. Such collaborations, alliances, or licensing arrangements could therefore cause the market price of common stock to decline.</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Our limited operating history may make it difficult for our stockholders to evaluate the success of our business to date and to assess our future viability.</w:t>
      </w:r>
    </w:p>
    <w:p>
      <w:pPr>
        <w:spacing w:after="0" w:line="169"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We are a clinical stage company. Our operating history is short, and to date has been limited to building our team, business planning, raising capital, establishing our intellectual property portfolio, determining which neurological diseases to pursue, advancing our product candidates including delivery and manufacturing and conducting preclinical studies and clinical trials. Consequently, any predictions about our future success or viability may not be as accurate as they could be if we had a longer operating history.</w:t>
      </w:r>
    </w:p>
    <w:p>
      <w:pPr>
        <w:spacing w:after="0" w:line="190"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To achieve our current goals, we will need to transition in the future from a company with a research and development focus to a company capable of supporting commercial activities. We may not be successful in such a transition.</w:t>
      </w:r>
    </w:p>
    <w:p>
      <w:pPr>
        <w:spacing w:after="0" w:line="188" w:lineRule="exact"/>
        <w:rPr>
          <w:sz w:val="20"/>
          <w:szCs w:val="20"/>
          <w:color w:val="auto"/>
        </w:rPr>
      </w:pPr>
    </w:p>
    <w:p>
      <w:pPr>
        <w:jc w:val="both"/>
        <w:ind w:right="240" w:firstLine="972"/>
        <w:spacing w:after="0" w:line="294" w:lineRule="auto"/>
        <w:rPr>
          <w:sz w:val="20"/>
          <w:szCs w:val="20"/>
          <w:color w:val="auto"/>
        </w:rPr>
      </w:pPr>
      <w:r>
        <w:rPr>
          <w:rFonts w:ascii="Arial" w:cs="Arial" w:eastAsia="Arial" w:hAnsi="Arial"/>
          <w:sz w:val="16"/>
          <w:szCs w:val="16"/>
          <w:color w:val="auto"/>
        </w:rPr>
        <w:t>We expect our financial condition and operating results to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1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b w:val="1"/>
          <w:bCs w:val="1"/>
          <w:i w:val="1"/>
          <w:iCs w:val="1"/>
          <w:color w:val="auto"/>
        </w:rPr>
        <w:t>Our AAV gene therapy product candidates are based on a relatively novel technology, which makes it difficult and potentially infeasible to predict the duration and cost of development of, and subsequently obtaining regulatory approval for, our product candidates. Only two AAV gene therapy products have been approved in the United States. In Europe, only two AAV gene therapy products have been approved.</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We have concentrated our research and development efforts to date on our gene therapy platform, identifying our initial targeted disease indications, and our initial product candidates. Our future success depends on our successful development of viable AAV gene therapy product candidates. Currently, only one of our product candidates, VY-AADC (NBIb-1817), is in clinical development, and the remainder of our product candidates are in preclinical development. AAV gene therapies are a relatively new technology. We cannot accurately predict when or if any of our product candidates will prove effective or safe in humans or whether these product candidates will receive marketing approval. There can be no assurance that we will not experience problems or delays in the preclinical testing or development of our product candidates and that such problems or delays will not cause unanticipated costs, or that any such problems or delays can be solved in a timely or profitable basis, if at all. We also may experience unanticipated problems or delays in expanding our manufacturing capacity.</w:t>
      </w:r>
    </w:p>
    <w:p>
      <w:pPr>
        <w:spacing w:after="0" w:line="18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Until August 2017, the FDA had never approved a gene therapy product. Since that time, it has approved Luxturna, an AAV gene therapy product by Spark for patients with an inherited form of vision loss, and Zolgensma, an AAV gene therapy product by Avexis, a Novartis company, for pediatric patients with spinal muscular atrophy. The FDA has also approved two non-AAV gene therapy products, Kymriah by Novartis International AG, for pediatric and young adult patients with a form of acute lymphoblastic leukemia and Yescarta by Kite Pharma, Inc., for adult patients with certain forms of non-Hodgkin lymphoma. In Europe, two AAV gene therapy products, Glybera by uniQure N.V., or uniQure, and Luxturna by Spark, have been granted marketing authorization; however, uniQure decided not to pursue renewal of such authorization in 2017 and has since withdrawn Glybera from the European market. The European Commission also has approved four non-AAV gene therapy products, Strimvelis 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Orchard Therapeutics (Netherlands) BV, Kymriah, Yescarta, and ZYNTEGLO by bluebird bio for a form of transfusion-dependent β-thalassemia.</w:t>
      </w:r>
    </w:p>
    <w:p>
      <w:pPr>
        <w:spacing w:after="0" w:line="169"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It is difficult to determine how long it will take or how much it will cost to obtain regulatory approvals for our product candidates in either the United States or the European Union or how long it will take to commercialize our product candidates. The few regulatory approvals to date may not be indicative of what the FDA, European Commission, or other regulatory authorities may require for approval or whether different or additional preclinical studies or clinical trials may be required to support regulatory approval in a particular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changed frequently and may continue to change in the future. Such requirements may lengthen the regulatory review process, require us to modify current studies or perform additional studies or increase our development costs, which in turn may force us to delay, limit, or terminate certain of our programs.</w:t>
      </w:r>
    </w:p>
    <w:p>
      <w:pPr>
        <w:spacing w:after="0" w:line="188"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The Center for Biologics Evaluation and Research, or CBER, of the FDA regulates biological products for human use. The Office of Tissues and Advanced Therapies, or OTAT, formerly known as the Office of Cellular, Tissue and Gene Therapies, within CBER reviews gene therapy and related products and has established the Cellular, Tissue and Gene Therapies Advisory Committee to advise CBER in its review.</w:t>
      </w:r>
    </w:p>
    <w:p>
      <w:pPr>
        <w:spacing w:after="0" w:line="18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6"/>
          <w:szCs w:val="16"/>
          <w:color w:val="auto"/>
        </w:rPr>
        <w:t>NIH-funded institutions need to have their institutional biosafety committee, or IBC, as well as their institutional review board, or IRB, review proposed clinical trials to assess the safety of the trial. The PD-1101 Phase 1b clinical trial of VY-AADC (NBIb-1817) and the PD-1102 Phase 1 trial exploring the delivery of VY-AADC (NBIb-1817) using a posterior trajectory are being conducted at multiple sites, and therefore are subject to oversight by these authorities. Such trials will need to be re-reviewed by the respective institutional IRBs if the protocols for the trials are amended. For any new clinical trial protocols, including the RESTORE-1 Phase 2 clinical trial protocol, the same processes and issues apply.</w:t>
      </w:r>
    </w:p>
    <w:p>
      <w:pPr>
        <w:spacing w:after="0" w:line="16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Adverse developments in clinical trials of gene therapy products conducted by us or others may cause the FDA or other oversight bodies to change the requirements for approval of any of our product candidates. Similarly, EMA and local health authorities of individual countries within the European Union may issue new guidelines concerning the clinical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 In addition, gene therapy products are considered genetically-modified organism, or GMO, products and are regulated as such in each country. Designation of the type of GMO product and subsequent handling and disposal requirements can vary across countries and is variable throughout the European Union. Addressing each specific country requirement and obtaining approval to commence a clinical trial in these countries could result in delays in starting, conducting, or completing a clinical trial. Similar issues could be faced in other regions of the world including the Asia-Pacific region.</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We have requested feedback from the FDA on, among other matters, the regulatory pathway for VY-AADC (NBIb-1817) and the design of our proposed pivotal program. We had multiple interactions with the FDA throughout 2018 and received certain written feedback requiring additional clarification. In December 2018, we held a Type B meeting with the FDA to discuss the overall development and pivotal program for VY-AADC (NBIb-1817). In connection with our Neurocrine Collaboration Agreement, we agreed to transfer sponsorship of the VY-AADC Program to Neurocrine, which required the related investigational new drug, or IND, application to be transferred to Neurocrine. The transition process required additional regulatory filings with and review by the FDA. We received written feedback from the FDA, including FDA guidance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received during the Type B meeting that in a disease such as Parkinson’s two adequate and well-controlled clinical trials is suggested. Based upon feedback received from the FDA, we and Neurocrine have amended the RESTORE-1 clinical trial protocol to support a future registration filing for VY-AADC (NBIb-1817) for the treatment of Parkinson’s disease in the United States. The protocol amendments include increasing the planned enrollment to approximately 85 patients, from the previously planned 42 patients, and future enrollment in the trial will be randomized 2:1 to VY-AADC (NBIb-1817) or placebo surgery, respectively, compared to the previous 1:1 randomization. Any further guidance that we may receive from the FDA could lead to further modification of the clinical VY-AADC (NBIb-1817) protocol and to additional costs or delays in the VY-AADC Program.</w:t>
      </w:r>
    </w:p>
    <w:p>
      <w:pPr>
        <w:spacing w:after="0" w:line="19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We plan to continue to seek and incorporate FDA guidance in our ongoing development plans for each of our potential clinical candidates, including VY-AADC (NBIb-1817) on which we collaborate with Neurocrine. If we fail to consult or solicit guidance from regulators or are unable to obtain sufficiently frequent or detailed guidance from regulators,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Results from preclinical studies and early-stage clinical trials may not be indicative of efficacy in late-stage clinical trials.</w:t>
      </w:r>
    </w:p>
    <w:p>
      <w:pPr>
        <w:spacing w:after="0" w:line="24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All of our product candidates are in early stages of development. Clinical testing is expensive, is difficult to design and implement, can take many years to complete and is uncertain as to outcome. A failure of one or more clinical trials can occur at any stage of testing. Our product candidates may fail to show the desired safety and efficacy in preclinical testing or clinical development despite demonstrating promising results in earlier preclinical studies or clinical trials. In addition, the outcome of preclinical testing and early clinical trials may not be predictive of the success of later stage clinical trials. Similarly, interim results generated from clinical trials do not necessarily predict final results, and results from one completed clinical trial may not be replicated in a subsequent clinical trial with a similar study design. Some of our clinical trials, including the Phase 1b clinical trial and the separate Phase 1 clinical trial exploring the delivery of VY-AADC (NBIb-1817) using a posterior trajectory (PD-1101 and PD-1102, respectively), were conducted with small patient populations and were not blinded or placebo-controlled, making it difficult to predict whether the favorable results that we observed in such trials will be sustained or repeated in larger and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There is a high failure rate for product candidates proceeding through preclinical studies and clinical trials. A number of companies in the pharmaceutical and biotechnology industries have suffered significant setbacks in late-stage clinical trials even after achieving promising results in early-stage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late-stage clinical trials with larger patient populations could harm our business and we may never succeed in commercialization or generating product revenue.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b w:val="1"/>
          <w:bCs w:val="1"/>
          <w:i w:val="1"/>
          <w:iCs w:val="1"/>
          <w:color w:val="auto"/>
        </w:rPr>
        <w:t>The dosing and coverage of the putamen in the VY-AADC (NBIb-1817) Phase 1b clinical trial, the separate Phase 1 clinical trial, and the RESTORE-1 Phase 2 clinical trial are different than the dosing and coverage of the putamen in prior clinical trials conducted by other parties. The maximum total vector genome dose chosen in the RESTORE-1 Phase 2 clinical trial may not demonstrate the safety and effectiveness of VY-AADC (NBIb-1817) in the RESTORE-1 Phase 2 clinical trial, or in the planned RESTORE-2 Phase 3 trial. Any failure to demonstrate safety or effectiveness could result in a decision to modify dosing and/or coverage of the putamen in any subsequent clinical trials, and such decisions could cause a delay in achieving marketing authorization, or may result in limiting or terminating the program entirely.</w:t>
      </w:r>
    </w:p>
    <w:p>
      <w:pPr>
        <w:spacing w:after="0" w:line="15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clinical trial results of some of our collaborators have been negatively affected by factors that had not been fully anticipated prior to the design of the clinical trials. For example, the magnitude of some of the clinical responses seen in the Phase 1 clinical trial of AAV2-AADC were similar to the placebo effects observed in previous surgical therapies for Parkinson’s disease. As a result, we are unable to rely on the results of this prior Phase 1 trial as an indicator of the efficacy of treatment with VY-AADC (NBIb-1817). We and Neurocrine believe that to increase the likelihood of a clinical benefit, the dose and volume of infusion of VY-AADC (NBIb-1817) should be optimized to substantially increase the coverage of the putamen, the region of the brain targeted by VY-AADC (NBIb-1817). However, it is not possible at this time to know if we are optimizing these parameters, and as a result, to know if we will be able to achieve sufficient coverage of the putamen and a clinical benefit.</w:t>
      </w:r>
    </w:p>
    <w:p>
      <w:pPr>
        <w:spacing w:after="0" w:line="19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PD-1101 Phase 1b clinical trial of VY-AADC (NBIb-1817) incorporated several design features in an attempt to increase the coverage area of the putamen, particularly the posterior putamen. We employed larger infusion volumes and higher doses of VY-AADC (NBIb-1817), and we used the ClearPoint</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System to provide real-time, intra-operative, magnetic resonance imaging, or MRI, assistance to the physician surgically administering VY-AADC (NBIb-1817) to the patient.</w:t>
      </w:r>
    </w:p>
    <w:p>
      <w:pPr>
        <w:spacing w:after="0" w:line="17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the PD-1102 Phase 1 clinical trial, we utilized posterior, or back of the head, delivery of VY-AADC (NBIb-1817) into the putamen, compared to a transfrontal, or top of the head, delivery approach used in cohorts 1 through 3 of the Phase 1b clinical trial described above. A posterior approach better aligns the infusion of VY-AADC (NBIb-1817) with the anatomical structure of the putamen to potentially reduce the total procedure time and increase the total coverage of the putamen. Administration of VY-AADC (NBIb-1817) with this posterior approach has been well-tolerated to date with no reported serious adverse events, or SAEs.</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Due to the nature of the techniques used in the Phase 1 clinical development and the numerous variables that can be changed, it is possible that the data generated from this trial may not provide evidence of statistically significant or durable clinical benefit. For example, physicians may use cannulas, which are small tubes of differing lengths, in the infusion procedure, or may use differing infusion speeds or infusion angles. These differences could affect the dose of VY-AADC (NBIb-1817) that ultimately reaches the putamen, leading to highly variable results. Similarly, we have limited experience to date with the posterior delivery approach which we have selected as the preferred surgical route of administration for the RESTORE-1 Phase 2 clinical trial. Further, use of a posterior approach may not generate outcomes that are clinically superior to the outcomes achieved with a transfrontal approach.</w:t>
      </w:r>
    </w:p>
    <w:p>
      <w:pPr>
        <w:spacing w:after="0" w:line="172" w:lineRule="exact"/>
        <w:rPr>
          <w:sz w:val="20"/>
          <w:szCs w:val="20"/>
          <w:color w:val="auto"/>
        </w:rPr>
      </w:pPr>
    </w:p>
    <w:p>
      <w:pPr>
        <w:ind w:right="140" w:firstLine="648"/>
        <w:spacing w:after="0" w:line="225" w:lineRule="auto"/>
        <w:rPr>
          <w:sz w:val="20"/>
          <w:szCs w:val="20"/>
          <w:color w:val="auto"/>
        </w:rPr>
      </w:pPr>
      <w:r>
        <w:rPr>
          <w:rFonts w:ascii="Arial" w:cs="Arial" w:eastAsia="Arial" w:hAnsi="Arial"/>
          <w:sz w:val="18"/>
          <w:szCs w:val="18"/>
          <w:color w:val="auto"/>
        </w:rPr>
        <w:t>For the RESTORE-1 Phase 2 clinical trial, we have selected a dose of up to 2.5 x 10</w:t>
      </w:r>
      <w:r>
        <w:rPr>
          <w:rFonts w:ascii="Arial" w:cs="Arial" w:eastAsia="Arial" w:hAnsi="Arial"/>
          <w:sz w:val="27"/>
          <w:szCs w:val="27"/>
          <w:color w:val="auto"/>
          <w:vertAlign w:val="superscript"/>
        </w:rPr>
        <w:t>12</w:t>
      </w:r>
      <w:r>
        <w:rPr>
          <w:rFonts w:ascii="Arial" w:cs="Arial" w:eastAsia="Arial" w:hAnsi="Arial"/>
          <w:sz w:val="18"/>
          <w:szCs w:val="18"/>
          <w:color w:val="auto"/>
        </w:rPr>
        <w:t xml:space="preserve"> vector genomes as a maximum total bilateral dose. This dosing level is between the up to maximum total vector genome doses administered in Cohorts 2 and 3 from the Phase 1b trial when considering the higher volume administered with the posterior trajectory and vector produced using the baculovirus system. We have not previously evaluated this dosing level in a clinical trial. To achieve safety, primary and secondary efficacy endpoints, the dose concentration and volume selected for the RESTORE-1 Phase 2 clinical trial may be modified, and regardless of the dose concentration and volume selected, we may never achieve desired safety and efficacy outcomes.</w:t>
      </w:r>
    </w:p>
    <w:p>
      <w:pPr>
        <w:spacing w:after="0" w:line="18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6"/>
          <w:szCs w:val="16"/>
          <w:color w:val="auto"/>
        </w:rPr>
        <w:t>The RESTORE-1 Phase 2 trial is a randomized, double-blind, placebo-surgery controlled trial with a planned enrollment of approximately 85 patients who have been diagnosed with Parkinson’s disease for at least four years, are not responding adequately to oral medications, and have at least three hours of OFF time during the day as measured by a validated self-reported patient diary. Patients will be randomized 2:1 to VY-AADC (NBIb-1817) or placebo surgery, respectively. Patient eligibility criteria and the protocol design, including the total number of patients in the trial and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number of patients who receive VY-AADC (NBIb-1817) or placebo, may change during the course of the trial in response to recruiting challenges, clinical patient assessments, data collection, statistical analysis modifications, and other factors, such as modifications to the clinical trial protocol made to date.</w:t>
      </w:r>
    </w:p>
    <w:p>
      <w:pPr>
        <w:spacing w:after="0" w:line="18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primary efficacy endpoint of the RESTORE-1 Phase 2 clinical trial is the mean improvement from baseline to 12 months on time without troublesome dyskinesia, or good ON time, as measured by a validated self-reported patient diary at 12 months compared to placebo. Secondary endpoints include diary OFF time, other motor function and quality of life measures from the United Parkinson’s Disease Rating Scales (UPDRS-II,-III scores), the Parkinson’s Disease Questionnaire (PDQ-39), and patient’s global function as measured by the proportion of participants with improvement on the Clinical Global Impression (CGI) score. The trial will also measure non-motor symptoms from the Non-Motor Symptom Scale (NMSS), as well as safety. Primary and secondary endpoints may be adjusted during the trial in response to changes in the protocol design.</w:t>
      </w:r>
    </w:p>
    <w:p>
      <w:pPr>
        <w:spacing w:after="0" w:line="195"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Biomarker data collected during the RESTORE-1 Phase 2 clinical trial will include measurements of the coverage of the putamen, the specific region of the brain targeted with VY-AADC (NBIb-1817), and measurements of AADC enzyme expression and activity in the putamen measured by positron emission tomography (PET) using fluorodopa F-18. Changes in patients’ daily doses of oral levodopa and related medications will also be recorded.</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We plan to continue to seek and incorporate FDA guidance in our clinical trial plans. We are currently evaluating the written feedback from the FDA, including guidance from the Type B meeting to conduct two adequate and well-controlled clinical trials for a large patient population such as Parkinson’s disease. Additional interaction with the FDA regarding the RESTORE-1 and RESTORE-2 clinical trial plans could result in changes to the current plan.</w:t>
      </w:r>
    </w:p>
    <w:p>
      <w:pPr>
        <w:spacing w:after="0" w:line="17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Additionally, we are using a different manufacturing process for our AAV gene therapy vector in the RESTORE-1 Phase 2 clinical trial and the planned RESTORE-2 Phase 3 clinical trial. We have begun to manufacture VY-AADC (NBIb-1817) using our baculovirus/Sf9 system as opposed to manufacturing in HEK 293 cells, which were used in the Phase 1 clinical trials. We have conducted studies to demonstrate comparability between the current version and the new version. It is possible, however, that the results of the RESTORE-1 Phase 2 clinical trial and the planned RESTORE-2 Phase 3 clinical trial in Parkinson’s disease may differ from the results of the Phase 1b (PD-1101) or the separate Phase 1 clinical trial (PD-1102) based on the use of VY-AADC (NBIb-1817) manufactured using our baculovirus/Sf9 system as opposed to using HEK 293 cells.</w:t>
      </w:r>
    </w:p>
    <w:p>
      <w:pPr>
        <w:spacing w:after="0" w:line="19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We may in the future conduct, and intend to conduct, clinical trials for product candidates at sites outside the United States, and the FDA may not accept data from trials conducted in such locations.</w:t>
      </w:r>
    </w:p>
    <w:p>
      <w:pPr>
        <w:spacing w:after="0" w:line="16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To date, we have only conducted clinical trials in the United States. However, we may in the future choose to conduct, one or more of our clinical trials or include sites in current or future clinical trials outside the United States. We may include international sites in the RESTORE-1 Phase 2 clinical trial. The transfer of sponsorship of the VY-AADC Program to Neurocrine requires Neurocrine to be the sponsor of the RESTORE-1 Phase 2 clinical trial in any international sites. Any sponsorship transition could require additional regulatory filings with and review by regulatory officials, and may lead to additional costs or delays in the initiation of the RESTORE-1 Phase 2 clinical trial and the enrollment of patients in those international sites.</w:t>
      </w:r>
    </w:p>
    <w:p>
      <w:pPr>
        <w:spacing w:after="0" w:line="191"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Although the FDA may accept data from sites or clinical trials outside the United States, acceptance of these data is subject to conditions imposed by the FDA. For example, the clinical trial must be well-designed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or trial sites are subject to the applicable local laws, FDA acceptance of the data will depend on its determination that the trials or trial sites also complied with all applicable U.S. laws and regulations. If the FDA does not accept the data from any trial or trial site outside the United States, it would likely result in the need for additional trials, which would be costly and time-consuming and would delay or permanently halt our development of the applicable product candidates.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inherent in conducting international clinical trials or using international trial sites include:</w:t>
      </w:r>
    </w:p>
    <w:p>
      <w:pPr>
        <w:spacing w:after="0" w:line="212" w:lineRule="exact"/>
        <w:rPr>
          <w:sz w:val="20"/>
          <w:szCs w:val="20"/>
          <w:color w:val="auto"/>
        </w:rPr>
      </w:pPr>
    </w:p>
    <w:p>
      <w:pPr>
        <w:ind w:left="1000" w:hanging="32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225" w:lineRule="exact"/>
        <w:rPr>
          <w:rFonts w:ascii="Arial" w:cs="Arial" w:eastAsia="Arial" w:hAnsi="Arial"/>
          <w:sz w:val="18"/>
          <w:szCs w:val="18"/>
          <w:color w:val="auto"/>
        </w:rPr>
      </w:pPr>
    </w:p>
    <w:p>
      <w:pPr>
        <w:jc w:val="both"/>
        <w:ind w:left="1000" w:right="820" w:hanging="323"/>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administrative burden of complying with a variety of foreign laws, medical standards and regulatory requirements, including the regulation of pharmaceutical and biotechnology products and treatment;</w:t>
      </w:r>
    </w:p>
    <w:p>
      <w:pPr>
        <w:spacing w:after="0" w:line="123" w:lineRule="exact"/>
        <w:rPr>
          <w:rFonts w:ascii="Arial" w:cs="Arial" w:eastAsia="Arial" w:hAnsi="Arial"/>
          <w:sz w:val="16"/>
          <w:szCs w:val="16"/>
          <w:color w:val="auto"/>
        </w:rPr>
      </w:pPr>
    </w:p>
    <w:p>
      <w:pPr>
        <w:ind w:left="1000" w:right="260" w:hanging="32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enrolled patients to adhere to clinical protocols or inadequate collection and assessment of clinical data as a result of differences in healthcare services or cultural customs;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diminished or loss of protection of intellectual property in the relevant jurisdiction;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and economic risks relevant to foreign countries.</w:t>
      </w:r>
    </w:p>
    <w:p>
      <w:pPr>
        <w:spacing w:after="0" w:line="225" w:lineRule="exact"/>
        <w:rPr>
          <w:sz w:val="20"/>
          <w:szCs w:val="20"/>
          <w:color w:val="auto"/>
        </w:rPr>
      </w:pPr>
    </w:p>
    <w:p>
      <w:pPr>
        <w:spacing w:after="0" w:line="322" w:lineRule="auto"/>
        <w:rPr>
          <w:sz w:val="20"/>
          <w:szCs w:val="20"/>
          <w:color w:val="auto"/>
        </w:rPr>
      </w:pPr>
      <w:r>
        <w:rPr>
          <w:rFonts w:ascii="Arial" w:cs="Arial" w:eastAsia="Arial" w:hAnsi="Arial"/>
          <w:sz w:val="15"/>
          <w:szCs w:val="15"/>
          <w:b w:val="1"/>
          <w:bCs w:val="1"/>
          <w:i w:val="1"/>
          <w:iCs w:val="1"/>
          <w:color w:val="auto"/>
        </w:rPr>
        <w:t>We may encounter substantial delays or difficulties in commencement, enrollment or completion of our preclinical studies or clinical trials, or may fail to demonstrate safety and efficacy to the satisfaction of applicable regulatory authorities, which could prevent us from commercializing our current and future product candidates on a timely basis, if at all.</w:t>
      </w:r>
    </w:p>
    <w:p>
      <w:pPr>
        <w:spacing w:after="0" w:line="130"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Before obtaining marketing approval from regulatory authorities for the sale of our current and future product candidates, we must conduct extensive clinical trials to demonstrate the safety and efficacy of the product candidates. To conduct clinical trials, we must first complete preclinical testing and studies to support IND applications or similar applications in other jurisdictions. We cannot be certain of the timely completion or outcome of our preclinical testing and studies and cannot predict if the FDA or similar regulatory authorities outside the United States will accept our planned clinical programs or if the outcome of our preclinical testing and studies will ultimately support the further development of our preclinical programs.</w:t>
      </w:r>
    </w:p>
    <w:p>
      <w:pPr>
        <w:spacing w:after="0" w:line="191"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We have very limited experience with clinical trials. The transfer of sponsorship of the VY-AADC Program to Neurocrine requires Neurocrine to be the sponsor of the RESTORE-1 Phase 2 clinical trial in any sites. Any sponsorship transition could require additional regulatory filings with and review by the FDA, European Union, or other regulatory officials, and may lead to additional costs or delays in the initiation of the RESTORE-1 Phase 2 clinical trial in those sites.</w:t>
      </w:r>
    </w:p>
    <w:p>
      <w:pPr>
        <w:spacing w:after="0" w:line="156"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The RESTORE-1 Phase 2 clinical trial of VY-AADC (NBIb-1817) is being conducted at several locations. We cannot guarantee that any clinical trials will be conducted as planned or completed on schedule, if at all. A clinical trial failure can occur at any stage of testing. Similarly, there may be delays or difficulties in our initiation of future clinical trials. Due to the additional regulatory uncertainties associated with gene therapy products, we did not initiate the RESTORE-1 Phase 2 clinical trial for VY-AADC (NBIb-1817) as a treatment for Parkinson’s disease until we met with OTAT to discuss our proposed trial design and overall development plan. While we have received OTAT’s feedback and incorporated it as appropriate in our plans, the clinical trial as designed may not achieve the prospectively defined primary clinical endpoints or provide a favorable benefit to risk ratio to support a biologics license application, or BLA filing or approval.</w:t>
      </w:r>
    </w:p>
    <w:p>
      <w:pPr>
        <w:spacing w:after="0" w:line="169"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or at all pursuant to the requirements of the FDA, EMA, or other regulatory authorities. Patient enrollment and trial completion are affected by many factors including:</w:t>
      </w:r>
    </w:p>
    <w:p>
      <w:pPr>
        <w:spacing w:after="0" w:line="156" w:lineRule="exact"/>
        <w:rPr>
          <w:sz w:val="20"/>
          <w:szCs w:val="20"/>
          <w:color w:val="auto"/>
        </w:rPr>
      </w:pPr>
    </w:p>
    <w:p>
      <w:pPr>
        <w:ind w:left="4440" w:right="540" w:hanging="3763"/>
        <w:spacing w:after="0" w:line="778" w:lineRule="auto"/>
        <w:tabs>
          <w:tab w:leader="none" w:pos="9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perceived risks and benefits of AAV gene therapy approaches for the treatment of neurological diseases;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of the delivery procedure, such as intracranial infusion for VY-AADC (NBIb-1817);</w:t>
      </w:r>
    </w:p>
    <w:p>
      <w:pPr>
        <w:spacing w:after="0" w:line="225" w:lineRule="exact"/>
        <w:rPr>
          <w:rFonts w:ascii="Arial" w:cs="Arial" w:eastAsia="Arial" w:hAnsi="Arial"/>
          <w:sz w:val="18"/>
          <w:szCs w:val="18"/>
          <w:color w:val="auto"/>
        </w:rPr>
      </w:pPr>
    </w:p>
    <w:p>
      <w:pPr>
        <w:ind w:left="1000" w:right="179" w:hanging="32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formulation changes to our product candidates, which may require us to conduct additional clinical studies to bridge our modified product candidates to earlier versions;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patients with preexisting antibodies to the gene therapy vector that preclude their participation in the trial;</w:t>
      </w:r>
    </w:p>
    <w:p>
      <w:pPr>
        <w:spacing w:after="0" w:line="236" w:lineRule="exact"/>
        <w:rPr>
          <w:rFonts w:ascii="Arial" w:cs="Arial" w:eastAsia="Arial" w:hAnsi="Arial"/>
          <w:sz w:val="17"/>
          <w:szCs w:val="17"/>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lack of adequate compensation of patients;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225" w:lineRule="exact"/>
        <w:rPr>
          <w:rFonts w:ascii="Arial" w:cs="Arial" w:eastAsia="Arial" w:hAnsi="Arial"/>
          <w:sz w:val="18"/>
          <w:szCs w:val="18"/>
          <w:color w:val="auto"/>
        </w:rPr>
      </w:pPr>
    </w:p>
    <w:p>
      <w:pPr>
        <w:jc w:val="both"/>
        <w:ind w:left="1000" w:right="159" w:hanging="323"/>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locate appropriately trained physicians to conduct such clinical trials, which may be particularly difficult for the VY-AADC (NBIb-1817) RESTORE-1 Phase 2 and RESTORE-2 Phase 3 clinical trials as we have historically used, and expect to use, the ClearPoint System, which is only available at a small number of academic medical centers in the United States;</w:t>
      </w:r>
    </w:p>
    <w:p>
      <w:pPr>
        <w:spacing w:after="0" w:line="186" w:lineRule="exact"/>
        <w:rPr>
          <w:rFonts w:ascii="Arial" w:cs="Arial" w:eastAsia="Arial" w:hAnsi="Arial"/>
          <w:sz w:val="18"/>
          <w:szCs w:val="18"/>
          <w:color w:val="auto"/>
        </w:rPr>
      </w:pPr>
    </w:p>
    <w:p>
      <w:pPr>
        <w:ind w:left="1000" w:right="99" w:hanging="32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commercially launch V-TAG, our real-time, intra-operative, MRI-compatible device, and to train physicians to conduct clinical trials using the device;</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willingness of patients to participate in a placebo-controlled trial;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19" w:firstLine="648"/>
        <w:spacing w:after="0" w:line="243" w:lineRule="auto"/>
        <w:rPr>
          <w:sz w:val="20"/>
          <w:szCs w:val="20"/>
          <w:color w:val="auto"/>
        </w:rPr>
      </w:pPr>
      <w:r>
        <w:rPr>
          <w:rFonts w:ascii="Arial" w:cs="Arial" w:eastAsia="Arial" w:hAnsi="Arial"/>
          <w:sz w:val="18"/>
          <w:szCs w:val="18"/>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188" w:lineRule="exact"/>
        <w:rPr>
          <w:sz w:val="20"/>
          <w:szCs w:val="20"/>
          <w:color w:val="auto"/>
        </w:rPr>
      </w:pPr>
    </w:p>
    <w:p>
      <w:pPr>
        <w:ind w:left="1000" w:right="699" w:hanging="32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clinical research organizations, or CROs, and physicians;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hanging="32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225" w:lineRule="exact"/>
        <w:rPr>
          <w:rFonts w:ascii="Arial" w:cs="Arial" w:eastAsia="Arial" w:hAnsi="Arial"/>
          <w:sz w:val="18"/>
          <w:szCs w:val="18"/>
          <w:color w:val="auto"/>
        </w:rPr>
      </w:pPr>
    </w:p>
    <w:p>
      <w:pPr>
        <w:ind w:left="1000" w:right="239" w:hanging="32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AAV gene therapy protocols;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locate qualified local partners or collaborators for such clinical trials; and</w:t>
      </w:r>
    </w:p>
    <w:p>
      <w:pPr>
        <w:spacing w:after="0" w:line="225" w:lineRule="exact"/>
        <w:rPr>
          <w:rFonts w:ascii="Arial" w:cs="Arial" w:eastAsia="Arial" w:hAnsi="Arial"/>
          <w:sz w:val="18"/>
          <w:szCs w:val="18"/>
          <w:color w:val="auto"/>
        </w:rPr>
      </w:pPr>
    </w:p>
    <w:p>
      <w:pPr>
        <w:ind w:left="1000" w:right="839" w:hanging="323"/>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124" w:lineRule="exact"/>
        <w:rPr>
          <w:sz w:val="20"/>
          <w:szCs w:val="20"/>
          <w:color w:val="auto"/>
        </w:rPr>
      </w:pPr>
    </w:p>
    <w:p>
      <w:pPr>
        <w:jc w:val="both"/>
        <w:ind w:right="59" w:firstLine="648"/>
        <w:spacing w:after="0" w:line="248"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in some or all localities, any of which would harm our business, financial condition, results of operations and prospects.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212" w:lineRule="exact"/>
        <w:rPr>
          <w:sz w:val="20"/>
          <w:szCs w:val="20"/>
          <w:color w:val="auto"/>
        </w:rPr>
      </w:pPr>
    </w:p>
    <w:p>
      <w:pPr>
        <w:ind w:left="1000" w:hanging="32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or collaborators on trial design;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225" w:lineRule="exact"/>
        <w:rPr>
          <w:rFonts w:ascii="Arial" w:cs="Arial" w:eastAsia="Arial" w:hAnsi="Arial"/>
          <w:sz w:val="18"/>
          <w:szCs w:val="18"/>
          <w:color w:val="auto"/>
        </w:rPr>
      </w:pPr>
    </w:p>
    <w:p>
      <w:pPr>
        <w:ind w:left="1000" w:right="339" w:hanging="32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IRB or independent ethics committee approval at each clinical trial site;</w:t>
      </w:r>
    </w:p>
    <w:p>
      <w:pPr>
        <w:spacing w:after="0" w:line="170" w:lineRule="exact"/>
        <w:rPr>
          <w:rFonts w:ascii="Arial" w:cs="Arial" w:eastAsia="Arial" w:hAnsi="Arial"/>
          <w:sz w:val="18"/>
          <w:szCs w:val="18"/>
          <w:color w:val="auto"/>
        </w:rPr>
      </w:pPr>
    </w:p>
    <w:p>
      <w:pPr>
        <w:ind w:left="1000" w:right="159" w:hanging="323"/>
        <w:spacing w:after="0" w:line="27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imposition of a clinical hold by regulatory authorities as a result of a serious adverse event or after an inspection of our clinical trial operations or trial sites or our decision or the requirement of regulators or IRBs to suspend or terminate clinical research for various reasons, including noncompliance with regulatory requirements or a finding that the participants are being exposed to unacceptable health risks;</w:t>
      </w:r>
    </w:p>
    <w:p>
      <w:pPr>
        <w:spacing w:after="0" w:line="171" w:lineRule="exact"/>
        <w:rPr>
          <w:rFonts w:ascii="Arial" w:cs="Arial" w:eastAsia="Arial" w:hAnsi="Arial"/>
          <w:sz w:val="17"/>
          <w:szCs w:val="17"/>
          <w:color w:val="auto"/>
        </w:rPr>
      </w:pPr>
    </w:p>
    <w:p>
      <w:pPr>
        <w:ind w:left="1000" w:right="199" w:hanging="32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our collaboration partners, any CROs we engage, or any other third parties to adhere to clinical trial protocols or regulatory requirements;</w:t>
      </w:r>
    </w:p>
    <w:p>
      <w:pPr>
        <w:spacing w:after="0" w:line="170" w:lineRule="exact"/>
        <w:rPr>
          <w:rFonts w:ascii="Arial" w:cs="Arial" w:eastAsia="Arial" w:hAnsi="Arial"/>
          <w:sz w:val="18"/>
          <w:szCs w:val="18"/>
          <w:color w:val="auto"/>
        </w:rPr>
      </w:pPr>
    </w:p>
    <w:p>
      <w:pPr>
        <w:jc w:val="both"/>
        <w:ind w:left="1000" w:right="679" w:hanging="323"/>
        <w:spacing w:after="0" w:line="26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our collaboration partners, any CROs we engage, or any other third parties to perform in accordance with the FDA’s good clinical practices, or GCPs, or applicable regulatory guidelines in the European Union;</w:t>
      </w:r>
    </w:p>
    <w:p>
      <w:pPr>
        <w:spacing w:after="0" w:line="181" w:lineRule="exact"/>
        <w:rPr>
          <w:rFonts w:ascii="Arial" w:cs="Arial" w:eastAsia="Arial" w:hAnsi="Arial"/>
          <w:sz w:val="18"/>
          <w:szCs w:val="18"/>
          <w:color w:val="auto"/>
        </w:rPr>
      </w:pPr>
    </w:p>
    <w:p>
      <w:pPr>
        <w:ind w:left="1000" w:hanging="32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225" w:lineRule="exact"/>
        <w:rPr>
          <w:rFonts w:ascii="Arial" w:cs="Arial" w:eastAsia="Arial" w:hAnsi="Arial"/>
          <w:sz w:val="18"/>
          <w:szCs w:val="18"/>
          <w:color w:val="auto"/>
        </w:rPr>
      </w:pPr>
    </w:p>
    <w:p>
      <w:pPr>
        <w:ind w:left="1000" w:right="399" w:hanging="323"/>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delays in the testing, validation, manufacturing and delivery of our product candidates to the clinical sites, including delays by third parties with whom we have contracted to perform certain of those functions;</w:t>
      </w:r>
    </w:p>
    <w:p>
      <w:pPr>
        <w:spacing w:after="0" w:line="123" w:lineRule="exact"/>
        <w:rPr>
          <w:rFonts w:ascii="Arial" w:cs="Arial" w:eastAsia="Arial" w:hAnsi="Arial"/>
          <w:sz w:val="16"/>
          <w:szCs w:val="16"/>
          <w:color w:val="auto"/>
        </w:rPr>
      </w:pPr>
    </w:p>
    <w:p>
      <w:pPr>
        <w:jc w:val="both"/>
        <w:ind w:left="1000" w:right="139" w:hanging="323"/>
        <w:spacing w:after="0" w:line="26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insufficient or inadequate supply or quality of our product candidates or other materials necessary to conduct clinical trials of our product candidates, including potential delays in the RESTORE-1 Phase 2 clinical trial in Parkinson’s disease associated with the commercial availability of V-TAG;</w:t>
      </w:r>
    </w:p>
    <w:p>
      <w:pPr>
        <w:spacing w:after="0" w:line="181" w:lineRule="exact"/>
        <w:rPr>
          <w:rFonts w:ascii="Arial" w:cs="Arial" w:eastAsia="Arial" w:hAnsi="Arial"/>
          <w:sz w:val="18"/>
          <w:szCs w:val="18"/>
          <w:color w:val="auto"/>
        </w:rPr>
      </w:pPr>
    </w:p>
    <w:p>
      <w:pPr>
        <w:ind w:left="1000" w:hanging="32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trial at a rate higher than we anticipate;</w:t>
      </w:r>
    </w:p>
    <w:p>
      <w:pPr>
        <w:spacing w:after="0" w:line="225" w:lineRule="exact"/>
        <w:rPr>
          <w:rFonts w:ascii="Arial" w:cs="Arial" w:eastAsia="Arial" w:hAnsi="Arial"/>
          <w:sz w:val="18"/>
          <w:szCs w:val="18"/>
          <w:color w:val="auto"/>
        </w:rPr>
      </w:pPr>
    </w:p>
    <w:p>
      <w:pPr>
        <w:ind w:left="1000" w:right="59" w:hanging="32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hanging="32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receipt of negative or inconclusive clinical trial results;</w:t>
      </w:r>
    </w:p>
    <w:p>
      <w:pPr>
        <w:spacing w:after="0" w:line="225" w:lineRule="exact"/>
        <w:rPr>
          <w:rFonts w:ascii="Arial" w:cs="Arial" w:eastAsia="Arial" w:hAnsi="Arial"/>
          <w:sz w:val="18"/>
          <w:szCs w:val="18"/>
          <w:color w:val="auto"/>
        </w:rPr>
      </w:pPr>
    </w:p>
    <w:p>
      <w:pPr>
        <w:ind w:left="1000" w:right="400" w:hanging="32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w:t>
      </w:r>
    </w:p>
    <w:p>
      <w:pPr>
        <w:spacing w:after="0" w:line="236" w:lineRule="exact"/>
        <w:rPr>
          <w:rFonts w:ascii="Arial" w:cs="Arial" w:eastAsia="Arial" w:hAnsi="Arial"/>
          <w:sz w:val="17"/>
          <w:szCs w:val="17"/>
          <w:color w:val="auto"/>
        </w:rPr>
      </w:pPr>
    </w:p>
    <w:p>
      <w:pPr>
        <w:ind w:left="1000" w:hanging="323"/>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or</w:t>
      </w:r>
    </w:p>
    <w:p>
      <w:pPr>
        <w:spacing w:after="0" w:line="248" w:lineRule="exact"/>
        <w:rPr>
          <w:rFonts w:ascii="Arial" w:cs="Arial" w:eastAsia="Arial" w:hAnsi="Arial"/>
          <w:sz w:val="16"/>
          <w:szCs w:val="16"/>
          <w:color w:val="auto"/>
        </w:rPr>
      </w:pPr>
    </w:p>
    <w:p>
      <w:pPr>
        <w:ind w:left="1000" w:hanging="32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Any inability to successfully complete preclinical studies and clinical trials could result in additional costs and potential delays to us or impair our ability to generate revenues from product sales, regulatory and commercialization milestones and royalties. We do not know whether any of our preclinical studies or clinical trials will begin as planned, will need to be restructured, or will be completed on schedule, or at all.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SAEs associated with our product candidates, we may:</w:t>
      </w:r>
    </w:p>
    <w:p>
      <w:pPr>
        <w:spacing w:after="0" w:line="169" w:lineRule="exact"/>
        <w:rPr>
          <w:sz w:val="20"/>
          <w:szCs w:val="20"/>
          <w:color w:val="auto"/>
        </w:rPr>
      </w:pPr>
    </w:p>
    <w:p>
      <w:pPr>
        <w:ind w:left="1000" w:hanging="32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we are able to do so at all;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36" w:lineRule="exact"/>
        <w:rPr>
          <w:rFonts w:ascii="Arial" w:cs="Arial" w:eastAsia="Arial" w:hAnsi="Arial"/>
          <w:sz w:val="17"/>
          <w:szCs w:val="17"/>
          <w:color w:val="auto"/>
        </w:rPr>
      </w:pPr>
    </w:p>
    <w:p>
      <w:pPr>
        <w:ind w:left="1000" w:hanging="32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25" w:lineRule="exact"/>
        <w:rPr>
          <w:rFonts w:ascii="Arial" w:cs="Arial" w:eastAsia="Arial" w:hAnsi="Arial"/>
          <w:sz w:val="18"/>
          <w:szCs w:val="18"/>
          <w:color w:val="auto"/>
        </w:rPr>
      </w:pPr>
    </w:p>
    <w:p>
      <w:pPr>
        <w:ind w:left="1000" w:right="180" w:hanging="32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70" w:lineRule="exact"/>
        <w:rPr>
          <w:rFonts w:ascii="Arial" w:cs="Arial" w:eastAsia="Arial" w:hAnsi="Arial"/>
          <w:sz w:val="18"/>
          <w:szCs w:val="18"/>
          <w:color w:val="auto"/>
        </w:rPr>
      </w:pPr>
    </w:p>
    <w:p>
      <w:pPr>
        <w:ind w:left="1000" w:right="340" w:hanging="32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Risk Evaluation and Mitigation Strategy, or REMS;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8"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In past clinical trials that were conducted by others with non-AAV gene therapy vectors, several significant side effects were caused by gene therapy treatments, including reported cases of leukemia and death. Other potential side effects could include an immunologic reaction and insertional oncogenesis, which is the process whereby the insertion of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 functional gene near a gene that is important in cell growth or division results in uncontrolled cell division, which could potentially enhance the risk of malignant transformation. If our vectors demonstrate a similar adverse effect, or other adverse effects, we may be required to halt or delay further clinical development of our product candidates or withdraw the product from the market post-approval. For example, in a recently published review of patients with hepatocellular carcinomas, it was shown that a small subset contained an integrated genome sequence of wild-type AAV2 and it was suggested that AAV2 may be associated with insertional oncogenesis.</w:t>
      </w:r>
    </w:p>
    <w:p>
      <w:pPr>
        <w:spacing w:after="0" w:line="190"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side effects. VY-AADC (NBIb-1817) and VY-HTT01 will be administered directly to the targeted areas and cells in the brain, requiring the patient to undergo brain surgery. In a previous Phase 1 clinical trial conducted by UCSF, three patients experienced hemorrhages caused by the surgical procedure for administering VY-AADC (NBIb-1817). In the RESTORE-1 Phase 2 clinical trial of VY-AADC (NBIb-1817), we are using the ClearPoint System to provide accurate placement of the cannula in the putamen and allow for real-time, intra-operative MRI to assist the physician in visualizing the delivery of VY-AADC (NBIb-1817) to the putamen and to avoid specific blood vessels during the duration of the surgical procedure, with the goal of reducing the risk of hemorrhages. The ClearPoint System has only been used in limited gene therapy neurosurgeries to date. One patient in the Phase 1b trial experienced two SAEs, a pulmonary embolism, or blood clot in the lungs, and related heart arrhythmia, or irregular heartbeat, which were determined to be related to the surgical procedure and prolonged immobility, not VY-AADC (NBIb-1817). In the Phase 2 and future trials, we may use V-TAG, a proprietary real-time, intra-operative, MRI-compatible device that we developed with CLPT. For VY-SOD102 in the treatment for amyotrophic lateral sclerosis, or ALS, the product candidate is planned to be injected directly into the spinal cord. Limited clinical data are available for this route of administration. If other side effects were to occur in connection with the surgical procedures described above, or problems were encountered with the use of the ClearPoint System or V-TAG, our clinical trials could be suspended or terminated.</w:t>
      </w:r>
    </w:p>
    <w:p>
      <w:pPr>
        <w:spacing w:after="0" w:line="18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If in the future we are unable to demonstrate that such side effects were caused by the administration process or related procedures or are unable to modify the trial protocol adequately to address such side effects, the FDA, the European Commission, the EMA or other regulatory authorities could order us to cease further development of, or deny approval of, our product candidates for any or all targeted indications. For products that “knock down” or reduce the expression of a gene or the production of its encoded protein, their effects on other parts of the body, or “off target” effects, could result in unforeseen toxicity. Even if we are able to demonstrate that any future SAEs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REMS to ensure that the benefits outweigh its risks. Such REMS may include, among other things, a medication guide outlining the risks of the product for distribution to patients and a communication plan to health care practitioners or the limitation of the use of the product to specifically trained neurosurgeons and/or certain centers. Furthermore, adverse events which were initially considered unrelated to the study treatment of the clinical trial may later be found to be caused by the study treatment. If we or others later identify undesirable side effects caused by our product candidate, several potentially significant negative consequences could result, including:</w:t>
      </w:r>
    </w:p>
    <w:p>
      <w:pPr>
        <w:spacing w:after="0" w:line="180" w:lineRule="exact"/>
        <w:rPr>
          <w:sz w:val="20"/>
          <w:szCs w:val="20"/>
          <w:color w:val="auto"/>
        </w:rPr>
      </w:pPr>
    </w:p>
    <w:p>
      <w:pPr>
        <w:ind w:left="1000" w:hanging="32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administered or conduct additional clinical trials;</w:t>
      </w:r>
    </w:p>
    <w:p>
      <w:pPr>
        <w:spacing w:after="0" w:line="248" w:lineRule="exact"/>
        <w:rPr>
          <w:rFonts w:ascii="Arial" w:cs="Arial" w:eastAsia="Arial" w:hAnsi="Arial"/>
          <w:sz w:val="16"/>
          <w:szCs w:val="16"/>
          <w:color w:val="auto"/>
        </w:rPr>
      </w:pPr>
    </w:p>
    <w:p>
      <w:pPr>
        <w:ind w:left="1000" w:hanging="32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hanging="32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69"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b w:val="1"/>
          <w:bCs w:val="1"/>
          <w:i w:val="1"/>
          <w:iCs w:val="1"/>
          <w:color w:val="auto"/>
        </w:rPr>
        <w:t>We may be unable to obtain orphan drug designation or exclusivity for any of our product candidates for which we seek such designation.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 For products for which we may obtain orphan drug designation or exclusivity, we may be unable to prevent the approval or marketing authorization of other similar products based upon regulator decisions regarding product “sameness”.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of 1983, or the Orphan Drug Act, the FDA may designate a product candidate as an orphan drug or biological product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or biological product will be recovered from sales in the United States. We have received feedback from the FDA that VY-AADC (NBIb-1817) for the treatment of Parkinson’s disease does not qualify for orphan disease designation because the potential for its use in earlier stages of Parkinson’s disease exceeds the 200,000 patient population criterion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 We have received feedback from the Committee for Orphan Medicinal Products that orphan designation likely would not be granted for VY-AADC (NBIb-1817) in Parkinson’s disease since the Committee does not grant such status for products targeting more severe stages of a disease.</w:t>
      </w:r>
    </w:p>
    <w:p>
      <w:pPr>
        <w:spacing w:after="0" w:line="373"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applicable regulatory authority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may be precluded from receiving marketing approval for our product for the applicable exclusivity period. The applicable period is seven years in the United States and 10 years in the European Union. The exclusivity period in the United States can be extended by nine months if the BLA sponsor submits pediatric data that adequately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believe that all of our current programs may qualify for orphan drug designation except for VY-AADC (NBIb-1817) for Parkinson’s disease. On March 15, 2019, we received notification from the FDA that VY-HTT01, an AAV gene therapy containing a transgene that encodes a microRNA targeting huntingtin messenger RNA, had been granted orphan drug designation for the treatment of Huntington’s disease.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or more effective or makes a major contribution to patient care. In particular,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concept of what constitutes the "same drug" for purposes of orphan drug exclusivity remains in flux in the context of gene therapies, and the FDA has issued recent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70" w:lineRule="exact"/>
        <w:rPr>
          <w:sz w:val="20"/>
          <w:szCs w:val="20"/>
          <w:color w:val="auto"/>
        </w:rPr>
      </w:pPr>
    </w:p>
    <w:p>
      <w:pPr>
        <w:ind w:left="1000" w:right="240" w:hanging="323"/>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146" w:lineRule="exact"/>
        <w:rPr>
          <w:rFonts w:ascii="Arial" w:cs="Arial" w:eastAsia="Arial" w:hAnsi="Arial"/>
          <w:sz w:val="17"/>
          <w:szCs w:val="17"/>
          <w:color w:val="auto"/>
        </w:rPr>
      </w:pPr>
    </w:p>
    <w:p>
      <w:pPr>
        <w:ind w:left="1000" w:right="20" w:hanging="32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rFonts w:ascii="Arial" w:cs="Arial" w:eastAsia="Arial" w:hAnsi="Arial"/>
          <w:sz w:val="18"/>
          <w:szCs w:val="18"/>
          <w:color w:val="auto"/>
        </w:rPr>
      </w:pPr>
    </w:p>
    <w:p>
      <w:pPr>
        <w:ind w:left="1000" w:right="320" w:hanging="32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Even if we seek orphan drug designation from the FDA, the European Commission or other regulatory agencies for a product candidate, there can be no assurances that the regulatory agency or agencies will grant such designation. Additionally, the designation of any of our product candidates as an orphan drug does not guarantee that any regulatory agency will ultimately approve that product candidate or prevent other products from receiving marketing authorization due to decisions of the applicable regulatory agency regarding “sameness” of the products.</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have sought and may in the future seek a breakthrough therapy designation for some of our product candidates.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w:t>
      </w:r>
    </w:p>
    <w:p>
      <w:pPr>
        <w:spacing w:after="0" w:line="17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A potential regenerative medicine advanced therapy designation by the FDA for our product candidates may not lead to a faster development or regulatory review or approval process, and it does not increase the likelihood that our product candidates will receive marketing approval.</w:t>
      </w:r>
    </w:p>
    <w:p>
      <w:pPr>
        <w:spacing w:after="0" w:line="182" w:lineRule="exact"/>
        <w:rPr>
          <w:sz w:val="20"/>
          <w:szCs w:val="20"/>
          <w:color w:val="auto"/>
        </w:rPr>
      </w:pPr>
    </w:p>
    <w:p>
      <w:pPr>
        <w:ind w:right="200" w:firstLine="648"/>
        <w:spacing w:after="0" w:line="269" w:lineRule="auto"/>
        <w:rPr>
          <w:sz w:val="20"/>
          <w:szCs w:val="20"/>
          <w:color w:val="auto"/>
        </w:rPr>
      </w:pPr>
      <w:r>
        <w:rPr>
          <w:rFonts w:ascii="Arial" w:cs="Arial" w:eastAsia="Arial" w:hAnsi="Arial"/>
          <w:sz w:val="16"/>
          <w:szCs w:val="16"/>
          <w:color w:val="auto"/>
        </w:rPr>
        <w:t>We have sought and may in the future seek a regenerative medicine advanced therapy, or RMAT, designation for some of our product candidates. Under the 21st Century Cures Act, or the Cures Act, to be eligible to receive RMAT designation from the FDA, a product candidate must be (i) considered a “regenerative medicine therapy” as defined in the Cures Act; (ii) intended to treat, modify, reverse, or cure one or more serious or life-threatening diseases or conditions; and</w:t>
      </w:r>
    </w:p>
    <w:p>
      <w:pPr>
        <w:spacing w:after="0" w:line="1" w:lineRule="exact"/>
        <w:rPr>
          <w:sz w:val="20"/>
          <w:szCs w:val="20"/>
          <w:color w:val="auto"/>
        </w:rPr>
      </w:pPr>
    </w:p>
    <w:p>
      <w:pPr>
        <w:ind w:right="260" w:firstLine="2"/>
        <w:spacing w:after="0" w:line="239"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indicated, in preliminary clinical evidence, to have the potential to address unmet medical needs for such diseases or conditions. Gene therapies, including genetically modified cells, that lead to a durable modification of cells or tissues may meet the definition in the Cures Act of a regenerative medicine therapy.</w:t>
      </w:r>
    </w:p>
    <w:p>
      <w:pPr>
        <w:spacing w:after="0" w:line="176"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The RMAT program is intended to facilitate efficient development and expedite review of such therapies. A new drug application or a BLA for a product candidate that has received an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product candidate that has received an RMAT designation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56"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In June 2018, the FDA granted RMAT designation for the VY-AADC (NBIb-1817) gene therapy treatment for Parkinson’s disease in patients with motor fluctuations that are refractory to medical management. The designation was based on data from the Phase 1b clinical trial.</w:t>
      </w:r>
    </w:p>
    <w:p>
      <w:pPr>
        <w:spacing w:after="0" w:line="16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7"/>
          <w:szCs w:val="17"/>
          <w:color w:val="auto"/>
        </w:rPr>
        <w:t>RMAT designation is within the discretion of the FDA. Accordingly, even if we believe one of our other product candidates meets the criteria for RMAT designation,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the FDA may later decide that a product candidate that received RMAT designation no longer meets the conditions for designation.</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our product candidate.</w:t>
      </w:r>
    </w:p>
    <w:p>
      <w:pPr>
        <w:spacing w:after="0" w:line="169"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If a drug is intended for the treatment of a serious or life-threatening condition and the drug demonstrates the potential to address unmet medical need for this condition, the drug sponsor may apply for FDA fast track designation. VY-AADC (NBIb-1817) has been granted fast track designation by the FDA. We may seek such a designation for our other product candidates. A fast track designation does not ensure that the product candidate will receive marketing approval or that approval will be granted within any particular timeframe. Thus, fast track products may not experience a faster development process, review or approval compared to conventional FDA procedures. In addition, the FDA may withdraw fast track designation if it believes that the designation is no longer supported by data from a product candidate’s clinical development program. Fast track designation alone does not guarantee qualification for the FDA’s priority review procedures.</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our product candidate.</w:t>
      </w:r>
    </w:p>
    <w:p>
      <w:pPr>
        <w:spacing w:after="0" w:line="169"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If the FDA determines that a product candidate offers major advances in treatment or provides a treatment where no adequate therapy exists, the FDA may designate the product candidate for priority review. A priority review designation means that the FDA’s goal to review an application is six months, rather than the standard review period of ten months. We may request priority review for our product candidates. The FDA has broad discretion with respect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whether or not to grant priority review status to a product candidate, so even if we believe a particular product candidate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or any current or future collaborators are not able to obtain, or if there are delays in obtaining, required regulatory approvals, we or they may not be able to commercialize our products, and our ability to generate revenue may be materially impaired.</w:t>
      </w:r>
    </w:p>
    <w:p>
      <w:pPr>
        <w:spacing w:after="0" w:line="174"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comparable regulatory authorities in other countries.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CROs to assist us in this process.</w:t>
      </w:r>
    </w:p>
    <w:p>
      <w:pPr>
        <w:spacing w:after="0" w:line="195"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In the United States, for example, the submission fee to obtain U.S. marketing approval is more than $2.0 million, and may be higher in the future. Changes in marketing approval policies during the development period, in or the enactment of additional statutes or regulations, or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current or future collaborators, ultimately obtain may be limited or subject to restrictions or post-approval commitments that render the approved product not commercially viable.</w:t>
      </w:r>
    </w:p>
    <w:p>
      <w:pPr>
        <w:spacing w:after="0" w:line="184"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Additionally, in July 2018, we received 510(k) regulatory clearance of V-TAG, our potential delivery device, from the Center for Devices and Radiological Health of the FDA, or CDRH. There are additional steps needed in making this device available for use including the manufacture of the product and compliance with state and federal laws and regulations for medical devices. We expect to rely on third parties in the development and manufacture of our potential delivery devices. In May 2018, for example, we entered into a master services and supply agreement with CLPT which provides for CLPT to perform certain manufacturing, supply, development, and services as requested by us, including the supply of the ClearPoint System and cannula devices as well as to collaborate on V-TAG. In March 2019, we transferred our premarket notification (510(k)) clearance for the V-TAG device to CLPT. CLPT has sole responsibility for regulatory compliance related to V-TAG.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Accordingly, if we or any current or future collaborators experience delays in obtaining approval or if we or they fail to obtain or retain approval of our product candidates and devices, the commercial prospects for our product candidates may be harmed and our ability to generate revenues could be materially impaired.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regulatory approval for a product candidate, our products will remain subject to regulatory oversight.</w:t>
      </w:r>
    </w:p>
    <w:p>
      <w:pPr>
        <w:spacing w:after="0" w:line="235"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storing, advertising, promoting, sampling, record-keeping and submitting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4" w:lineRule="exact"/>
        <w:rPr>
          <w:sz w:val="20"/>
          <w:szCs w:val="20"/>
          <w:color w:val="auto"/>
        </w:rPr>
      </w:pPr>
    </w:p>
    <w:p>
      <w:pPr>
        <w:ind w:right="120" w:firstLine="648"/>
        <w:spacing w:after="0" w:line="274" w:lineRule="auto"/>
        <w:rPr>
          <w:sz w:val="20"/>
          <w:szCs w:val="20"/>
          <w:color w:val="auto"/>
        </w:rPr>
      </w:pPr>
      <w:r>
        <w:rPr>
          <w:rFonts w:ascii="Arial" w:cs="Arial" w:eastAsia="Arial" w:hAnsi="Arial"/>
          <w:sz w:val="16"/>
          <w:szCs w:val="16"/>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such regulatory authority disagrees with the promotion, marketing or labeling of that product, the regulatory authority may impose restrictions relative to that product, the manufacturing facility or us, including requiring recall or withdrawal of the product from the market or suspension of manufacturing.</w:t>
      </w:r>
    </w:p>
    <w:p>
      <w:pPr>
        <w:spacing w:after="0" w:line="164"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69" w:lineRule="exact"/>
        <w:rPr>
          <w:sz w:val="20"/>
          <w:szCs w:val="20"/>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1000" w:right="320" w:hanging="32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collaboration partners;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may inhibit our ability to commercialize our product candidates and adversely affect our business, financial condition, results of operations and prospects.</w:t>
      </w:r>
    </w:p>
    <w:p>
      <w:pPr>
        <w:spacing w:after="0" w:line="16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207"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 are aware of several companies focused on developing AAV gene therapies in various indications, including AAVANTIBio, Inc., Abeona Therapeutics, Inc., Adverum Biotechnologies, Inc., Aevitas Therapeutics, Inc., Apic Bio, Inc., Applied Genetic Technologies Corporation, Asklepios BioPharmaceutical, Inc., Audentes Therapeutics, Inc., AveXis, Inc. (acquired by Novartis AG in 2018), or AveXis, Axovant Sciences Ltd., or Axovant, Biogen, Inc., or Biogen, Brain Neurotherapy Bio, Inc., GenSight Biologics SA, Homology Medicines, Inc., LogicBio Therapeutics, Inc., Lysogene SA, MeiraGTx Ltd., or MeiraGTx, Neurogene, Inc., Passage Bio, Inc., Pfizer, Inc., Prevail Therapeutics, Inc., PTC Therapeutics, Inc., REGENXBio Inc., Sarepta Therapeutics, Inc., Solid Biosciences, Inc., Spark Therapeutics, Inc. (acquired by F. Hoffmann-La Roche Ltd., or Roche, in 2019), or Spark, StrideBio, Inc., and uniQure NV, or uniQure,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213"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We expect that VY-AADC (NBIb-1817) will compete with a variety of therapies currently marketed and in development for Parkinson’s disease, including DBS marketed by Medtronic plc, Abbott Laboratories (acquired from St. Jude Medical in 2017), and other medical device companies, DUOPA/Duodopa marketed by AbbVie, as well as other novel, non-oral forms of levodopa in development, including Mitsubishi Tanabe Pharma’s ND0612 (acquired from NeuroDerm in 2017), Acorda Therapeutics’ inhaled levodopa, INBRIJA (CVT-301), and Sunovion Pharmaceuticals’, or Sunovion’s, sublingual apomorphine, APL-130277. Gene therapy competition for Parkinson’s disease previously included AMT-090 or AAV-GDNF, but this was deprioritized by uniQure in 2016. Axovant is developing a second generation LentiVector gene therapy, AXO-Lenti-PD (previously OXB-102, licensed from Oxford Biomedica in 2018). MeiraGTx is developing AAV-GAD, acquired from Vector Neurosciences, Inc. in 2018.</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expect that our preclinical programs will compete with a variety of therapies in development, including:</w:t>
      </w:r>
    </w:p>
    <w:p>
      <w:pPr>
        <w:spacing w:after="0" w:line="143" w:lineRule="exact"/>
        <w:rPr>
          <w:sz w:val="20"/>
          <w:szCs w:val="20"/>
          <w:color w:val="auto"/>
        </w:rPr>
      </w:pPr>
    </w:p>
    <w:p>
      <w:pPr>
        <w:ind w:left="1000" w:right="120" w:hanging="323"/>
        <w:spacing w:after="0" w:line="280"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VY-HTT01 for Huntington’s disease will potentially compete with RG6042 (IONIS-HTTR</w:t>
      </w:r>
      <w:r>
        <w:rPr>
          <w:rFonts w:ascii="Arial" w:cs="Arial" w:eastAsia="Arial" w:hAnsi="Arial"/>
          <w:sz w:val="26"/>
          <w:szCs w:val="26"/>
          <w:color w:val="auto"/>
          <w:vertAlign w:val="subscript"/>
        </w:rPr>
        <w:t>x</w:t>
      </w:r>
      <w:r>
        <w:rPr>
          <w:rFonts w:ascii="Arial" w:cs="Arial" w:eastAsia="Arial" w:hAnsi="Arial"/>
          <w:sz w:val="17"/>
          <w:szCs w:val="17"/>
          <w:color w:val="auto"/>
        </w:rPr>
        <w:t>) being developed by Roche in collaboration with Ionis Pharmaceuticals, Inc., or Ionis, WVE-120101 and WVE-120102 being developed by WAVE Life Sciences Ltd. in collaboration with Takeda Pharmaceutical Company Limited, or Takeda, a Zinc Finger Protein (ZFP) therapy being developed by Sangamo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Therapeutics, Inc. in collaboration with Shire plc, and gene therapies being developed by uniQure and Spark;</w:t>
      </w:r>
    </w:p>
    <w:p>
      <w:pPr>
        <w:spacing w:after="0" w:line="71" w:lineRule="exact"/>
        <w:rPr>
          <w:sz w:val="20"/>
          <w:szCs w:val="20"/>
          <w:color w:val="auto"/>
        </w:rPr>
      </w:pPr>
    </w:p>
    <w:p>
      <w:pPr>
        <w:ind w:left="1000" w:hanging="323"/>
        <w:spacing w:after="0" w:line="26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VY-SOD102 for a monogenic form of ALS will potentially compete with BIIB067 (IONIS-SOD1R</w:t>
      </w:r>
      <w:r>
        <w:rPr>
          <w:rFonts w:ascii="Arial" w:cs="Arial" w:eastAsia="Arial" w:hAnsi="Arial"/>
          <w:sz w:val="27"/>
          <w:szCs w:val="27"/>
          <w:color w:val="auto"/>
          <w:vertAlign w:val="subscript"/>
        </w:rPr>
        <w:t>x</w:t>
      </w:r>
      <w:r>
        <w:rPr>
          <w:rFonts w:ascii="Arial" w:cs="Arial" w:eastAsia="Arial" w:hAnsi="Arial"/>
          <w:sz w:val="18"/>
          <w:szCs w:val="18"/>
          <w:color w:val="auto"/>
        </w:rPr>
        <w:t>) being developed by Biogen, in collaboration with Ionis, and gene therapies being developed by AveXis and Apic Bio, Inc.;VY-FXN01 for Friedreich’s ataxia will potentially compete with AAV gene therapies being developed by Pfizer, Inc., PTC Therapeutics, Inc., StrideBio, Inc. in collaboration with Takeda, AAVANTIBio, Inc., and AveXis;</w:t>
      </w:r>
    </w:p>
    <w:p>
      <w:pPr>
        <w:spacing w:after="0" w:line="186" w:lineRule="exact"/>
        <w:rPr>
          <w:rFonts w:ascii="Arial" w:cs="Arial" w:eastAsia="Arial" w:hAnsi="Arial"/>
          <w:sz w:val="18"/>
          <w:szCs w:val="18"/>
          <w:color w:val="auto"/>
        </w:rPr>
      </w:pPr>
    </w:p>
    <w:p>
      <w:pPr>
        <w:ind w:left="1000" w:right="180" w:hanging="323"/>
        <w:spacing w:after="0" w:line="259"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Tau program for tauopathies including Alzheimer’s disease, PSP, and FTD will potentially compete with tau antibodies being developed by Roche Genentech Inc. in collaboration with AC Immune SA, Eli Lilly &amp; Co., AbbVie, Biogen, and several other companies, as well as an antisense oligonucleotide program being developed by Ionis in collaboration with Biogen; and</w:t>
      </w:r>
    </w:p>
    <w:p>
      <w:pPr>
        <w:spacing w:after="0" w:line="119" w:lineRule="exact"/>
        <w:rPr>
          <w:rFonts w:ascii="Arial" w:cs="Arial" w:eastAsia="Arial" w:hAnsi="Arial"/>
          <w:sz w:val="18"/>
          <w:szCs w:val="18"/>
          <w:color w:val="auto"/>
        </w:rPr>
      </w:pPr>
    </w:p>
    <w:p>
      <w:pPr>
        <w:ind w:left="1000" w:hanging="323"/>
        <w:spacing w:after="0" w:line="25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alpha-synuclein program for synucleinopathies, including Parkinson’s disease, Lewy Body Dementia, and multiple system atrophy, will potentially compete with alpha-synuclein antibodies being developed by Roche in collaboration with Prothena Corporation, Biogen in collaboration with Neurimmune AG, AstraZeneca plc in collaboration with Takeda, and several other companies, as well as an antisense oligonucleotide program being developed by Ionis in collaboration with Biogen.</w:t>
      </w:r>
    </w:p>
    <w:p>
      <w:pPr>
        <w:spacing w:after="0" w:line="121"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We are also aware of several companies and institutions who have developed or are developing real-time, intra-operative, MRI-compatible devices that would compete with V-TAG. Investigators in the Phase 1b, the separate Phase 1 posterior trajectory trial, and the RESTORE-1 Phase 2 clinical trial of VY-AADC (NBIb-1817) have used and are using the ClearPoint System from CLPT.</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including recent transactions involving a number of gene therapy companies, may result in even more resources being concentrated among a smaller number of competitors. Smaller and other early stage companies may also prove to be significant competitors, particularly through collaborative agreements with large and established companies.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or may obtain orphan drug or other marketing exclusivity, which could result in our competitors establishing a strong market position before we are able to enter the market or reducing the number of available subjects for enrollment in our clinical trials to support regulatory submissions and approvals of our product. Additionally, technologies developed or acquired by our competitors may render our potential product candidates uneconomical or obsolete, and we may not be successful in marketing our product candidates against competitors. These third parties also compete with us in recruiting and retaining qualified scientific and management personnel, establishing clinical trial sites, and registering patients for clinical trials.</w:t>
      </w:r>
    </w:p>
    <w:p>
      <w:pPr>
        <w:spacing w:after="0" w:line="173" w:lineRule="exact"/>
        <w:rPr>
          <w:sz w:val="20"/>
          <w:szCs w:val="20"/>
          <w:color w:val="auto"/>
        </w:rPr>
      </w:pPr>
    </w:p>
    <w:p>
      <w:pPr>
        <w:ind w:right="220" w:firstLine="648"/>
        <w:spacing w:after="0" w:line="241"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19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101" w:lineRule="exact"/>
        <w:rPr>
          <w:sz w:val="20"/>
          <w:szCs w:val="20"/>
          <w:color w:val="auto"/>
        </w:rPr>
      </w:pPr>
    </w:p>
    <w:p>
      <w:pPr>
        <w:ind w:right="500" w:firstLine="648"/>
        <w:spacing w:after="0" w:line="324"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regulatory authorities in other countries or jurisdictions, and approval by one foreign regulatory authority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or manufacturing control requirements. In many countries outside the United States, a product candidate must be separately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00"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75"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United Kingdom will not accept high regulatory alignment with the European Union.</w:t>
      </w:r>
    </w:p>
    <w:p>
      <w:pPr>
        <w:spacing w:after="0" w:line="10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and/or European Union for our product candidates, which could significantly and materially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3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To date, all of our revenue has been derived from our collaborations with Sanofi Genzyme, AbbVie, and Neurocrine. If any ongoing or future collaboration agreements were to be terminated, our business financial condition, results of operations and prospects could be harmed.</w:t>
      </w:r>
    </w:p>
    <w:p>
      <w:pPr>
        <w:spacing w:after="0" w:line="115"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In February 2015, we entered into the Sanofi Genzyme Collaboration Agreement to leverage our combined expertise and assets in gene therapy for neurological diseases. Under the Sanofi Genzyme Collaboration Agreement, we received an upfront commitment of approximately $100.0 million. Pursuant to the agreement, we granted Sanofi Genzyme an exclusive option to license, develop and commercialize (i) ex-U.S. rights to the Parkinson’s disease program, or VY-AADC Program, Friedreich’s ataxia program, or FA Program, and Huntington’s disease program, or Huntington’s Program, and a future program, collectively, the Split Territory Programs, with an incremental option to co-commercialize the product candidate from our Huntington’s Program in the United States and (ii) worldwide rights to</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our spinal muscular atrophy program. If Sanofi Genzyme would have exercised an option for a Split Territory Program, except for the VY-AADC Program, it would have been required to make an option exercise payment to us. At the inception of the agreement, we were eligible to receive up to $745.0 million in the aggregate upon the achievement of specified regulatory and commercial milestones, as well as tiered royalty payments based on a percentage of net sales of product candidates from the programs for which Sanofi Genzyme exercised its option, or the Optioned Programs.</w:t>
      </w:r>
    </w:p>
    <w:p>
      <w:pPr>
        <w:spacing w:after="0" w:line="9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June 2019, we and Sanofi Genzyme executed a termination agreement to terminate the Sanofi Genzyme Collaboration Agreement, or the Sanofi Genzyme Termination Agreement. Under the terms of the Sanofi Genzyme Termination Agreement, Sanofi Genzyme has relinquished its rights to its exclusive license options to the Huntington’s Program, FA Program and the unnamed future program described above. We have been relieved of our obligations to perform the research and development services under those programs under the Sanofi Genzyme Collaboration Agreement. As a result, we gained worldwide rights to the Huntington’s Program and ex-U.S. rights to the FA Program. Our ex-U.S. rights to the FA Program were, in turn, transferred from us to Neurocrine Biosciences pursuant to the Neurocrine Collaboration Agreement. In connection with the Sanofi Genzyme Termination Agreement, we have also relinquished our rights to the spinal muscular atrophy program thereunder. As of the termination date, we waived our right to approximately $0.4 million in unused in-kind services, we have relinquished our rights to the spinal muscular atrophy program, and we no longer have the right to receive any option payments, regulatory or commercial milestone payments or royalties from Sanofi Genzyme under the Sanofi Genzyme Collaboration Agreement.</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In February 2018, we entered into an exclusive collaboration and option agreement with AbbVie, which we refer to as the AbbVie Tau Collaboration Agreement, for the research, development, and commercialization of AAV gene therapy products for the treatment of diseases of the central nervous system and other neurodegenerative diseases related to defective or excess aggregation of tau protein in the human brain, including Alzheimer’s disease. Under the terms of the AbbVie Tau Collaboration Agreement, we received an upfront payment of $69.0 million and may receive option exercise payments, future development and regulatory milestone payments and royalties.</w:t>
      </w:r>
    </w:p>
    <w:p>
      <w:pPr>
        <w:spacing w:after="0" w:line="95"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Under the AbbVie Tau Collaboration Agreement, we are obligated to use diligent efforts to conduct research and development activities, including IND-enabling and Phase 1 clinical trial activities, for which we are solely financially responsible. Our research and development activities in connection with this collaboration might not be successful. We cannot accurately predict when or if any of our product candidates will prove effective or safe in humans or whether these product candidates will receive marketing approval. There can be no assurance that we will not experience problems or delays in developing our product candidates and that such problems or delays will not cause unanticipated costs, or that any such development problems can be solved. The AbbVie Tau Collaboration Agreement shall automatically terminate if AbbVie decides not to exercise one or more of its options prior to the expiration of the specified periods of the collaboration. If AbbVie does not exercise one or more of its options, we would have incurred significant research and development expenses but would not receive any future option exercise, milestone, or royalty payments under the collaboration.</w:t>
      </w:r>
    </w:p>
    <w:p>
      <w:pPr>
        <w:spacing w:after="0" w:line="10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Such research and development activities shall be pursuant to plans agreed to by the parties and overseen by a joint governance committee, or JGC. Initially, we will have final decision-making authority within the JGC, subject to specified limitations. If AbbVie exercises its license option, however, AbbVie will assume final decision-making authority within the JGC. If AbbVie exercises its license option, it will also be solely responsible for all development and commercialization activities relating to compounds and products licensed pursuant to the agreement, and, at AbbVie’s request, we could be required to effect a full transfer of the manufacturing process for such compound and products. Even if AbbVie does not exercise any of its options under the AbbVie Tau Collaboration Agreement, we have agreed to grant AbbVie perpetual, exclusive or non-exclusive (as the case may be), worldwide licenses to certain know-how and patent rights developed by us or jointly by us and AbbVie arising from the collaboration.</w:t>
      </w:r>
    </w:p>
    <w:p>
      <w:pPr>
        <w:spacing w:after="0" w:line="110"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AbbVie might not be effective in administering the JGC, obtaining approvals for the product candidates arising from our collaboration, or commercializing or manufacturing the resulting products. Further, AbbVie’s objectives in connection with the collaboration may not be consistent with our best interests. AbbVie could use its leadership of the JGC or intellectual property it has licensed under the AbbVie Tau Collaboration Agreement in a manner adverse to us, or it could halt, slow, or deprioritize its development and commercialization efforts under the collaboration. In any such instances, our business, financial condition, results of operations and prospects could be materially harmed.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In January 2019, we entered into the Neurocrine Collaboration Agreement for the research, development and commercialization of four programs including the VY-AADC Program, our FA Program, and two programs to be determined by us and Neurocrine at a later date, or the Discovery Programs. Under the terms of the agreement, we received an upfront payment of $115.0 million and may receive future development and regulatory milestones and royalties. In connection with the Neurocrine Collaboration Agreement, Neurocrine also paid us $50.0 million as consideration for an equity purchase of 4,179,728 shares of our common stock. In June 2019, in conjunction with the termination of the Sanofi Genzyme Collaboration Agreement, we and Neurocrine amended the Neurocrine Collaboration Agreement to facilitate the transfer of the ex-U.S. rights to the FA Program which we acquired from Sanofi Genzyme to Neurocrine. In connection with the amendment, we received a $5.0 million payment from Neurocrine.</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Under the terms of the Neurocrine Collaboration Agreement, subject to the rights retained by us thereunder, we have agreed to collaborate with Neurocrine on, and to grant, exclusive, royalty-bearing, non-transferable, sublicensable licenses to certain of our intellectual property rights for all human and veterinary diagnostic, prophylactic, and therapeutic uses for the research, development, and commercialization of gene therapy Collaboration Products, under (i) the VY-AADC Program, on a worldwide basis; (ii) the FA Program, on a worldwide basis; and (iii) each Discovery Program, on a worldwide basis. We refer to each of these programs as a Neurocrine Program and, collectively, as the Neurocrine Programs.</w:t>
      </w:r>
    </w:p>
    <w:p>
      <w:pPr>
        <w:spacing w:after="0" w:line="14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Pursuant to development plans to be agreed by the parties, which will be overseen by a joint steering committee, we have operational responsibility, subject to certain exceptions, for the conduct of each Neurocrine Program (prior to specified transition events for each program), and are required to use commercially reasonable efforts to develop the Collaboration Products. Neurocrine has agreed to be responsible for all costs incurred by us in conducting these activities for each Neurocrine Program in accordance with an agreed budget. If we breach our development responsibilities or in certain circumstances upon a change in control of us, Neurocrine has the right but not the obligation to assume the activities under such Neurocrine Program.</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Upon the occurrence of specified events for each program, Neurocrine has agreed to assume responsibility for development, manufacturing and commercialization activities for such program and to pay us milestones and royalties on future net sales. For each of the VY-AADC Program and the FA Program, we have the option to co-develop and co-commercialize such program upon the occurrence of a specified event. Should we elect to exercise our co-development and co-commercialization option, we and Neurocrine have agreed to enter into a cost- and profit-sharing arrangement whereby we and Neurocrine agree to jointly develop and commercialize Collaboration Products for such program and share in its costs, profits and losses, and we have agreed to forfeit certain milestones and royalties on net sales in the United States during the effective period of the applicable co-development and co-commercialization agreement. As described above, our research and development activities in connection with a collaboration might not be successful. Neurocrine may terminate the Neurocrine Collaboration Agreement in its entirety or on a program-by-program or country-by-country basis by providing at least 180-day advance notice if such notice is provided prior to the first commercial sale of the Collaboration Product to which the termination applies or one-year advance notice if such notice is provided after the first commercial sale of the Collaboration Product to which the termination applies. If Neurocrine were to terminate the agreement, we would become responsible for all research and development expenses relating to the Neurocrine Programs, and would not receive any future milestone payments or royalty payments under the Neurocrine Collaboration Agreement.</w:t>
      </w:r>
    </w:p>
    <w:p>
      <w:pPr>
        <w:spacing w:after="0" w:line="10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Neurocrine might not be successful in obtaining approvals for the product candidates arising from our collaboration, or commercializing or manufacturing the resulting products. Further, Neurocrine’s objectives in connection with the collaboration may not be consistent with our best interests. With respect to the rights granted to Neurocrine by us, Neurocrine could take actions that may be adverse to us, or it could halt, slow, or deprioritize its development and commercialization efforts under the collaboration. In any such instances, our business, financial condition, results of operations and prospects could be materially harmed.</w:t>
      </w:r>
    </w:p>
    <w:p>
      <w:pPr>
        <w:spacing w:after="0" w:line="10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February 2019, we entered into a collaboration agreement, which we refer to as the AbbVie Alpha-Synuclein Collaboration Agreement, for the research, development, and commercialization of AAV gene therapy products directed against alpha-synuclein for indications including Parkinson’s disease and other synucleinopathies. Under the terms of the AbbVie Alpha-Synuclein Collaboration Agreement, we received an upfront payment of $65.0 million and may receive option exercise payments, future development and regulatory milestone payments and royalties.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6"/>
          <w:szCs w:val="16"/>
          <w:color w:val="auto"/>
        </w:rPr>
        <w:t>Under the terms of the agreement, we and AbbVie have agreed to collaborate on the research and development of the specified vectorized antibody compounds, or the Research Compounds. We are obligated to conduct research activities directed to constructing one or more virus vectors that encode antibodies designated by AbbVie. We are obligated to use diligent efforts to conduct antibody engineering and other research activities to create Research Compounds and to develop product candidates containing or comprised of such Research Compounds, which we refer to as Product Candidates. We are solely responsible for the costs and expenses during the research period. During a specified portion of the Research Period, AbbVie may exercise one or more of its exclusive development options to select up to a total of four Research Compounds and their corresponding product candidates to proceed to the Development Period. As described above, our research and development activities in connection with a collaboration might not be successful. The AbbVie Alpha-Synuclein Collaboration Agreement shall automatically terminate if AbbVie decides not to exercise one or more of its options prior to the expiration of the specified periods of the collaboration. If AbbVie did not exercise one or more of its options, we would have incurred significant research and development expenses but would not receive any future option exercise, milestone payments, or royalty payments under the collaboration.</w:t>
      </w:r>
    </w:p>
    <w:p>
      <w:pPr>
        <w:spacing w:after="0" w:line="1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Such research and development activities shall be pursuant to plans agreed to by the parties and overseen by a JGC. Initially, we will have final decision-making authority within the JGC, subject to specified limitations. If AbbVie exercises its license option, however, AbbVie will assume final decision-making authority within the JGC. If AbbVie exercises its license option, it will also be solely responsible for all development and commercialization activities relating to compounds and products licensed pursuant to the AbbVie Alpha-Synuclein Collaboration Agreement, and, at AbbVie’s request, we could be required to effect a full transfer of the manufacturing process for such compound and products. Even if AbbVie does not exercise any of its options under the AbbVie Alpha-Synuclein Collaboration Agreement, we have agreed to grant AbbVie perpetual, exclusive or non-exclusive (as the case may be), worldwide licenses to certain know-how and patent rights developed by us or jointly by us and AbbVie arising from the collaboration.</w:t>
      </w:r>
    </w:p>
    <w:p>
      <w:pPr>
        <w:spacing w:after="0" w:line="89"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AbbVie might not be effective in administering the JGC, obtaining approvals for the product candidates arising from our collaboration, or commercializing or manufacturing the resulting products. Further, AbbVie’s objectives in connection with the collaboration may not be consistent with our best interests. AbbVie could use its leadership of the JGC or intellectual property it has licensed under the AbbVie Alpha-Synuclein Collaboration Agreement in a manner adverse to us, or it could halt, slow, or deprioritize its development and commercialization efforts under the collaboration. In any such instances, our business, financial condition, results of operations and prospects could be materially harmed.</w:t>
      </w:r>
    </w:p>
    <w:p>
      <w:pPr>
        <w:spacing w:after="0" w:line="10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i w:val="1"/>
          <w:iCs w:val="1"/>
          <w:color w:val="auto"/>
        </w:rPr>
        <w:t>We have only used the ClearPoint System to deliver our product candidates to date. While other devices for delivery may be used in the future, any issues with the ClearPoint System or the manufacturer of the ClearPoint System may result in delays in the development and commercialization of certain of our product candidates, which could have an adverse impact on our business.</w:t>
      </w:r>
    </w:p>
    <w:p>
      <w:pPr>
        <w:spacing w:after="0" w:line="188"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surgical approach that we are using for VY-AADC (NBIb-1817) is similar, in some respects, to the stereotactic approach used for DBS. One primary difference with our approach is the ability to assist the physician in visualizing the delivery of VY-AADC (NBIb-1817) to the putamen using real-time, intra-operative, magnetic resonance imaging scans, or MRI imaging, to avoid specific blood vessels to potentially reduce the risk of hemorrhages during the surgical procedure and to maximize the coverage of the putamen.</w:t>
      </w:r>
    </w:p>
    <w:p>
      <w:pPr>
        <w:spacing w:after="0" w:line="190"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color w:val="auto"/>
        </w:rPr>
        <w:t>Investigators in the Phase 1b clinical trial, the separate Phase 1 posterior trajectory trial, and the RESTORE-1 Phase 2 clinical trial for VY-AADC (NBIb-1817) have used and are using the real-time, intra-operative, MRI imaging system known as the ClearPoint System. The ClearPoint System is manufactured by CLPT. Not all neurosurgical units within the United States utilize the ClearPoint system and may employ other neuro-navigational systems that are not compatible with real-time MRI imaging. We and Neurocrine intend to use the ClearPoint System at certain sites in the RESTORE-1 Phase 2 clinical trial and may choose to use it in future clinical trials of VY-AADC (NBIb-1817) and any other of our product candidates that are injected directly into the brain. Therefore, any issues with the ClearPoint System, such as a finding that use of the ClearPoint System causes adverse events or a product recall, or issues with CLPT, the manufacturer of the ClearPoint System, such as bankruptcy or a decision to stop production of the system due to lack of profitability, could delay the development or commercialization of certain of our product candidates, including VY-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AADC (NBIb-1817), as there currently is no other manufacturer of the ClearPoint System. Outside the United States, the ClearPoint System is not widely available or utilized in neurosurgical units.</w:t>
      </w:r>
    </w:p>
    <w:p>
      <w:pPr>
        <w:spacing w:after="0" w:line="16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have developed V-TAG as our own real-time, intra-operative device that is compatible with MRI imaging and can be used with other neuro-navigational systems to dose VY-AADC (NBIb-1817) and for other surgical procedures. We believe that the experience we have gained from delivering VY-AADC (NBIb-1817) in our clinical trials to date and our work to develop V-TAG may inform AAV gene therapy delivery for our Huntington’s Program and other projects. In July 2018, we received 510(k) regulatory clearance of V-TAG from the CDRH. There are additional steps needed in making this device available for use, including the manufacture of the product and compliance with state and federal laws and regulations for medical devices.</w:t>
      </w:r>
    </w:p>
    <w:p>
      <w:pPr>
        <w:spacing w:after="0" w:line="191"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We expect to rely on third parties in the development and manufacture of our potential delivery devices. In May 2018, we entered into a master services and supply agreement with CLPT for the development and manufacture of devices, including V-TAG. This agreement provides for CLPT to perform certain manufacturing, supply, development and other services, including the supply of the ClearPoint System and cannula devices. In March 2019, we transferred our premarket notification (510(k)) clearance for the V-TAG device to CLPT, and will work with CLPT on the manufacturing and clinical supply of the device.</w:t>
      </w:r>
    </w:p>
    <w:p>
      <w:pPr>
        <w:spacing w:after="0" w:line="1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As of December 31, 2019, CLPT reported cash and cash equivalents of $5.7 million and junior secured debt totaling approximately $2.1 million, and also reported a net loss of $5.5 million for the year ended December 31, 2019. CLPT has disclosed that it is not generating sufficient revenues from its operations to fund its activities, that it is dependent upon external sources for financing its operations, and that there is a risk that CLPT will be unable to obtain necessary financing to continue its operations. In April 2019, CLPT also acknowledged that its auditors in their report on CLPT’s consolidated financial statements for the year ended December 31, 2018 expressed substantial doubt regarding CLPT’s ability to continue as a going concern. In January 2020, ClearPoint Neuro announced that it had completed a $17.5 million financing with PTC Therapeutics, Inc. and Petrichor Opportunities Fund I LP. Even with this strategic investment, there is risk that ClearPoint Neuro may fail to maintain sufficient funding to continue its operations and meet its obligations under our agreement with ClearPoint Neuro on a long-term basis. If CLPT, or any potential successor to CLPT, is not able to meet its obligations under our agreement with CLPT, and if we are not able to make suitable alternative arrangements for the supply of the ClearPoint System or V-TAG, the use of the ClearPoint System and V-TAG in our clinical trials could be adversely affected, and our clinical trials, including the RESTORE-1 Phase 2 clinical trial, could be delayed. In such circumstance, our business, financial condition, results of operations and prospects could be materially harmed.</w:t>
      </w:r>
    </w:p>
    <w:p>
      <w:pPr>
        <w:spacing w:after="0" w:line="176" w:lineRule="exact"/>
        <w:rPr>
          <w:sz w:val="20"/>
          <w:szCs w:val="20"/>
          <w:color w:val="auto"/>
        </w:rPr>
      </w:pPr>
    </w:p>
    <w:p>
      <w:pPr>
        <w:ind w:right="700"/>
        <w:spacing w:after="0" w:line="324" w:lineRule="auto"/>
        <w:rPr>
          <w:sz w:val="20"/>
          <w:szCs w:val="20"/>
          <w:color w:val="auto"/>
        </w:rPr>
      </w:pPr>
      <w:r>
        <w:rPr>
          <w:rFonts w:ascii="Arial" w:cs="Arial" w:eastAsia="Arial" w:hAnsi="Arial"/>
          <w:sz w:val="16"/>
          <w:szCs w:val="16"/>
          <w:b w:val="1"/>
          <w:bCs w:val="1"/>
          <w:i w:val="1"/>
          <w:iCs w:val="1"/>
          <w:color w:val="auto"/>
        </w:rPr>
        <w:t>We may seek to enter into collaborations in the future with other third parties. If we are unable to enter into such collaborations, or if these collaborations are not successful, our business could be adversely affected.</w:t>
      </w:r>
    </w:p>
    <w:p>
      <w:pPr>
        <w:spacing w:after="0" w:line="12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may seek to enter into additional collaborations in the future, including sales, marketing, distribution, development, licensing, and/or broader collaboration agreements. Our likely collaborators include large and mid-size pharmaceutical companies, regional and national pharmaceutical companies, biotechnology companies, and medical device manufacturers. However, we may not be able to enter into additional collaborations on favorable terms or at all. Our ability to generate revenues from our collaborations will depend on our and our collaborators’ abilities to successfully perform the functions assigned to each of us in these arrangements. In addition, our collaborators might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relationship with any current or future collaborators may pose several risks, including the following:</w:t>
      </w:r>
    </w:p>
    <w:p>
      <w:pPr>
        <w:spacing w:after="0" w:line="212" w:lineRule="exact"/>
        <w:rPr>
          <w:sz w:val="20"/>
          <w:szCs w:val="20"/>
          <w:color w:val="auto"/>
        </w:rPr>
      </w:pPr>
    </w:p>
    <w:p>
      <w:pPr>
        <w:ind w:left="1000" w:right="80" w:hanging="32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the efforts and resources that they will apply to these collaborations;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 or desired;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hanging="323"/>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preclinical studies and clinical trials conducted as part of these collaborations may not be successful;</w:t>
      </w:r>
    </w:p>
    <w:p>
      <w:pPr>
        <w:spacing w:after="0" w:line="236" w:lineRule="exact"/>
        <w:rPr>
          <w:rFonts w:ascii="Arial" w:cs="Arial" w:eastAsia="Arial" w:hAnsi="Arial"/>
          <w:sz w:val="17"/>
          <w:szCs w:val="17"/>
          <w:color w:val="auto"/>
        </w:rPr>
      </w:pPr>
    </w:p>
    <w:p>
      <w:pPr>
        <w:ind w:left="1000" w:right="80" w:hanging="323"/>
        <w:spacing w:after="0" w:line="279"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study or clinical trial results, changes in the collaborators’ strategic focus or available funding or external factors, such as an acquisition, that divert resources or create competing priorities;</w:t>
      </w:r>
    </w:p>
    <w:p>
      <w:pPr>
        <w:spacing w:after="0" w:line="171" w:lineRule="exact"/>
        <w:rPr>
          <w:rFonts w:ascii="Arial" w:cs="Arial" w:eastAsia="Arial" w:hAnsi="Arial"/>
          <w:sz w:val="17"/>
          <w:szCs w:val="17"/>
          <w:color w:val="auto"/>
        </w:rPr>
      </w:pPr>
    </w:p>
    <w:p>
      <w:pPr>
        <w:ind w:left="1000" w:right="380" w:hanging="323"/>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delay preclinical studies and clinical trials, provide insufficient funding for preclinical studies and clinical trials, stop a preclinical study or clinical trial or abandon a product candidate, repeat or conduct new preclinical studies or clinical trials or require a new formulation of a product candidate for preclinical studies or clinical trials;</w:t>
      </w:r>
    </w:p>
    <w:p>
      <w:pPr>
        <w:spacing w:after="0" w:line="186" w:lineRule="exact"/>
        <w:rPr>
          <w:rFonts w:ascii="Arial" w:cs="Arial" w:eastAsia="Arial" w:hAnsi="Arial"/>
          <w:sz w:val="18"/>
          <w:szCs w:val="18"/>
          <w:color w:val="auto"/>
        </w:rPr>
      </w:pPr>
    </w:p>
    <w:p>
      <w:pPr>
        <w:ind w:left="1000" w:right="440" w:hanging="323"/>
        <w:spacing w:after="0" w:line="286"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65" w:lineRule="exact"/>
        <w:rPr>
          <w:rFonts w:ascii="Arial" w:cs="Arial" w:eastAsia="Arial" w:hAnsi="Arial"/>
          <w:sz w:val="17"/>
          <w:szCs w:val="17"/>
          <w:color w:val="auto"/>
        </w:rPr>
      </w:pPr>
    </w:p>
    <w:p>
      <w:pPr>
        <w:ind w:left="1000" w:right="160" w:hanging="323"/>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6" w:lineRule="exact"/>
        <w:rPr>
          <w:rFonts w:ascii="Arial" w:cs="Arial" w:eastAsia="Arial" w:hAnsi="Arial"/>
          <w:sz w:val="18"/>
          <w:szCs w:val="18"/>
          <w:color w:val="auto"/>
        </w:rPr>
      </w:pPr>
    </w:p>
    <w:p>
      <w:pPr>
        <w:ind w:left="1000" w:right="80" w:hanging="323"/>
        <w:spacing w:after="0" w:line="26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81" w:lineRule="exact"/>
        <w:rPr>
          <w:rFonts w:ascii="Arial" w:cs="Arial" w:eastAsia="Arial" w:hAnsi="Arial"/>
          <w:sz w:val="18"/>
          <w:szCs w:val="18"/>
          <w:color w:val="auto"/>
        </w:rPr>
      </w:pPr>
    </w:p>
    <w:p>
      <w:pPr>
        <w:ind w:left="1000" w:right="100" w:hanging="323"/>
        <w:spacing w:after="0" w:line="26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81" w:lineRule="exact"/>
        <w:rPr>
          <w:rFonts w:ascii="Arial" w:cs="Arial" w:eastAsia="Arial" w:hAnsi="Arial"/>
          <w:sz w:val="18"/>
          <w:szCs w:val="18"/>
          <w:color w:val="auto"/>
        </w:rPr>
      </w:pPr>
    </w:p>
    <w:p>
      <w:pPr>
        <w:ind w:left="1000" w:right="20" w:hanging="323"/>
        <w:spacing w:after="0" w:line="25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or expenses for us with respect to such product candidates or may result in litigation or arbitration, any of which would be time-consuming and expensive;</w:t>
      </w:r>
    </w:p>
    <w:p>
      <w:pPr>
        <w:spacing w:after="0" w:line="120" w:lineRule="exact"/>
        <w:rPr>
          <w:rFonts w:ascii="Arial" w:cs="Arial" w:eastAsia="Arial" w:hAnsi="Arial"/>
          <w:sz w:val="18"/>
          <w:szCs w:val="18"/>
          <w:color w:val="auto"/>
        </w:rPr>
      </w:pPr>
    </w:p>
    <w:p>
      <w:pPr>
        <w:jc w:val="both"/>
        <w:ind w:left="1000" w:right="160" w:hanging="323"/>
        <w:spacing w:after="0" w:line="26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0" w:lineRule="exact"/>
        <w:rPr>
          <w:rFonts w:ascii="Arial" w:cs="Arial" w:eastAsia="Arial" w:hAnsi="Arial"/>
          <w:sz w:val="18"/>
          <w:szCs w:val="18"/>
          <w:color w:val="auto"/>
        </w:rPr>
      </w:pPr>
    </w:p>
    <w:p>
      <w:pPr>
        <w:ind w:left="1000" w:right="100" w:hanging="32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or inventorship of intellectual property developed pursuant to our collaborations;</w:t>
      </w:r>
    </w:p>
    <w:p>
      <w:pPr>
        <w:spacing w:after="0" w:line="102"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2"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our collaboration agreement may restrict us from entering into certain relationships with other third parties, thereby limiting our options; and</w:t>
      </w:r>
    </w:p>
    <w:p>
      <w:pPr>
        <w:spacing w:after="0" w:line="89" w:lineRule="exact"/>
        <w:rPr>
          <w:rFonts w:ascii="Arial" w:cs="Arial" w:eastAsia="Arial" w:hAnsi="Arial"/>
          <w:sz w:val="18"/>
          <w:szCs w:val="18"/>
          <w:color w:val="auto"/>
        </w:rPr>
      </w:pPr>
    </w:p>
    <w:p>
      <w:pPr>
        <w:jc w:val="both"/>
        <w:ind w:left="1000" w:right="540" w:hanging="323"/>
        <w:spacing w:after="0" w:line="26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Collaboration agreements may not lead to the development or commercialization of product candidates in the most efficient manner, or at all. 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periodic report also apply to the activities of our collaborators.</w:t>
      </w:r>
    </w:p>
    <w:p>
      <w:pPr>
        <w:spacing w:after="0" w:line="110"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We will face significant competition in seeking appropriate collaborators, and the negotiation process is time-consuming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In addition, there have been a significant number of recent business combinations among large pharmaceutical companies that have resulted in a reduced number of potential future collaborators.</w:t>
      </w:r>
    </w:p>
    <w:p>
      <w:pPr>
        <w:spacing w:after="0" w:line="98"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gene therapy platform. If we license rights to product candidates, we may not be able to realize the benefit of such transactions if we are unable to successfully integrate them with our existing operations and company culture.</w:t>
      </w:r>
    </w:p>
    <w:p>
      <w:pPr>
        <w:spacing w:after="0" w:line="105" w:lineRule="exact"/>
        <w:rPr>
          <w:sz w:val="20"/>
          <w:szCs w:val="20"/>
          <w:color w:val="auto"/>
        </w:rPr>
      </w:pPr>
    </w:p>
    <w:p>
      <w:pPr>
        <w:ind w:right="160"/>
        <w:spacing w:after="0" w:line="362" w:lineRule="auto"/>
        <w:rPr>
          <w:sz w:val="20"/>
          <w:szCs w:val="20"/>
          <w:color w:val="auto"/>
        </w:rPr>
      </w:pPr>
      <w:r>
        <w:rPr>
          <w:rFonts w:ascii="Arial" w:cs="Arial" w:eastAsia="Arial" w:hAnsi="Arial"/>
          <w:sz w:val="15"/>
          <w:szCs w:val="15"/>
          <w:b w:val="1"/>
          <w:bCs w:val="1"/>
          <w:i w:val="1"/>
          <w:iCs w:val="1"/>
          <w:color w:val="auto"/>
        </w:rPr>
        <w:t>We have relied, and we expect to continue to rely, on third parties to conduct, supervise and monitor our preclinical studies and clinical trials, and if these third parties perform in an unsatisfactory manner, our business could be harmed.</w:t>
      </w:r>
    </w:p>
    <w:p>
      <w:pPr>
        <w:spacing w:after="0" w:line="33"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We expect to rely on CROs, clinical trial sites, and other vendors to ensure our preclinical studies and clinical trials are conducted properly and on time. We may also engage third parties such as clinical data management organizations, medical institutions and clinical investigators to conduct or assist in our clinical trials or other preclinical and clinical research and development work. While we will have agreements governing their activities, we will have limited influence over their actual performance. We will control only certain aspects of our third-party service providers’ activities. Nevertheless, we will be responsible for ensuring that each of our preclinical studies and clinical trials is conducted in accordance with the applicable protocol, legal, regulatory and scientific standards. Our reliance on these third-parties does not relieve us of our regulatory responsibilities. For example, the Phase 1b clinical trial of VY-AADC (NBIb-1817) and the separate Phase 1 trial exploring the delivery of VY-AADC (NBIb-1817) using a posterior trajectory were conducted at several locations. We expect to conduct the RESTORE-1 Phase 2 clinical trial at over twenty clinical trial sites, including neurosurgical and neurology patient referral sites. If any locations terminate the clinical trial, we would be required to find another party to conduct any new trials. We may be unable to find a new party to conduct new trials of our product candidates or obtain clinical supply of our product candidates or AAV vectors for such trials. If we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elect to internalize some or all activities related to the conduct of our preclinical studies or clinical trials that are currently performed by our third-party service providers, or if we are required to do so due to a service provider’s termination of our relationship, then we may be required to source additional technology and personnel in order to perform the relevant activities. We may be unsuccessful in our efforts to internalize some or all relevant activities, either on the desired timeline or at all.</w:t>
      </w:r>
    </w:p>
    <w:p>
      <w:pPr>
        <w:spacing w:after="0" w:line="122"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We and our third-party service providers are required to comply with the FDA’s good laboratory practices, or GLPs, and GCPs for conducting, recording and reporting the results of IND-enabling preclinical studies and clinical studies to assure that the data and reported results are credible and accurate and that the rights, integrity and confidentiality of clinical trial participants are protected. We are also required to register ongoing clinical trials and post the results of completed clinical trials on a government-sponsored database, ClinicalTrials.gov, within specified timeframes. The FDA enforces these GLPs and GCPs through periodic inspections of trial sponsors, principal investigators, clinical trial sites, and laboratories at which the FDA may determine that our clinical trials did not comply with GLPs or GCPs. If we, our collaborators, or our third-party service providers fail to comply with applicable GLPs or GCPs, the preclinical or clinical data generated in our future preclinical studies or clinical trials may be deemed unreliable and the FDA may require us to perform additional preclinical studies or clinical trials before approving the relevant INDs or marketing applications. In addition, our future clinical trials will require a sufficient number of patients to evaluate the safety and effectiveness of our product candidates. Accordingly, if we, our collaborators, or our third-party service providers fail to comply with these regulations or fail to recruit a sufficient number of patients, we may be required to repeat such preclinical studies or clinical trials, which would delay the regulatory approval process. Failure to comply can also result in fines, adverse publicity, and civil and criminal sanctions.</w:t>
      </w:r>
    </w:p>
    <w:p>
      <w:pPr>
        <w:spacing w:after="0" w:line="107"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Our third-party service providers are not our employees, and we are therefore unable to directly monitor whether or not they devote sufficient time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our third-party service providers do not successfully carry out their contractual duties or obligations, fail to meet expected deadlines, or if the quality or accuracy of the preclinical or clinical data they obtain is compromised due to the failure to adhere to our clinical protocols or regulatory requirements, or for any other reasons, our preclinical studies or clinical trials may be extended, delayed or terminated, and we may not be able to obtain regulatory approval for, or successfully commercialize our product candidates. As a result, our financial results and the commercial prospects for our product candidates could be harmed, our costs could increase, and our ability to generate revenues could be delayed.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16"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Gene therapies and their companion diagnostics are novel, complex and difficult to manufacture. We could experience manufacturing problems that result in delays in the development or commercialization of our product candidates or otherwise harm our business.</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baculovirus/Sf9 AAV production system, a technology for producing AAV gene therapy vectors at scale in insect-derived cells. The process has been successfully transferred to our contract manufacturing organizations where it is used in manufacturing clinical materials in accordance with the FDA’s current good manufacturing practices, or cGMPs. We have also built an onsite, state-of-the-art process research and development facility to enable the manufacturing of high quality AAV gene therapy vectors at laboratory scale.</w:t>
      </w:r>
    </w:p>
    <w:p>
      <w:pPr>
        <w:spacing w:after="0" w:line="16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7"/>
          <w:szCs w:val="17"/>
          <w:color w:val="auto"/>
        </w:rPr>
        <w:t>We presently contract with third parties for the manufacturing of our program materials. We are currently assessing our manufacturing capabilities and although we do not currently have our own clinical or commercial scale manufacturing, we may choose to build those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To date, our third-party manufacturers have met our manufacturing requirements for our program materials. We expect third-party manufacturers to be capable of providing sufficient quantities of our program materials to meet anticipated clinical trial scale demands. To meet our projected needs for commercial manufacturing, third parties with whom we currently work might need to increase their scale of production or we will need to secure alternate suppliers.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To date, our third-party manufacturers have met our quality standards for our program materials. The manufacturers of pharmaceutical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study.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Biological products are inherently difficult to manufacture. Our program materials are manufactured using technically complex processes requiring specialized equipment and facilities, highly specific raw materials, cells, and reagents, and other production constraints. Several of these raw materials, cells, and reagents are provided by a limited number of suppliers. Even though we aim to have backup supplies and suppliers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Any changes in the manufacturing of components of the raw materials we use could result in unanticipated or unfavorable effects on our manufacturing processes, including delays.</w:t>
      </w:r>
    </w:p>
    <w:p>
      <w:pPr>
        <w:spacing w:after="0" w:line="18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Companion diagnostic devices may be required to diagnose a genetic disease or to determine patient antibody levels to certain components in a product, and could also require a sophisticated, technically complex manufacturing processes. If we or our contract manufacturing organizations fail to manufacture such diagnostics or comply with relevant regulatory requirements or approvals, we might seek to transition such manufacturing processes to another contract manufacturing organization. We might not be able to transition such processes in a timely manner or at all, and our commercialization and development efforts could be delayed.</w:t>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Delays in obtaining regulatory approval of our or our collaborators’ manufacturing processes and facilities or disruptions in such manufacturing processes may delay or disrupt our commercialization efforts. Until recently, no cGMP gene therapy manufacturing facility in the United States had received approval from the FDA for the manufacture of an approved gene therapy product.</w:t>
      </w:r>
    </w:p>
    <w:p>
      <w:pPr>
        <w:spacing w:after="0" w:line="188"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Before we can begin to commercially manufacture a product candidate in our own facility, or the facility of a collaborator, we must obtain regulatory approval from the FDA for our manufacturing process and our collaborator’s facility. A manufacturing authorization must also be obtained from the appropriate European Union regulatory authorities. Until recently, no cGMP gene therapy manufacturing facility in the United States had received approval from the FDA for the manufacture of an approved gene therapy product and, therefore, the timeframe required for us to obtain such approval is uncertain. In addition, we must pass a pre-approval inspection of our or our collaborator’s manufacturing facility by the FDA and other relevant regulatory authorities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88" w:lineRule="exact"/>
        <w:rPr>
          <w:sz w:val="20"/>
          <w:szCs w:val="20"/>
          <w:color w:val="auto"/>
        </w:rPr>
      </w:pPr>
    </w:p>
    <w:p>
      <w:pPr>
        <w:ind w:right="60" w:firstLine="648"/>
        <w:spacing w:after="0" w:line="274" w:lineRule="auto"/>
        <w:rPr>
          <w:sz w:val="20"/>
          <w:szCs w:val="20"/>
          <w:color w:val="auto"/>
        </w:rPr>
      </w:pPr>
      <w:r>
        <w:rPr>
          <w:rFonts w:ascii="Arial" w:cs="Arial" w:eastAsia="Arial" w:hAnsi="Arial"/>
          <w:sz w:val="16"/>
          <w:szCs w:val="16"/>
          <w:color w:val="auto"/>
        </w:rPr>
        <w:t>The regulatory authorities may, at any time, following approval of a product for sale, audit the manufacturing facilities for such product or institute biennial inspections.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third-party manufacturers, our collaborators, or us could harm our business, financial condition, results of operations and prospects.</w:t>
      </w:r>
    </w:p>
    <w:p>
      <w:pPr>
        <w:spacing w:after="0" w:line="9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7"/>
          <w:szCs w:val="17"/>
          <w:color w:val="auto"/>
        </w:rPr>
        <w:t>If our third-party manufacturers, our collaborators, or we fail to comply with applicable cGMP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02"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Additionally, if supply from any third-party manufacturers is delayed or interrupted, there could be a significant disruption in the supply of our clinical or commercial material. We have agreements in place with our contract manufacturers pursuant to which we are collaborating on cGMP manufacturing processes and analytical methods for the manufacture of our AAV product candidates. Therefore, if we are unable to enter into an agreement with our contract manufacturers to manufacture clinical or commercial material for our product programs, or if our agreement with our contract manufacturers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Any contamination in the manufacturing process for our products or product candidates, shortages of raw materials, cells or reagents, or failure of any of our key suppliers to deliver necessary components could result in delays in our clinical development or marketing schedules.</w:t>
      </w:r>
    </w:p>
    <w:p>
      <w:pPr>
        <w:spacing w:after="0" w:line="115" w:lineRule="exact"/>
        <w:rPr>
          <w:sz w:val="20"/>
          <w:szCs w:val="20"/>
          <w:color w:val="auto"/>
        </w:rPr>
      </w:pPr>
    </w:p>
    <w:p>
      <w:pPr>
        <w:jc w:val="both"/>
        <w:ind w:right="240" w:firstLine="648"/>
        <w:spacing w:after="0" w:line="248"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115"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93"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Interruptions in the supply of product candidates or inventory loss may harm our operating results and financial condition.</w:t>
      </w:r>
    </w:p>
    <w:p>
      <w:pPr>
        <w:spacing w:after="0" w:line="102" w:lineRule="exact"/>
        <w:rPr>
          <w:sz w:val="20"/>
          <w:szCs w:val="20"/>
          <w:color w:val="auto"/>
        </w:rPr>
      </w:pPr>
    </w:p>
    <w:p>
      <w:pPr>
        <w:ind w:right="360" w:firstLine="648"/>
        <w:spacing w:after="0" w:line="272" w:lineRule="auto"/>
        <w:rPr>
          <w:sz w:val="20"/>
          <w:szCs w:val="20"/>
          <w:color w:val="auto"/>
        </w:rPr>
      </w:pPr>
      <w:r>
        <w:rPr>
          <w:rFonts w:ascii="Arial" w:cs="Arial" w:eastAsia="Arial" w:hAnsi="Arial"/>
          <w:sz w:val="16"/>
          <w:szCs w:val="16"/>
          <w:color w:val="auto"/>
        </w:rPr>
        <w:t>Our product candidates and our product delivery devices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and delivery devices,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and delivery devices must be stored and transported at temperatures within a certain range and in sterile environments. If these temperature and environmental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conditions deviate, the remaining shelf-life of a product candidate and utility of a device could be impaired or their efficacy and safety could be negatively impacted, making them no longer suitable for use.</w:t>
      </w:r>
    </w:p>
    <w:p>
      <w:pPr>
        <w:spacing w:after="0" w:line="156"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 product or loss in supply could delay our clinical trials and, if our product candidates are approved, result in a loss of our market share and negatively affect our business, financial condition, results of operations and prospects.</w:t>
      </w:r>
    </w:p>
    <w:p>
      <w:pPr>
        <w:spacing w:after="0" w:line="153" w:lineRule="exact"/>
        <w:rPr>
          <w:sz w:val="20"/>
          <w:szCs w:val="20"/>
          <w:color w:val="auto"/>
        </w:rPr>
      </w:pPr>
    </w:p>
    <w:p>
      <w:pPr>
        <w:ind w:right="420"/>
        <w:spacing w:after="0" w:line="362" w:lineRule="auto"/>
        <w:rPr>
          <w:sz w:val="20"/>
          <w:szCs w:val="20"/>
          <w:color w:val="auto"/>
        </w:rPr>
      </w:pPr>
      <w:r>
        <w:rPr>
          <w:rFonts w:ascii="Arial" w:cs="Arial" w:eastAsia="Arial" w:hAnsi="Arial"/>
          <w:sz w:val="15"/>
          <w:szCs w:val="15"/>
          <w:b w:val="1"/>
          <w:bCs w:val="1"/>
          <w:i w:val="1"/>
          <w:iCs w:val="1"/>
          <w:color w:val="auto"/>
        </w:rPr>
        <w:t>Failure to obtain access to or to protect intellectual property related to the manufacturing of our products or product candidates may result in changes, delays and/or inability to manufacture such products or product candidates.</w:t>
      </w:r>
    </w:p>
    <w:p>
      <w:pPr>
        <w:spacing w:after="0" w:line="87" w:lineRule="exact"/>
        <w:rPr>
          <w:sz w:val="20"/>
          <w:szCs w:val="20"/>
          <w:color w:val="auto"/>
        </w:rPr>
      </w:pPr>
    </w:p>
    <w:p>
      <w:pPr>
        <w:ind w:right="140" w:firstLine="324"/>
        <w:spacing w:after="0" w:line="241" w:lineRule="auto"/>
        <w:rPr>
          <w:sz w:val="20"/>
          <w:szCs w:val="20"/>
          <w:color w:val="auto"/>
        </w:rPr>
      </w:pPr>
      <w:r>
        <w:rPr>
          <w:rFonts w:ascii="Arial" w:cs="Arial" w:eastAsia="Arial" w:hAnsi="Arial"/>
          <w:sz w:val="18"/>
          <w:szCs w:val="18"/>
          <w:color w:val="auto"/>
        </w:rPr>
        <w:t>The intellectual property related to the manufacture of biological products is complex. If we are unable to maintain control of manufacturing technology such as our trade secrets, or we are unable to protect ongoing improvements comprehensively and in a sufficient number of jurisdictions, it would impact our ability to produce products for commercial sale or product candidates for preclinical testing or clinical trials and our development timelines and operations timelines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6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success of our business depends upon our ability to identify, develop and commercialize product candidates generated through our gene therapy platform. Research programs to identify new product candidates require substantial technical, financial and human resources. Although VY-AADC (NBIb-1817) is currently in clinical development and our other product candidates are in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55" w:lineRule="exact"/>
        <w:rPr>
          <w:sz w:val="20"/>
          <w:szCs w:val="20"/>
          <w:color w:val="auto"/>
        </w:rPr>
      </w:pPr>
    </w:p>
    <w:p>
      <w:pPr>
        <w:jc w:val="both"/>
        <w:ind w:right="400" w:firstLine="648"/>
        <w:spacing w:after="0" w:line="248" w:lineRule="auto"/>
        <w:rPr>
          <w:sz w:val="20"/>
          <w:szCs w:val="20"/>
          <w:color w:val="auto"/>
        </w:rPr>
      </w:pPr>
      <w:r>
        <w:rPr>
          <w:rFonts w:ascii="Arial" w:cs="Arial" w:eastAsia="Arial" w:hAnsi="Arial"/>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16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Our future success depends on our ability to retain key members of our management team, and to attract, retain and motivate qualified personnel.</w:t>
      </w:r>
    </w:p>
    <w:p>
      <w:pPr>
        <w:spacing w:after="0" w:line="1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7"/>
          <w:szCs w:val="17"/>
          <w:color w:val="auto"/>
        </w:rPr>
        <w:t>We are highly dependent on the management, technical, and scientific expertise of principal members of our management, scientific, and clinical teams including G. Andre Turenne, our President and Chief Executive Officer. While we have entered into employment agreements or offer letters with each of our executive officers, any of them could leave our employment at any time, as all of our employees are “at will” employees. We currently do not have “key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person” insurance on any of our employees. The loss of the services of one or more of our current employees might impede the achievement of our research, development and commercialization objectives.</w:t>
      </w:r>
    </w:p>
    <w:p>
      <w:pPr>
        <w:spacing w:after="0" w:line="156"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is also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if at all, given the competition among numerous pharmaceutical and biotechnology companies and academic institutions for individuals with similar skill sets. Our consultants and advisors may be employed by employers other than us and may have commitments under consulting or advisory contracts with other entities that may limit their availability to us.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manage expected growth in the scale and complexity of our operations, our performance may suffer.</w:t>
      </w:r>
    </w:p>
    <w:p>
      <w:pPr>
        <w:spacing w:after="0" w:line="24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may lead to significant added costs, and may divert our management and business development resources.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78" w:lineRule="exact"/>
        <w:rPr>
          <w:sz w:val="20"/>
          <w:szCs w:val="20"/>
          <w:color w:val="auto"/>
        </w:rPr>
      </w:pPr>
    </w:p>
    <w:p>
      <w:pPr>
        <w:ind w:right="700"/>
        <w:spacing w:after="0" w:line="362" w:lineRule="auto"/>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01"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collaborators,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124"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19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Reconciliation Act, which we refer to, collectively, as the ACA. Among the provisions of the ACA of potential importance to our business and our product candidates are the following:</w:t>
      </w:r>
    </w:p>
    <w:p>
      <w:pPr>
        <w:spacing w:after="0" w:line="164" w:lineRule="exact"/>
        <w:rPr>
          <w:sz w:val="20"/>
          <w:szCs w:val="20"/>
          <w:color w:val="auto"/>
        </w:rPr>
      </w:pPr>
    </w:p>
    <w:p>
      <w:pPr>
        <w:ind w:left="1320" w:right="260" w:hanging="318"/>
        <w:spacing w:after="0" w:line="262"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69" w:lineRule="exact"/>
        <w:rPr>
          <w:rFonts w:ascii="Arial" w:cs="Arial" w:eastAsia="Arial" w:hAnsi="Arial"/>
          <w:sz w:val="18"/>
          <w:szCs w:val="18"/>
          <w:color w:val="auto"/>
        </w:rPr>
      </w:pPr>
    </w:p>
    <w:p>
      <w:pPr>
        <w:ind w:left="1320" w:right="260" w:hanging="318"/>
        <w:spacing w:after="0" w:line="262"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69" w:lineRule="exact"/>
        <w:rPr>
          <w:rFonts w:ascii="Arial" w:cs="Arial" w:eastAsia="Arial" w:hAnsi="Arial"/>
          <w:sz w:val="18"/>
          <w:szCs w:val="18"/>
          <w:color w:val="auto"/>
        </w:rPr>
      </w:pPr>
    </w:p>
    <w:p>
      <w:pPr>
        <w:ind w:left="1320" w:right="220" w:hanging="318"/>
        <w:spacing w:after="0" w:line="324" w:lineRule="auto"/>
        <w:tabs>
          <w:tab w:leader="none" w:pos="1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civil False Claims Act and the federal Anti-Kickback Statute, new government investigative powers and enhanced penalties for noncompliance;</w:t>
      </w:r>
    </w:p>
    <w:p>
      <w:pPr>
        <w:spacing w:after="0" w:line="124" w:lineRule="exact"/>
        <w:rPr>
          <w:rFonts w:ascii="Arial" w:cs="Arial" w:eastAsia="Arial" w:hAnsi="Arial"/>
          <w:sz w:val="16"/>
          <w:szCs w:val="16"/>
          <w:color w:val="auto"/>
        </w:rPr>
      </w:pPr>
    </w:p>
    <w:p>
      <w:pPr>
        <w:ind w:left="1320" w:right="180" w:hanging="318"/>
        <w:spacing w:after="0" w:line="262"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69" w:lineRule="exact"/>
        <w:rPr>
          <w:rFonts w:ascii="Arial" w:cs="Arial" w:eastAsia="Arial" w:hAnsi="Arial"/>
          <w:sz w:val="18"/>
          <w:szCs w:val="18"/>
          <w:color w:val="auto"/>
        </w:rPr>
      </w:pPr>
    </w:p>
    <w:p>
      <w:pPr>
        <w:ind w:left="1320" w:hanging="318"/>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11" w:lineRule="exact"/>
        <w:rPr>
          <w:rFonts w:ascii="Arial" w:cs="Arial" w:eastAsia="Arial" w:hAnsi="Arial"/>
          <w:sz w:val="18"/>
          <w:szCs w:val="18"/>
          <w:color w:val="auto"/>
        </w:rPr>
      </w:pPr>
    </w:p>
    <w:p>
      <w:pPr>
        <w:ind w:left="1320" w:hanging="318"/>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11" w:lineRule="exact"/>
        <w:rPr>
          <w:rFonts w:ascii="Arial" w:cs="Arial" w:eastAsia="Arial" w:hAnsi="Arial"/>
          <w:sz w:val="18"/>
          <w:szCs w:val="18"/>
          <w:color w:val="auto"/>
        </w:rPr>
      </w:pPr>
    </w:p>
    <w:p>
      <w:pPr>
        <w:ind w:left="1320" w:right="360" w:hanging="318"/>
        <w:spacing w:after="0" w:line="262"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69" w:lineRule="exact"/>
        <w:rPr>
          <w:rFonts w:ascii="Arial" w:cs="Arial" w:eastAsia="Arial" w:hAnsi="Arial"/>
          <w:sz w:val="18"/>
          <w:szCs w:val="18"/>
          <w:color w:val="auto"/>
        </w:rPr>
      </w:pPr>
    </w:p>
    <w:p>
      <w:pPr>
        <w:ind w:left="1320" w:hanging="318"/>
        <w:spacing w:after="0"/>
        <w:tabs>
          <w:tab w:leader="none" w:pos="1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w:t>
      </w:r>
    </w:p>
    <w:p>
      <w:pPr>
        <w:spacing w:after="0" w:line="223" w:lineRule="exact"/>
        <w:rPr>
          <w:rFonts w:ascii="Arial" w:cs="Arial" w:eastAsia="Arial" w:hAnsi="Arial"/>
          <w:sz w:val="17"/>
          <w:szCs w:val="17"/>
          <w:color w:val="auto"/>
        </w:rPr>
      </w:pPr>
    </w:p>
    <w:p>
      <w:pPr>
        <w:ind w:left="1320" w:right="720" w:hanging="318"/>
        <w:spacing w:after="0" w:line="262"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69" w:lineRule="exact"/>
        <w:rPr>
          <w:rFonts w:ascii="Arial" w:cs="Arial" w:eastAsia="Arial" w:hAnsi="Arial"/>
          <w:sz w:val="18"/>
          <w:szCs w:val="18"/>
          <w:color w:val="auto"/>
        </w:rPr>
      </w:pPr>
    </w:p>
    <w:p>
      <w:pPr>
        <w:ind w:left="1320" w:right="640" w:hanging="318"/>
        <w:spacing w:after="0" w:line="291" w:lineRule="auto"/>
        <w:tabs>
          <w:tab w:leader="none" w:pos="1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review the relationship between pricing and manufacturer patient programs, reduce the costs of drugs under Medicare and reform government program reimbursement methodologies for drug products.</w:t>
      </w:r>
    </w:p>
    <w:p>
      <w:pPr>
        <w:spacing w:after="0" w:line="16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 during the next Congressional session.</w:t>
      </w:r>
    </w:p>
    <w:p>
      <w:pPr>
        <w:spacing w:after="0" w:line="178"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Trump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That decision is under review by the U.S. Supreme Court during its current term. The effects of this gap in reimbursement on third-party payors, the viability of the ACA marketplace, providers, and potentially our business, are not yet known.</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addition, the Centers for Medicare &amp; Medicaid, or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pre-authorization, or PA, and step therapy, or ST, for six protected classes of drugs, with certain exceptions, permit plans to implement PA and ST in Medicare Part B drugs; and change the definition of “negotiated prices” while adding a definition of “price concession” into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78" w:lineRule="exact"/>
        <w:rPr>
          <w:sz w:val="20"/>
          <w:szCs w:val="20"/>
          <w:color w:val="auto"/>
        </w:rPr>
      </w:pPr>
    </w:p>
    <w:p>
      <w:pPr>
        <w:ind w:right="160" w:firstLine="648"/>
        <w:spacing w:after="0" w:line="324" w:lineRule="auto"/>
        <w:rPr>
          <w:sz w:val="20"/>
          <w:szCs w:val="20"/>
          <w:color w:val="auto"/>
        </w:rPr>
      </w:pPr>
      <w:r>
        <w:rPr>
          <w:rFonts w:ascii="Arial" w:cs="Arial" w:eastAsia="Arial" w:hAnsi="Arial"/>
          <w:sz w:val="16"/>
          <w:szCs w:val="16"/>
          <w:color w:val="auto"/>
        </w:rPr>
        <w:t>Further, on June 14, 2018, U.S. Court of Appeals for the Federal Circuit ruled that the federal government was not required to pay more than $12 billion in ACA risk corridor payments to third-party payors who argued that such</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payments were owed to them. The effects of this gap in reimbursement on third-party payors, the viability of the ACA marketplace, providers, and potentially our business, are not yet known.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recently represented to the Court of Appeals considering 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178"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387"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collaborators to more stringent product labeling and post-marketing testing and other requirements.</w:t>
      </w:r>
    </w:p>
    <w:p>
      <w:pPr>
        <w:spacing w:after="0" w:line="9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Under the Cures Act and the Trump Administration’s regulatory reform initiatives, the FDA’s policies, regulations and guidance may be revised or revoked and that could prevent, limit or delay regulatory approval of our product candidates, which would impact our ability to generate revenue.</w:t>
      </w:r>
    </w:p>
    <w:p>
      <w:pPr>
        <w:spacing w:after="0" w:line="101"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92"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the implementation of statutes through rulemaking, issuance of guidance, and review and approval of marketing applications. An under-staffed FDA could result in delays in the FDA’s responsiveness or in its ability to review submissions or applications, issue regulations or guidance, or implement or enforce regulatory requirements in a timely fashion or at all.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Trump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97"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83" w:lineRule="exact"/>
        <w:rPr>
          <w:sz w:val="20"/>
          <w:szCs w:val="20"/>
          <w:color w:val="auto"/>
        </w:rPr>
      </w:pPr>
    </w:p>
    <w:p>
      <w:pPr>
        <w:ind w:left="1000" w:right="40" w:hanging="323"/>
        <w:spacing w:after="0" w:line="270"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Further, the ACA amended the intent requirement of the federal Anti-Kickback Statute. A person or entity no longer needs to have actual knowledge of this statute or specific intent to violate it;</w:t>
      </w:r>
    </w:p>
    <w:p>
      <w:pPr>
        <w:spacing w:after="0" w:line="73" w:lineRule="exact"/>
        <w:rPr>
          <w:rFonts w:ascii="Arial" w:cs="Arial" w:eastAsia="Arial" w:hAnsi="Arial"/>
          <w:sz w:val="17"/>
          <w:szCs w:val="17"/>
          <w:color w:val="auto"/>
        </w:rPr>
      </w:pPr>
    </w:p>
    <w:p>
      <w:pPr>
        <w:ind w:left="1000" w:right="40" w:hanging="323"/>
        <w:spacing w:after="0" w:line="291"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ACA provided and recent government cases against pharmaceutical and medical device manufacturers support the view that federal Anti-Kickback Statute violations and certain marketing practices, including off-label promotion, may implicate the civil False Claims Act;</w:t>
      </w:r>
    </w:p>
    <w:p>
      <w:pPr>
        <w:spacing w:after="0" w:line="59" w:lineRule="exact"/>
        <w:rPr>
          <w:rFonts w:ascii="Arial" w:cs="Arial" w:eastAsia="Arial" w:hAnsi="Arial"/>
          <w:sz w:val="16"/>
          <w:szCs w:val="16"/>
          <w:color w:val="auto"/>
        </w:rPr>
      </w:pPr>
    </w:p>
    <w:p>
      <w:pPr>
        <w:ind w:left="1000" w:right="40" w:hanging="323"/>
        <w:spacing w:after="0" w:line="259"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78" w:lineRule="exact"/>
        <w:rPr>
          <w:rFonts w:ascii="Arial" w:cs="Arial" w:eastAsia="Arial" w:hAnsi="Arial"/>
          <w:sz w:val="18"/>
          <w:szCs w:val="18"/>
          <w:color w:val="auto"/>
        </w:rPr>
      </w:pPr>
    </w:p>
    <w:p>
      <w:pPr>
        <w:ind w:left="1000" w:hanging="323"/>
        <w:spacing w:after="0" w:line="255"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81" w:lineRule="exact"/>
        <w:rPr>
          <w:rFonts w:ascii="Arial" w:cs="Arial" w:eastAsia="Arial" w:hAnsi="Arial"/>
          <w:sz w:val="18"/>
          <w:szCs w:val="18"/>
          <w:color w:val="auto"/>
        </w:rPr>
      </w:pPr>
    </w:p>
    <w:p>
      <w:pPr>
        <w:ind w:left="1000" w:right="20" w:hanging="323"/>
        <w:spacing w:after="0" w:line="251"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Payments Sunshine Act, which is part of the ACA, that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provided to physicians and teaching hospitals, and ownership and investment interests held by physicians and their immediate family members, by the 90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day of each subsequent calendar year, and disclosure of such information is made by CMS on a publicly available website; and</w:t>
      </w:r>
    </w:p>
    <w:p>
      <w:pPr>
        <w:spacing w:after="0" w:line="81" w:lineRule="exact"/>
        <w:rPr>
          <w:rFonts w:ascii="Arial" w:cs="Arial" w:eastAsia="Arial" w:hAnsi="Arial"/>
          <w:sz w:val="17"/>
          <w:szCs w:val="17"/>
          <w:color w:val="auto"/>
        </w:rPr>
      </w:pPr>
    </w:p>
    <w:p>
      <w:pPr>
        <w:jc w:val="both"/>
        <w:ind w:left="1000" w:right="360" w:hanging="323"/>
        <w:spacing w:after="0" w:line="342"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state and/or foreign law equivalents of each of the above federal laws, such as state anti-kickback and false claims laws that may apply to arrangements and claims involving health care items or services reimbursed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spacing w:after="0" w:line="272" w:lineRule="auto"/>
        <w:rPr>
          <w:sz w:val="20"/>
          <w:szCs w:val="20"/>
          <w:color w:val="auto"/>
        </w:rPr>
      </w:pPr>
      <w:r>
        <w:rPr>
          <w:rFonts w:ascii="Arial" w:cs="Arial" w:eastAsia="Arial" w:hAnsi="Arial"/>
          <w:sz w:val="17"/>
          <w:szCs w:val="17"/>
          <w:color w:val="auto"/>
        </w:rPr>
        <w:t>by non-governmental third-party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8"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164" w:lineRule="exact"/>
        <w:rPr>
          <w:sz w:val="20"/>
          <w:szCs w:val="20"/>
          <w:color w:val="auto"/>
        </w:rPr>
      </w:pPr>
    </w:p>
    <w:p>
      <w:pPr>
        <w:ind w:right="260" w:firstLine="648"/>
        <w:spacing w:after="0" w:line="284"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European Union, including personal health data, is subject to the European Union General Data Protection Regulation, or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continue to be a rigorous and time-intensive process that has increased and will continue to increase our cost of doing business or require us to change our business practices, and despite those efforts, there is a risk that we or our collaborators may be subject to fines and penalties, litigation, and reputational harm in connection with any European activities, which could adversely affect our business, prospects, financial condition and results of operations.</w:t>
      </w:r>
    </w:p>
    <w:p>
      <w:pPr>
        <w:spacing w:after="0" w:line="17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69" w:lineRule="exact"/>
        <w:rPr>
          <w:sz w:val="20"/>
          <w:szCs w:val="20"/>
          <w:color w:val="auto"/>
        </w:rPr>
      </w:pPr>
    </w:p>
    <w:p>
      <w:pPr>
        <w:ind w:right="20" w:firstLine="648"/>
        <w:spacing w:after="0" w:line="291"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may face an even greater risk if we commercialize any products that we may develop. If we cannot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successfully defend ourselves against claims that our product candidates caused injuries, we could incur substantial liabilities.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liability claims may result in:</w:t>
      </w:r>
    </w:p>
    <w:p>
      <w:pPr>
        <w:spacing w:after="0" w:line="196" w:lineRule="exact"/>
        <w:rPr>
          <w:sz w:val="20"/>
          <w:szCs w:val="20"/>
          <w:color w:val="auto"/>
        </w:rPr>
      </w:pPr>
    </w:p>
    <w:p>
      <w:pPr>
        <w:ind w:left="1000" w:hanging="32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211" w:lineRule="exact"/>
        <w:rPr>
          <w:rFonts w:ascii="Arial" w:cs="Arial" w:eastAsia="Arial" w:hAnsi="Arial"/>
          <w:sz w:val="18"/>
          <w:szCs w:val="18"/>
          <w:color w:val="auto"/>
        </w:rPr>
      </w:pPr>
    </w:p>
    <w:p>
      <w:pPr>
        <w:ind w:left="1000" w:hanging="32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Although we maintain product liability insurance coverage in the amount of $1.0 million per occurrence and</w:t>
      </w:r>
    </w:p>
    <w:p>
      <w:pPr>
        <w:spacing w:after="0" w:line="1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$2.0 million in the aggregate, and clinical testing liability insurance in the amount of $10.0 million per occurrence and $10.0 million in the aggregate, this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6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16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6"/>
          <w:szCs w:val="16"/>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from any other work-related injuries,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Although we maintain general liability insurance and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environmental liability or toxic tort claims that may be asserted against us in connection with our storage or disposal of biologic, hazardous or radioactive materials.</w:t>
      </w:r>
    </w:p>
    <w:p>
      <w:pPr>
        <w:spacing w:after="0" w:line="176"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76"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6"/>
          <w:szCs w:val="16"/>
          <w:color w:val="auto"/>
        </w:rPr>
        <w:t>Further, with respect to the operations of any current or future collaborators or third-party contract manufacturers, it is possible that if they fail to operate in compliance with applicable environmental, health and safety laws and regulations or properly dispose of wastes associated with our products, we could be held liable for any resulting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59"/>
        <w:spacing w:after="0" w:line="262" w:lineRule="auto"/>
        <w:rPr>
          <w:sz w:val="20"/>
          <w:szCs w:val="20"/>
          <w:color w:val="auto"/>
        </w:rPr>
      </w:pPr>
      <w:r>
        <w:rPr>
          <w:rFonts w:ascii="Arial" w:cs="Arial" w:eastAsia="Arial" w:hAnsi="Arial"/>
          <w:sz w:val="18"/>
          <w:szCs w:val="18"/>
          <w:color w:val="auto"/>
        </w:rPr>
        <w:t>damages, suffer reputational harm or experience a disruption in the manufacture and supply of our product candidates or products.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right="39" w:firstLine="648"/>
        <w:spacing w:after="0" w:line="254"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recovering from a severe economic crisis.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177" w:lineRule="exact"/>
        <w:rPr>
          <w:sz w:val="20"/>
          <w:szCs w:val="20"/>
          <w:color w:val="auto"/>
        </w:rPr>
      </w:pPr>
    </w:p>
    <w:p>
      <w:pPr>
        <w:ind w:right="99" w:firstLine="648"/>
        <w:spacing w:after="0" w:line="263" w:lineRule="auto"/>
        <w:rPr>
          <w:sz w:val="20"/>
          <w:szCs w:val="20"/>
          <w:color w:val="auto"/>
        </w:rPr>
      </w:pPr>
      <w:r>
        <w:rPr>
          <w:rFonts w:ascii="Arial" w:cs="Arial" w:eastAsia="Arial" w:hAnsi="Arial"/>
          <w:sz w:val="17"/>
          <w:szCs w:val="17"/>
          <w:color w:val="auto"/>
        </w:rPr>
        <w:t>For example, in December 2019, a novel strain of coronavirus has been reported in China and other countries. The extent to which the coronavirus impacts our results will depend on future developments that are highly uncertain and cannot be accurately predicted, including new information which may emerge concerning the severity of the coronavirus and the actions required to contain the coronavirus or remedy its impact, among others.</w:t>
      </w:r>
    </w:p>
    <w:p>
      <w:pPr>
        <w:spacing w:after="0" w:line="170" w:lineRule="exact"/>
        <w:rPr>
          <w:sz w:val="20"/>
          <w:szCs w:val="20"/>
          <w:color w:val="auto"/>
        </w:rPr>
      </w:pPr>
    </w:p>
    <w:p>
      <w:pPr>
        <w:ind w:right="539"/>
        <w:spacing w:after="0" w:line="324"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24" w:lineRule="exact"/>
        <w:rPr>
          <w:sz w:val="20"/>
          <w:szCs w:val="20"/>
          <w:color w:val="auto"/>
        </w:rPr>
      </w:pPr>
    </w:p>
    <w:p>
      <w:pPr>
        <w:ind w:right="59" w:firstLine="648"/>
        <w:spacing w:after="0" w:line="252"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cyber-attacks, computer viruses, unauthorized access, sabotage, natural disasters, terrorism, war and telecommunication and electrical failures. While we have not experienced any such material system failure, accident or security breach to date, if such an event were to occur and cause interruptions in our operations or the operations of those third parties with which we contract, it could result in a material disruption of our development programs and our business operations, whether due to a loss of our trade secrets or other proprietary information or other similar disruptions, and could require a substantial expenditure of resources to remedy. For example, the loss of clinical trial data from completed or ongoing clinical trials could result in delays in our regulatory approval efforts and significantly increase our costs to recover or reproduce the data. We could also be subject to risks caused by misappropriation, misuse, leakage, falsification or intentional or accidental release or loss of information maintained in our information systems and networks, including personal information of our employees. Outside parties may attempt to penetrate our systems or those of the third parties with which we contract or to fraudulently induce our employees or employees of such third parties to disclose sensitive information to gain access to our data.</w:t>
      </w:r>
    </w:p>
    <w:p>
      <w:pPr>
        <w:spacing w:after="0" w:line="181" w:lineRule="exact"/>
        <w:rPr>
          <w:sz w:val="20"/>
          <w:szCs w:val="20"/>
          <w:color w:val="auto"/>
        </w:rPr>
      </w:pPr>
    </w:p>
    <w:p>
      <w:pPr>
        <w:ind w:right="39" w:firstLine="648"/>
        <w:spacing w:after="0" w:line="270" w:lineRule="auto"/>
        <w:rPr>
          <w:sz w:val="20"/>
          <w:szCs w:val="20"/>
          <w:color w:val="auto"/>
        </w:rPr>
      </w:pPr>
      <w:r>
        <w:rPr>
          <w:rFonts w:ascii="Arial" w:cs="Arial" w:eastAsia="Arial" w:hAnsi="Arial"/>
          <w:sz w:val="16"/>
          <w:szCs w:val="16"/>
          <w:color w:val="auto"/>
        </w:rPr>
        <w:t>The number and complexity of these threats continue to increase over time.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Despite our efforts, the possibility of these events occurring cannot be eliminated entirely. Although we maintain cyber risk insurance for certain costs we may incur due to a cyber-related event, this insurance may not provide adequate coverage against potential liabilities. To the extent that any disruption or security breach were to result in a loss of, or damage to, our data or applications, or inappropriate disclosure of confidential or proprietary information, we could incur liability, our competitive position and the market perception of the effectiveness of our security measures could be harmed, our credibility could be damaged, and the further development and commercialization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of 2017 could adversely affect our business and financial condition.</w:t>
      </w:r>
    </w:p>
    <w:p>
      <w:pPr>
        <w:spacing w:after="0" w:line="212" w:lineRule="exact"/>
        <w:rPr>
          <w:sz w:val="20"/>
          <w:szCs w:val="20"/>
          <w:color w:val="auto"/>
        </w:rPr>
      </w:pPr>
    </w:p>
    <w:p>
      <w:pPr>
        <w:ind w:right="419" w:firstLine="648"/>
        <w:spacing w:after="0" w:line="324" w:lineRule="auto"/>
        <w:rPr>
          <w:sz w:val="20"/>
          <w:szCs w:val="20"/>
          <w:color w:val="auto"/>
        </w:rPr>
      </w:pPr>
      <w:r>
        <w:rPr>
          <w:rFonts w:ascii="Arial" w:cs="Arial" w:eastAsia="Arial" w:hAnsi="Arial"/>
          <w:sz w:val="16"/>
          <w:szCs w:val="16"/>
          <w:color w:val="auto"/>
        </w:rPr>
        <w:t>On December 22, 2017, President Trump signed into law the TCJA, which significantly revised the Internal Revenue Code of 1986, as amended. The TCJA, among other things, contains significant changes to corporate taxation,</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9"/>
        <w:spacing w:after="0" w:line="269" w:lineRule="auto"/>
        <w:rPr>
          <w:sz w:val="20"/>
          <w:szCs w:val="20"/>
          <w:color w:val="auto"/>
        </w:rPr>
      </w:pPr>
      <w:r>
        <w:rPr>
          <w:rFonts w:ascii="Arial" w:cs="Arial" w:eastAsia="Arial" w:hAnsi="Arial"/>
          <w:sz w:val="16"/>
          <w:szCs w:val="16"/>
          <w:color w:val="auto"/>
        </w:rPr>
        <w:t>including reduction of the corporate tax rate from a top marginal rate of 35% to a flat rate of 21%, limitation of the tax deduction for net interest expense to 30% of adjusted earnings (except for certain small businesses), limitation of the deduction for net operating losses to 80% of current year taxable income and elimination of net operating loss carrybacks, in each case, for losses arising in taxable years beginning after December 31, 2017 (though any such net operating losses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is uncertain and our business and financial condition could be adversely affected. In addition, it is uncertain how various states will respond to the TCJA.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w:t>
      </w:r>
    </w:p>
    <w:p>
      <w:pPr>
        <w:spacing w:after="0" w:line="212" w:lineRule="exact"/>
        <w:rPr>
          <w:sz w:val="20"/>
          <w:szCs w:val="20"/>
          <w:color w:val="auto"/>
        </w:rPr>
      </w:pPr>
    </w:p>
    <w:p>
      <w:pPr>
        <w:ind w:right="159" w:firstLine="648"/>
        <w:spacing w:after="0" w:line="239" w:lineRule="auto"/>
        <w:rPr>
          <w:sz w:val="20"/>
          <w:szCs w:val="20"/>
          <w:color w:val="auto"/>
        </w:rPr>
      </w:pPr>
      <w:r>
        <w:rPr>
          <w:rFonts w:ascii="Arial" w:cs="Arial" w:eastAsia="Arial" w:hAnsi="Arial"/>
          <w:sz w:val="18"/>
          <w:szCs w:val="18"/>
          <w:color w:val="auto"/>
        </w:rPr>
        <w:t>As of December 31, 2019, we had both federal and state net operating loss carryforwards of $175.2 million and $179.2 million, respectively, which expire beginning in 2033. These net operating loss carryforwards could expire unused and be unavailable to offset our future income tax liabilities. Under the TCJA, federal net operating losses incurred in 2018 and in subsequent years may be carried forward indefinitely, but the deductibility of such federal net operating losses is limited. It is uncertain how various states will respond to the TCJA tax law. If our ability to use our historical net operating loss carryforwards is materially limited, it would harm our future operating results by effectively increasing our future tax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16" w:lineRule="exact"/>
        <w:rPr>
          <w:sz w:val="20"/>
          <w:szCs w:val="20"/>
          <w:color w:val="auto"/>
        </w:rPr>
      </w:pPr>
    </w:p>
    <w:p>
      <w:pPr>
        <w:ind w:right="59"/>
        <w:spacing w:after="0" w:line="262" w:lineRule="auto"/>
        <w:rPr>
          <w:sz w:val="20"/>
          <w:szCs w:val="20"/>
          <w:color w:val="auto"/>
        </w:rPr>
      </w:pPr>
      <w:r>
        <w:rPr>
          <w:rFonts w:ascii="Arial" w:cs="Arial" w:eastAsia="Arial" w:hAnsi="Arial"/>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69" w:lineRule="exact"/>
        <w:rPr>
          <w:sz w:val="20"/>
          <w:szCs w:val="20"/>
          <w:color w:val="auto"/>
        </w:rPr>
      </w:pPr>
    </w:p>
    <w:p>
      <w:pPr>
        <w:ind w:right="79" w:firstLine="648"/>
        <w:spacing w:after="0" w:line="269" w:lineRule="auto"/>
        <w:rPr>
          <w:sz w:val="20"/>
          <w:szCs w:val="20"/>
          <w:color w:val="auto"/>
        </w:rPr>
      </w:pPr>
      <w:r>
        <w:rPr>
          <w:rFonts w:ascii="Arial" w:cs="Arial" w:eastAsia="Arial" w:hAnsi="Arial"/>
          <w:sz w:val="16"/>
          <w:szCs w:val="16"/>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forward-looking and speculative. The process we have used in developing an estimated prevalence range for the indications we are targeting has involved collating limited data from multiple sources. While we believe these sources are reliable, we have not independently verified the data. Accordingly, the prevalence estimates included in our periodic reports and other reports filed with or furnished to the Securities and Exchange Commission, or SEC, should be viewed with caution. Further, the data and statistical information used in such reports, including estimates derived from them, may differ from information and estimates made by our competitors or from current or future studies conducted by independent sources.</w:t>
      </w:r>
    </w:p>
    <w:p>
      <w:pPr>
        <w:spacing w:after="0" w:line="169" w:lineRule="exact"/>
        <w:rPr>
          <w:sz w:val="20"/>
          <w:szCs w:val="20"/>
          <w:color w:val="auto"/>
        </w:rPr>
      </w:pPr>
    </w:p>
    <w:p>
      <w:pPr>
        <w:ind w:right="139" w:firstLine="648"/>
        <w:spacing w:after="0"/>
        <w:rPr>
          <w:sz w:val="20"/>
          <w:szCs w:val="20"/>
          <w:color w:val="auto"/>
        </w:rPr>
      </w:pPr>
      <w:r>
        <w:rPr>
          <w:rFonts w:ascii="Arial" w:cs="Arial" w:eastAsia="Arial" w:hAnsi="Arial"/>
          <w:sz w:val="18"/>
          <w:szCs w:val="18"/>
          <w:color w:val="auto"/>
        </w:rPr>
        <w:t>The use of such data involves risks and uncertainties, and such data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90" w:lineRule="exact"/>
        <w:rPr>
          <w:sz w:val="20"/>
          <w:szCs w:val="20"/>
          <w:color w:val="auto"/>
        </w:rPr>
      </w:pPr>
    </w:p>
    <w:p>
      <w:pPr>
        <w:ind w:right="139"/>
        <w:spacing w:after="0" w:line="291"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47" w:lineRule="exact"/>
        <w:rPr>
          <w:sz w:val="20"/>
          <w:szCs w:val="20"/>
          <w:color w:val="auto"/>
        </w:rPr>
      </w:pPr>
    </w:p>
    <w:p>
      <w:pPr>
        <w:ind w:right="119" w:firstLine="648"/>
        <w:spacing w:after="0" w:line="291" w:lineRule="auto"/>
        <w:rPr>
          <w:sz w:val="20"/>
          <w:szCs w:val="20"/>
          <w:color w:val="auto"/>
        </w:rPr>
      </w:pPr>
      <w:r>
        <w:rPr>
          <w:rFonts w:ascii="Arial" w:cs="Arial" w:eastAsia="Arial" w:hAnsi="Arial"/>
          <w:sz w:val="17"/>
          <w:szCs w:val="17"/>
          <w:color w:val="auto"/>
        </w:rPr>
        <w:t>To successfully commercialize any products that may result from our clinical development programs, we will need to further develop these capabilities, either on our own or with others. The establishment and development of our</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own commercial team or the establishment of a contract sales force to market any products we may develop will be expensive and time-consuming and could delay any product launch. Moreover, we cannot be certain that we will be able to successfully develop this capability.</w:t>
      </w:r>
    </w:p>
    <w:p>
      <w:pPr>
        <w:spacing w:after="0" w:line="14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Under the AbbVie Tau Collaboration Agreement, AbbVie has options to advance certain compounds into further development and to obtain an exclusive, worldwide license, with the right to sublicense, under certain of our intellectual property rights to develop and commercialize such compounds and corresponding products for all human diagnostic, prophylactic and therapeutic uses. If AbbVie exercises any of these options, we would be eligible to receive specified option fees. In addition, we would be eligible to receive specified development and regulatory milestone payments and tiered royalties on the global commercial net sales of products developed under our tau collaboration.</w:t>
      </w:r>
    </w:p>
    <w:p>
      <w:pPr>
        <w:spacing w:after="0" w:line="149"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Under the Neurocrine Collaboration Agreement, Neurocrine will fund the clinical development through the readout of the RESTORE-1 Phase 2 clinical trial for VY-AADC (NBIb-1817). After the data readout of the RESTORE-1 Phase 2 trial, we have the option to either: (1) co-commercialize VY-AADC (NBIb-1817) with Neurocrine in the United States under a 50/50 cost- and profit-sharing arrangement and receive milestones and royalties based on ex-U.S. sales, or (2) retain the right to receive milestone payments and royalties based on global sales pursuant to the full global commercial rights granted to Neurocrine. Under the terms of the Neurocrine Collaboration Agreement for the FA Program, Neurocrine will fund the development through the Phase 1 clinical trial of VY-FXN01. After the data readout of the Phase 1 trial, we have the option to either: (1) co-commercialize VY-FXN01 with Neurocrine in the United States under a 60/40 cost- and profit-sharing arrangement, or (2) retain the right to receive milestone payments and royalties based on global sales pursuant to the full global commercial rights granted to Neurocrine.</w:t>
      </w:r>
    </w:p>
    <w:p>
      <w:pPr>
        <w:spacing w:after="0" w:line="14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6"/>
          <w:szCs w:val="16"/>
          <w:color w:val="auto"/>
        </w:rPr>
        <w:t>Under the AbbVie Alpha-Synuclein Collaboration Agreement, AbbVie has options to advance certain compounds into further development and to obtain an exclusive, worldwide license, with the right to sublicense, under certain of our intellectual property rights to develop and commercialize such compounds and corresponding products for all human diagnostic, prophylactic and therapeutic uses. If AbbVie exercises any of these options, we would be eligible to receive specified option fees. In addition, we would be eligible to receive specified regulatory and commercial milestone payments and tiered royalties on the global commercial net sales of products developed under our alpha-synuclein collaboration.</w:t>
      </w:r>
    </w:p>
    <w:p>
      <w:pPr>
        <w:spacing w:after="0" w:line="12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the future, we may seek to enter into collaborations regarding other of our product candidates with other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We might face unforeseen costs and expenses associated with creating an independent sales and marketing organization. Our sales personnel might also face difficulties obtaining access to physicians or being able to persuade adequate numbers of physicians to use or prescribe our products or selling our products if we lack complementary products, which could disadvantage us compared to companies with more extensive product lines. Without an internal team or the support of a third party to perform marketing and sales functions, we may be unable to compete successfully against these more established companies.</w:t>
      </w:r>
    </w:p>
    <w:p>
      <w:pPr>
        <w:spacing w:after="0" w:line="154"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harm our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our product candidates, if approved, could limit our ability to market those products and decrease our ability to generate product revenue.</w:t>
      </w:r>
    </w:p>
    <w:p>
      <w:pPr>
        <w:spacing w:after="0" w:line="14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expect the cost of a single administration of gene therapy products, such as those we are developing, to be substantial, when and if they receive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168" w:lineRule="exact"/>
        <w:rPr>
          <w:sz w:val="20"/>
          <w:szCs w:val="20"/>
          <w:color w:val="auto"/>
        </w:rPr>
      </w:pPr>
    </w:p>
    <w:p>
      <w:pPr>
        <w:ind w:left="1000" w:hanging="32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1000" w:hanging="32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84" w:lineRule="exact"/>
        <w:rPr>
          <w:rFonts w:ascii="Arial" w:cs="Arial" w:eastAsia="Arial" w:hAnsi="Arial"/>
          <w:sz w:val="18"/>
          <w:szCs w:val="18"/>
          <w:color w:val="auto"/>
        </w:rPr>
      </w:pPr>
    </w:p>
    <w:p>
      <w:pPr>
        <w:ind w:left="1000" w:hanging="32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appropriate for the specific patient and the indication;</w:t>
      </w:r>
    </w:p>
    <w:p>
      <w:pPr>
        <w:spacing w:after="0" w:line="198" w:lineRule="exact"/>
        <w:rPr>
          <w:rFonts w:ascii="Arial" w:cs="Arial" w:eastAsia="Arial" w:hAnsi="Arial"/>
          <w:sz w:val="18"/>
          <w:szCs w:val="18"/>
          <w:color w:val="auto"/>
        </w:rPr>
      </w:pPr>
    </w:p>
    <w:p>
      <w:pPr>
        <w:ind w:left="1000" w:hanging="32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convenient and easy-to-administer compared to alternative treatments;</w:t>
      </w:r>
    </w:p>
    <w:p>
      <w:pPr>
        <w:spacing w:after="0" w:line="184" w:lineRule="exact"/>
        <w:rPr>
          <w:rFonts w:ascii="Arial" w:cs="Arial" w:eastAsia="Arial" w:hAnsi="Arial"/>
          <w:sz w:val="18"/>
          <w:szCs w:val="18"/>
          <w:color w:val="auto"/>
        </w:rPr>
      </w:pPr>
    </w:p>
    <w:p>
      <w:pPr>
        <w:ind w:left="1000" w:hanging="32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cost-effective compared to alternative treatments; and</w:t>
      </w:r>
    </w:p>
    <w:p>
      <w:pPr>
        <w:spacing w:after="0" w:line="184" w:lineRule="exact"/>
        <w:rPr>
          <w:rFonts w:ascii="Arial" w:cs="Arial" w:eastAsia="Arial" w:hAnsi="Arial"/>
          <w:sz w:val="18"/>
          <w:szCs w:val="18"/>
          <w:color w:val="auto"/>
        </w:rPr>
      </w:pPr>
    </w:p>
    <w:p>
      <w:pPr>
        <w:ind w:left="1000" w:hanging="32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No uniform policy requirement for coverage and reimbursement for biopharmaceutical products exists among third-party payors. Therefore, coverage and reimbursement for such products can differ significantly from payor to payor. As a result, obtaining coverage and reimbursement for a product from third-party payors is a time-consuming and costly process that could require us to provide to each different payor supporting scientific, clinical and cost-effectiveness data, and to receive the support of medical associations and technology assessment committees.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including our research, development, manufacture, sales,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are critical to new product acceptance. Additionally, there may be significant delays in obtaining coverage and reimbursement for newly approved drugs and biologics, and coverage may be more limited than the purposes for which the drug is approved by the FDA or comparable foreign regulatory authorities.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CMS is responsible for determining whether a product should be approved for coverage and reimbursement under the Medicare program. It is difficult to predict what CMS will decide with respect to coverage and reimbursement for novel products such as ours, as there is no body of established practices and precedents for these types of products. Currently, no gene therapy product has been approved for coverage and reimbursement by the CMS.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 and reimbursement for our product candidates, especially given that the cost of our product candidates is likely to be very high and pricing of such products is highly uncertain.</w:t>
      </w:r>
    </w:p>
    <w:p>
      <w:pPr>
        <w:spacing w:after="0" w:line="17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77"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 regulations that govern marketing approvals, pricing, coverage and reimbursement for new drug and device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To obtain reimbursement or pricing approval in some countries, we may be required to conduct a clinical trial that compares the cost-effectiveness of our product candidate to other available therapies. Adverse pricing limitations may hinder our ability to recoup our investment in one or more product candidates, even if our product candidates obtain marketing approval.</w:t>
      </w:r>
    </w:p>
    <w:p>
      <w:pPr>
        <w:spacing w:after="0" w:line="176"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Therefore, it is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its degree of market acceptance by physicians, patients, third-party payors and others in the medical community.</w:t>
      </w:r>
    </w:p>
    <w:p>
      <w:pPr>
        <w:spacing w:after="0" w:line="16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9"/>
        <w:spacing w:after="0" w:line="276" w:lineRule="auto"/>
        <w:rPr>
          <w:sz w:val="20"/>
          <w:szCs w:val="20"/>
          <w:color w:val="auto"/>
        </w:rPr>
      </w:pPr>
      <w:r>
        <w:rPr>
          <w:rFonts w:ascii="Arial" w:cs="Arial" w:eastAsia="Arial" w:hAnsi="Arial"/>
          <w:sz w:val="16"/>
          <w:szCs w:val="16"/>
          <w:color w:val="auto"/>
        </w:rPr>
        <w:t>part, on the support and acceptance of medical associations and technology assessment committees,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162" w:lineRule="exact"/>
        <w:rPr>
          <w:sz w:val="20"/>
          <w:szCs w:val="20"/>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225" w:lineRule="exact"/>
        <w:rPr>
          <w:rFonts w:ascii="Arial" w:cs="Arial" w:eastAsia="Arial" w:hAnsi="Arial"/>
          <w:sz w:val="18"/>
          <w:szCs w:val="18"/>
          <w:color w:val="auto"/>
        </w:rPr>
      </w:pPr>
    </w:p>
    <w:p>
      <w:pPr>
        <w:ind w:left="1000" w:right="99" w:hanging="32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or the European Commission, or other regulatory authorities;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225" w:lineRule="exact"/>
        <w:rPr>
          <w:rFonts w:ascii="Arial" w:cs="Arial" w:eastAsia="Arial" w:hAnsi="Arial"/>
          <w:sz w:val="18"/>
          <w:szCs w:val="18"/>
          <w:color w:val="auto"/>
        </w:rPr>
      </w:pPr>
    </w:p>
    <w:p>
      <w:pPr>
        <w:ind w:left="1000" w:right="419" w:hanging="32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willingness of physicians to undergo specialized training with respect to administration of our product candidates;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1000" w:right="19" w:hanging="323"/>
        <w:spacing w:after="0" w:line="264"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regulatory authorities, including any limitations or warnings contained in a product’s approved labeling or restrictions on the use of our products together with other medications;</w:t>
      </w:r>
    </w:p>
    <w:p>
      <w:pPr>
        <w:spacing w:after="0" w:line="181"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sufficient third-party payor coverage and reimbursement.</w:t>
      </w:r>
    </w:p>
    <w:p>
      <w:pPr>
        <w:spacing w:after="0" w:line="225" w:lineRule="exact"/>
        <w:rPr>
          <w:sz w:val="20"/>
          <w:szCs w:val="20"/>
          <w:color w:val="auto"/>
        </w:rPr>
      </w:pPr>
    </w:p>
    <w:p>
      <w:pPr>
        <w:ind w:right="199" w:firstLine="648"/>
        <w:spacing w:after="0" w:line="262"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69" w:lineRule="exact"/>
        <w:rPr>
          <w:sz w:val="20"/>
          <w:szCs w:val="20"/>
          <w:color w:val="auto"/>
        </w:rPr>
      </w:pPr>
    </w:p>
    <w:p>
      <w:pPr>
        <w:ind w:right="19"/>
        <w:spacing w:after="0" w:line="243" w:lineRule="auto"/>
        <w:rPr>
          <w:sz w:val="20"/>
          <w:szCs w:val="20"/>
          <w:color w:val="auto"/>
        </w:rPr>
      </w:pPr>
      <w:r>
        <w:rPr>
          <w:rFonts w:ascii="Arial" w:cs="Arial" w:eastAsia="Arial" w:hAnsi="Arial"/>
          <w:sz w:val="18"/>
          <w:szCs w:val="18"/>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88" w:lineRule="exact"/>
        <w:rPr>
          <w:sz w:val="20"/>
          <w:szCs w:val="20"/>
          <w:color w:val="auto"/>
        </w:rPr>
      </w:pPr>
    </w:p>
    <w:p>
      <w:pPr>
        <w:ind w:right="39" w:firstLine="648"/>
        <w:spacing w:after="0" w:line="324" w:lineRule="auto"/>
        <w:rPr>
          <w:sz w:val="20"/>
          <w:szCs w:val="20"/>
          <w:color w:val="auto"/>
        </w:rPr>
      </w:pPr>
      <w:r>
        <w:rPr>
          <w:rFonts w:ascii="Arial" w:cs="Arial" w:eastAsia="Arial" w:hAnsi="Arial"/>
          <w:sz w:val="16"/>
          <w:szCs w:val="16"/>
          <w:color w:val="auto"/>
        </w:rPr>
        <w:t>Gene therapy remains a novel technology, with few gene therapy products approved to date in the United States and the European Union. Public perception may be influenced by claims that gene therapy is unsafe, and gene therapy</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non-AAV gene therapy vectors. SAEs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72" w:lineRule="exact"/>
        <w:rPr>
          <w:sz w:val="20"/>
          <w:szCs w:val="20"/>
          <w:color w:val="auto"/>
        </w:rPr>
      </w:pPr>
    </w:p>
    <w:p>
      <w:pPr>
        <w:ind w:right="280"/>
        <w:spacing w:after="0" w:line="362" w:lineRule="auto"/>
        <w:rPr>
          <w:sz w:val="20"/>
          <w:szCs w:val="20"/>
          <w:color w:val="auto"/>
        </w:rPr>
      </w:pPr>
      <w:r>
        <w:rPr>
          <w:rFonts w:ascii="Arial" w:cs="Arial" w:eastAsia="Arial" w:hAnsi="Arial"/>
          <w:sz w:val="15"/>
          <w:szCs w:val="15"/>
          <w:b w:val="1"/>
          <w:bCs w:val="1"/>
          <w:i w:val="1"/>
          <w:iCs w:val="1"/>
          <w:color w:val="auto"/>
        </w:rPr>
        <w:t>If we obtain approval to commercialize our product candidates outside of the United States, in particular in the United Kingdom or European Union, a variety of risks associated with international operations could harm our business.</w:t>
      </w:r>
    </w:p>
    <w:p>
      <w:pPr>
        <w:spacing w:after="0" w:line="101"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including:</w:t>
      </w:r>
    </w:p>
    <w:p>
      <w:pPr>
        <w:spacing w:after="0" w:line="169" w:lineRule="exact"/>
        <w:rPr>
          <w:sz w:val="20"/>
          <w:szCs w:val="20"/>
          <w:color w:val="auto"/>
        </w:rPr>
      </w:pPr>
    </w:p>
    <w:p>
      <w:pPr>
        <w:ind w:left="1000" w:hanging="32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or loss of protection under our intellectual property rights;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auto"/>
        </w:rPr>
      </w:pPr>
    </w:p>
    <w:p>
      <w:pPr>
        <w:ind w:left="1000" w:hanging="323"/>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1000" w:right="240" w:hanging="32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shortages resulting from any events affecting raw material supply or manufacturing capabilities abroad;</w:t>
      </w:r>
    </w:p>
    <w:p>
      <w:pPr>
        <w:spacing w:after="0" w:line="236" w:lineRule="exact"/>
        <w:rPr>
          <w:rFonts w:ascii="Arial" w:cs="Arial" w:eastAsia="Arial" w:hAnsi="Arial"/>
          <w:sz w:val="17"/>
          <w:szCs w:val="17"/>
          <w:color w:val="auto"/>
        </w:rPr>
      </w:pPr>
    </w:p>
    <w:p>
      <w:pPr>
        <w:ind w:left="1000" w:right="440" w:hanging="323"/>
        <w:spacing w:after="0" w:line="342"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 or from economic or political instability; and</w:t>
      </w:r>
    </w:p>
    <w:p>
      <w:pPr>
        <w:spacing w:after="0" w:line="123" w:lineRule="exact"/>
        <w:rPr>
          <w:rFonts w:ascii="Arial" w:cs="Arial" w:eastAsia="Arial" w:hAnsi="Arial"/>
          <w:sz w:val="16"/>
          <w:szCs w:val="16"/>
          <w:color w:val="auto"/>
        </w:rPr>
      </w:pPr>
    </w:p>
    <w:p>
      <w:pPr>
        <w:ind w:left="1000" w:hanging="32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greater difficulty with enforcing our contracts in jurisdictions outside of the United States.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many foreign countries, it is common for others to engage in business practices that are prohibited by U.S. laws and regulations applicable to us, including the FCPA.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0"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in part, the terms and conditions of licenses granted to us by others.</w:t>
      </w:r>
    </w:p>
    <w:p>
      <w:pPr>
        <w:spacing w:after="0" w:line="16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These licenses may also require us to grant back certain rights to licensors and to pay certain amounts relating to sublicensing patent and other rights under the agreement.</w:t>
      </w:r>
    </w:p>
    <w:p>
      <w:pPr>
        <w:spacing w:after="0" w:line="195"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some circumstances, particularly in-licenses with academic institutions, we may not have the right to control the preparation, filing and prosecution of patent applications, or to maintain, enforce or defend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certain circumstances, we have or may license technology from third parties on a non-exclusive basis. In such instances, other licensees may have the right to enforce our licensed patents in their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In addition to the foregoing, the risks associated with patent rights that we license from third parties will also apply to patent rights we own or may own in the future.</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Certain of our license agreements contain “no challenge” clauses which preclude and prevent us from taking any action to limit or narrow the intellectual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property of a licensor. In some cases, these limitations extend to any intellectual property of our licensor and not just that which is licensed to us. Such constraints may limit our ability to develop or commercialize products or to expand such efforts beyond the scope of any license. Disputes may arise regarding intellectual property subject to a licensing agreement, including:</w:t>
      </w:r>
    </w:p>
    <w:p>
      <w:pPr>
        <w:spacing w:after="0" w:line="188" w:lineRule="exact"/>
        <w:rPr>
          <w:sz w:val="20"/>
          <w:szCs w:val="20"/>
          <w:color w:val="auto"/>
        </w:rPr>
      </w:pPr>
    </w:p>
    <w:p>
      <w:pPr>
        <w:ind w:left="1000" w:hanging="32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000" w:right="340" w:hanging="323"/>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248" w:lineRule="exact"/>
        <w:rPr>
          <w:rFonts w:ascii="Arial" w:cs="Arial" w:eastAsia="Arial" w:hAnsi="Arial"/>
          <w:sz w:val="16"/>
          <w:szCs w:val="16"/>
          <w:color w:val="auto"/>
        </w:rPr>
      </w:pPr>
    </w:p>
    <w:p>
      <w:pPr>
        <w:ind w:left="1000" w:right="320" w:hanging="323"/>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creation or use of intellectual property by our licensors and us and our partners; and</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right="420" w:firstLine="648"/>
        <w:spacing w:after="0" w:line="24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2"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If we fail to comply with our obligations under these license agreements, or we are subject to a bankruptcy, the licensor may have the right to terminate the license, in which event we would not be able to develop, manufacture, or market products covered by the license or may face other penalties under the agreements. Termination of any of our agreements involving intellectual property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Termination may also result in unfavorable terms associated with such termination or may result in obligations on our part to license or grant back intellectual property rights to prior licensors.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Furthermore, the research resulting in certain of our licensed patent rights and technology was funded by the U.S. government. As a result, the government may have certain rights, or march-in rights, to such patent rights and technology. When new technologies are developed with U.S. government funding, the U.S. government generally obtains certain rights in any resulting patents, including a non-exclusive, royalty-free license authorizing the U.S. government, or a third party on its behalf, to use the invention for non-commercial purposes. These rights may permit the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or a third party on its behalf, of such rights could harm our competitive position, business, financial condition, results of operations and prospects.</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products and technology, or if the scope of the patent protection obtained is not of sufficient breadth, our competitors could develop and commercialize products and technology similar or identical to ours, and our ability to successfully commercialize our products and technology may be adversely affected.</w:t>
      </w:r>
    </w:p>
    <w:p>
      <w:pPr>
        <w:spacing w:after="0" w:line="188" w:lineRule="exact"/>
        <w:rPr>
          <w:sz w:val="20"/>
          <w:szCs w:val="20"/>
          <w:color w:val="auto"/>
        </w:rPr>
      </w:pPr>
    </w:p>
    <w:p>
      <w:pPr>
        <w:ind w:right="180" w:firstLine="648"/>
        <w:spacing w:after="0" w:line="324" w:lineRule="auto"/>
        <w:rPr>
          <w:sz w:val="20"/>
          <w:szCs w:val="20"/>
          <w:color w:val="auto"/>
        </w:rPr>
      </w:pPr>
      <w:r>
        <w:rPr>
          <w:rFonts w:ascii="Arial" w:cs="Arial" w:eastAsia="Arial" w:hAnsi="Arial"/>
          <w:sz w:val="16"/>
          <w:szCs w:val="16"/>
          <w:color w:val="auto"/>
        </w:rPr>
        <w:t>Our success depends, in large part, on our and our licensors’ ability to obtain and maintain patent protection in the United States and other countries with respect to our product candidates and manufacturing technology. We and our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60"/>
        <w:spacing w:after="0" w:line="324" w:lineRule="auto"/>
        <w:rPr>
          <w:sz w:val="20"/>
          <w:szCs w:val="20"/>
          <w:color w:val="auto"/>
        </w:rPr>
      </w:pPr>
      <w:r>
        <w:rPr>
          <w:rFonts w:ascii="Arial" w:cs="Arial" w:eastAsia="Arial" w:hAnsi="Arial"/>
          <w:sz w:val="16"/>
          <w:szCs w:val="16"/>
          <w:color w:val="auto"/>
        </w:rPr>
        <w:t>licensors have sought, and we intend to seek in the future, to protect our proprietary position by filing patent applications in the United States and abroad related to many of our technologies and product candidates that are important to our business.</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The patent prosecution process is expensive, time-consuming and complex, and we may not have and may not in the future be able to file, prosecute, maintain, enforce, defend or license all necessary or desirable patent applications in some or all relevant jurisdictions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may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 In some cases, we may be able to obtain patent protection, but such protections may expire before we commercialize the product protected by those rights, leaving us no meaningful protection for our products. In other cases, where our intellectual property is being managed by a third-party collaborator, licensee or partner, that third party may fail to act diligently in prosecuting, maintaining, defending or enforcing our patents. Such conduct may result in the failure to maintain or obtain protections, loss of rights, loss of patent term or, in cases where a third party has acted negligently or inequitably, patents being found unenforceable.</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pending and future patent applications may not result in patents being issued which protect our technology or product candidates or which effectively prevent others from commercializing competitive technologies and product candidates.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Changes in either the patent laws or interpretation of the patent laws in the United States and other countries may diminish the value, narrow the scope, or eliminate the enforceability of our and our licensors’ patent protection.</w:t>
      </w:r>
    </w:p>
    <w:p>
      <w:pPr>
        <w:spacing w:after="0" w:line="18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only upon issuance or not at all. Therefore, we cannot be certain that we, or a licensor, were the first to make the inventions claimed in any owned or any licensed patents or pending patent applications, respectively, or which entity was the first to file for patent protection until such patent application publishes or issues as a patent. Databases for patents and publications, and methods for searching them, are inherently limited, so it is not practical to review and know the full scope of all issued and pending patent applications. As a result, the issuance, scope, validity, enforceability, and commercial value of our and our licensed patent rights are uncertain.</w:t>
      </w:r>
    </w:p>
    <w:p>
      <w:pPr>
        <w:spacing w:after="0" w:line="177" w:lineRule="exact"/>
        <w:rPr>
          <w:sz w:val="20"/>
          <w:szCs w:val="20"/>
          <w:color w:val="auto"/>
        </w:rPr>
      </w:pPr>
    </w:p>
    <w:p>
      <w:pPr>
        <w:ind w:right="80" w:firstLine="648"/>
        <w:spacing w:after="0" w:line="263" w:lineRule="auto"/>
        <w:rPr>
          <w:sz w:val="20"/>
          <w:szCs w:val="20"/>
          <w:color w:val="auto"/>
        </w:rPr>
      </w:pPr>
      <w:r>
        <w:rPr>
          <w:rFonts w:ascii="Arial" w:cs="Arial" w:eastAsia="Arial" w:hAnsi="Arial"/>
          <w:sz w:val="17"/>
          <w:szCs w:val="17"/>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In spite of a legal presumption of validity, the issuance of a patent is not conclusive as to its inventorship, ownership, scope, validity, or enforceability which may be challenged in the courts and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0"/>
        <w:spacing w:after="0" w:line="322" w:lineRule="auto"/>
        <w:rPr>
          <w:sz w:val="20"/>
          <w:szCs w:val="20"/>
          <w:color w:val="auto"/>
        </w:rPr>
      </w:pPr>
      <w:r>
        <w:rPr>
          <w:rFonts w:ascii="Arial" w:cs="Arial" w:eastAsia="Arial" w:hAnsi="Arial"/>
          <w:sz w:val="15"/>
          <w:szCs w:val="15"/>
          <w:b w:val="1"/>
          <w:bCs w:val="1"/>
          <w:i w:val="1"/>
          <w:iCs w:val="1"/>
          <w:color w:val="auto"/>
        </w:rPr>
        <w:t>Our intellectual property licenses with third parties may be subject to disagreements over contract interpretation, which could narrow the scope of our rights to the relevant intellectual property or technology, resulting in termination of our access to such intellectual property, or increase our financial or other obligations to our licensors.</w:t>
      </w:r>
    </w:p>
    <w:p>
      <w:pPr>
        <w:spacing w:after="0" w:line="13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result in loss of access, or increase what we believe to be our financial or other obligations under the relevant agreement, any of which could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obtaining necessary rights to our product candidates through acquisitions and in-licenses.</w:t>
      </w:r>
    </w:p>
    <w:p>
      <w:pPr>
        <w:spacing w:after="0" w:line="24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We currently have rights to certain intellectual property, through licenses from third parties, to develop our product candidates. Because our programs may require the use of proprietary rights held by third parties, the growth of our business likely will depend, in part, on our ability to acquire, in-license or use these proprietary rights. We may be unable to acquire or in-license any compositions, methods of use, processes or other intellectual property rights from third parties that we identify as necessary for our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or technical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78"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develop our program.</w:t>
      </w:r>
    </w:p>
    <w:p>
      <w:pPr>
        <w:spacing w:after="0" w:line="1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If we are unable to successfully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17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United States Patent and Trademark Office, or USPTO, and various government patent agencies outside of the United States over the lifetime of our licensed patents and/or applications and any patent rights we may own in the future. We rely on our outside counsel or our licensing partners to pay these fees due to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and may compromise the strength of</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other intellectual property in our portfolio. In such an event, potential competitors might be able to enter the market and this circumstance could harm our business.</w:t>
      </w:r>
    </w:p>
    <w:p>
      <w:pPr>
        <w:spacing w:after="0" w:line="169"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On February 1, 2019 the government of Venezuela, in response to certain U.S. sanctions, began to require that foreign entities pay all official fees, including patent fees (either for pending matters or new petitions), in PETRO, a “cryptocurrency” created by the Nicolás Maduro administration in February 2018 as a way to collect U.S. dollars while avoiding American financial sanctions issued under an Executive Order of President Trump on March 19, 2018. The Executive Order banned transactions involving “any digital currency, digital coin, or digital token, that was issued by, for, or on behalf of the Government of Venezuela on or after January 9, 2018.” The prohibition is applicable to any U.S. entity unless exempted by license. We do not hold such a license and therefore may not be able to secure patents in Venezuela.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2"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Our intellectual property rights may vary from country to country and foreign protections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or methods of treatment,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With Brexit, there is uncertainty associated with obtaining, defending, and enforcing intellectual property rights in the United Kingdom. International treaties and regulations promulgated as a result of this transition could impede or eliminate our ability to obtain or maintain meaningful intellectual property rights in the United Kingdom.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Issued patents covering our technology or product candidates could be found invalid or unenforceable if challenged in court. We may not be able to protect our trade secrets in court.</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If one of our licensing partners or we initiate legal proceedings against a third party to enforce a patent covering our technology or one of our product candidates, the defendant could counterclaim that the patent covering such technology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an individual connected with prosecution of the patent, including an inventor, an employee of the company, a collaborator or advisor, withheld information material to patentability from the USPTO, or made a misleading statement, during prosecution.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9"/>
        <w:spacing w:after="0" w:line="253" w:lineRule="auto"/>
        <w:rPr>
          <w:sz w:val="20"/>
          <w:szCs w:val="20"/>
          <w:color w:val="auto"/>
        </w:rPr>
      </w:pPr>
      <w:r>
        <w:rPr>
          <w:rFonts w:ascii="Arial" w:cs="Arial" w:eastAsia="Arial" w:hAnsi="Arial"/>
          <w:sz w:val="17"/>
          <w:szCs w:val="17"/>
          <w:color w:val="auto"/>
        </w:rPr>
        <w:t xml:space="preserve">Third parties also may raise similar claims before administrative bodies in the United States or abroad, even outside the context of litigation. Such mechanisms include pre-issuance submissions,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post-grant review,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and equivalent proceedings in foreign jurisdictions. Some of these mechanisms may even be exploited</w:t>
      </w:r>
      <w:r>
        <w:rPr>
          <w:rFonts w:ascii="Arial" w:cs="Arial" w:eastAsia="Arial" w:hAnsi="Arial"/>
          <w:sz w:val="17"/>
          <w:szCs w:val="17"/>
          <w:i w:val="1"/>
          <w:iCs w:val="1"/>
          <w:color w:val="auto"/>
        </w:rPr>
        <w:t xml:space="preserve"> </w:t>
      </w:r>
      <w:r>
        <w:rPr>
          <w:rFonts w:ascii="Arial" w:cs="Arial" w:eastAsia="Arial" w:hAnsi="Arial"/>
          <w:sz w:val="17"/>
          <w:szCs w:val="17"/>
          <w:color w:val="auto"/>
        </w:rPr>
        <w:t>anonymously by third parties. Such proceedings could result in the revocation or cancellation of or amendment to our patents in such a way that they no longer cover our technology or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part or, all of the patent protection on one or more of our product candidates or our supporting technology. Such a loss of patent protection could harm our business.</w:t>
      </w:r>
    </w:p>
    <w:p>
      <w:pPr>
        <w:spacing w:after="0" w:line="181" w:lineRule="exact"/>
        <w:rPr>
          <w:sz w:val="20"/>
          <w:szCs w:val="20"/>
          <w:color w:val="auto"/>
        </w:rPr>
      </w:pPr>
    </w:p>
    <w:p>
      <w:pPr>
        <w:ind w:right="59" w:firstLine="648"/>
        <w:spacing w:after="0" w:line="252" w:lineRule="auto"/>
        <w:rPr>
          <w:sz w:val="20"/>
          <w:szCs w:val="20"/>
          <w:color w:val="auto"/>
        </w:rPr>
      </w:pPr>
      <w:r>
        <w:rPr>
          <w:rFonts w:ascii="Arial" w:cs="Arial" w:eastAsia="Arial" w:hAnsi="Arial"/>
          <w:sz w:val="17"/>
          <w:szCs w:val="17"/>
          <w:color w:val="auto"/>
        </w:rPr>
        <w:t>In addition to the protection afforded by patents, we rely on trade secret protection, nondisclosure,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Some courts inside and outside the United States are less willing or unwilling to protect trade secrets. We seek to protect our proprietary technology and processes, in part, by entering into confidentiality agreements with our employees, consultants, scientific advisors, collaborators, contractors, and other third parties.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81" w:lineRule="exact"/>
        <w:rPr>
          <w:sz w:val="20"/>
          <w:szCs w:val="20"/>
          <w:color w:val="auto"/>
        </w:rPr>
      </w:pPr>
    </w:p>
    <w:p>
      <w:pPr>
        <w:ind w:right="99"/>
        <w:spacing w:after="0" w:line="262"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69" w:lineRule="exact"/>
        <w:rPr>
          <w:sz w:val="20"/>
          <w:szCs w:val="20"/>
          <w:color w:val="auto"/>
        </w:rPr>
      </w:pPr>
    </w:p>
    <w:p>
      <w:pPr>
        <w:ind w:right="19" w:firstLine="648"/>
        <w:spacing w:after="0" w:line="266"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or be threatened with, adversarial proceedings or litigation regarding intellectual property rights with respect to our product candidates and technology, including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or foreign patent offices. Third parties may assert infringement claims against us based on existing patents or patents that may be granted in the future, regardless of the merit of the claim.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our product candidates or any other of our product candidates or technologies covered by the asserted third-party patents. In order to successfully challenge the validity of any such asserted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 challenges exist in other jurisdictions. If we are found to infringe a third-party’s valid and enforceable intellectual property rights, we could be required to obtain a license from such third-party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9"/>
        <w:spacing w:after="0" w:line="279" w:lineRule="auto"/>
        <w:rPr>
          <w:sz w:val="20"/>
          <w:szCs w:val="20"/>
          <w:color w:val="auto"/>
        </w:rPr>
      </w:pPr>
      <w:r>
        <w:rPr>
          <w:rFonts w:ascii="Arial" w:cs="Arial" w:eastAsia="Arial" w:hAnsi="Arial"/>
          <w:sz w:val="16"/>
          <w:szCs w:val="16"/>
          <w:color w:val="auto"/>
        </w:rPr>
        <w:t>intellectual property right. A finding of infringement could prevent us from manufacturing and commercializing our product candidates or force us to cease some of our business operations, which could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negative impact on our business, reputation, financial condition, results of operations and prospects.</w:t>
      </w:r>
    </w:p>
    <w:p>
      <w:pPr>
        <w:spacing w:after="0" w:line="160" w:lineRule="exact"/>
        <w:rPr>
          <w:sz w:val="20"/>
          <w:szCs w:val="20"/>
          <w:color w:val="auto"/>
        </w:rPr>
      </w:pPr>
    </w:p>
    <w:p>
      <w:pPr>
        <w:ind w:right="19"/>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9" w:lineRule="exact"/>
        <w:rPr>
          <w:sz w:val="20"/>
          <w:szCs w:val="20"/>
          <w:color w:val="auto"/>
        </w:rPr>
      </w:pPr>
    </w:p>
    <w:p>
      <w:pPr>
        <w:ind w:right="19" w:firstLine="648"/>
        <w:spacing w:after="0" w:line="269" w:lineRule="auto"/>
        <w:rPr>
          <w:sz w:val="20"/>
          <w:szCs w:val="20"/>
          <w:color w:val="auto"/>
        </w:rPr>
      </w:pPr>
      <w:r>
        <w:rPr>
          <w:rFonts w:ascii="Arial" w:cs="Arial" w:eastAsia="Arial" w:hAnsi="Arial"/>
          <w:sz w:val="16"/>
          <w:szCs w:val="16"/>
          <w:color w:val="auto"/>
        </w:rPr>
        <w:t>Competitors may infringe our intellectual property rights or the intellectual property rights of our licensing partners,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69" w:lineRule="exact"/>
        <w:rPr>
          <w:sz w:val="20"/>
          <w:szCs w:val="20"/>
          <w:color w:val="auto"/>
        </w:rPr>
      </w:pPr>
    </w:p>
    <w:p>
      <w:pPr>
        <w:ind w:right="299"/>
        <w:spacing w:after="0" w:line="248"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82" w:lineRule="exact"/>
        <w:rPr>
          <w:sz w:val="20"/>
          <w:szCs w:val="20"/>
          <w:color w:val="auto"/>
        </w:rPr>
      </w:pPr>
    </w:p>
    <w:p>
      <w:pPr>
        <w:ind w:right="39" w:firstLine="648"/>
        <w:spacing w:after="0" w:line="254" w:lineRule="auto"/>
        <w:rPr>
          <w:sz w:val="20"/>
          <w:szCs w:val="20"/>
          <w:color w:val="auto"/>
        </w:rPr>
      </w:pPr>
      <w:r>
        <w:rPr>
          <w:rFonts w:ascii="Arial" w:cs="Arial" w:eastAsia="Arial" w:hAnsi="Arial"/>
          <w:sz w:val="17"/>
          <w:szCs w:val="17"/>
          <w:color w:val="auto"/>
        </w:rPr>
        <w:t>Many of our directors, employees, consultants, and advisors are currently, or were previously, employed at universities or other biotechnology or pharmaceutical companies, including our competitors or potential competitors. Although we try to ensure that these individuals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2" w:lineRule="exact"/>
        <w:rPr>
          <w:sz w:val="20"/>
          <w:szCs w:val="20"/>
          <w:color w:val="auto"/>
        </w:rPr>
      </w:pPr>
    </w:p>
    <w:p>
      <w:pPr>
        <w:ind w:right="19" w:firstLine="648"/>
        <w:spacing w:after="0" w:line="276" w:lineRule="auto"/>
        <w:rPr>
          <w:sz w:val="20"/>
          <w:szCs w:val="20"/>
          <w:color w:val="auto"/>
        </w:rPr>
      </w:pPr>
      <w:r>
        <w:rPr>
          <w:rFonts w:ascii="Arial" w:cs="Arial" w:eastAsia="Arial" w:hAnsi="Arial"/>
          <w:sz w:val="16"/>
          <w:szCs w:val="16"/>
          <w:color w:val="auto"/>
        </w:rPr>
        <w:t>In addition, while it is our policy to require our employees, consultants, advisors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62" w:lineRule="exact"/>
        <w:rPr>
          <w:sz w:val="20"/>
          <w:szCs w:val="20"/>
          <w:color w:val="auto"/>
        </w:rPr>
      </w:pPr>
    </w:p>
    <w:p>
      <w:pPr>
        <w:ind w:right="99" w:firstLine="648"/>
        <w:spacing w:after="0" w:line="248"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2" w:lineRule="exact"/>
        <w:rPr>
          <w:sz w:val="20"/>
          <w:szCs w:val="20"/>
          <w:color w:val="auto"/>
        </w:rPr>
      </w:pPr>
    </w:p>
    <w:p>
      <w:pPr>
        <w:ind w:right="299"/>
        <w:spacing w:after="0" w:line="262"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9" w:lineRule="exact"/>
        <w:rPr>
          <w:sz w:val="20"/>
          <w:szCs w:val="20"/>
          <w:color w:val="auto"/>
        </w:rPr>
      </w:pPr>
    </w:p>
    <w:p>
      <w:pPr>
        <w:ind w:right="299" w:firstLine="648"/>
        <w:spacing w:after="0" w:line="294"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U.S.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Under a first-inventor-to-file system, assuming the other requirements for patentability are met, the first inventor to file a patent application generally will be entitled to the patent on an invention regardless of whether another inventor had made the invention earlier. The USPTO has promulgated regulations and procedures to govern administration of the Leahy-Smith Act, and many of the substantive changes to patent law associated with the Leahy-Smith Act, and in particular, the first-inventor-to-file provisions, became effective on March 16, 2013. The Leahy-Smith Act has resulted in an increased investment in filing applications earlier, and consequently has increased the uncertainties and costs surrounding the prosecution of our patent applications, and may increase the enforcement or defense of our issued patents, all of which could harm our business, financial condition, results of operations and prospects.</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The administrative tribunal created by the Leahy-Smith Act, known as the Patent Trial and Appeals Board, or PTAB, may have an impact on the operation of our business in the future. For example, the initial results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our own licensed patents will be challenged, thereby increasing the uncertainties and costs of maintaining and enforcing them. Moreover, if such challenges occur, we may not have the right to control the defense. In certain situations, we may be required to rely on our licensor to consider our suggestions and to defend such challenges, with the possibility that it may not do so in a way that best protects our interests.</w:t>
      </w:r>
    </w:p>
    <w:p>
      <w:pPr>
        <w:spacing w:after="0" w:line="18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7"/>
          <w:szCs w:val="17"/>
          <w:color w:val="auto"/>
        </w:rPr>
        <w:t xml:space="preserve">We also may be subject to a third-party pre-issuance submission of prior art to the USPTO or become involved in other contested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18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 xml:space="preserve">The patent positions of companies engaged in the development and commercialization of biologics and pharmaceuticals are particularly uncertain as the courts address issues such as patenting genes or gene products. The most recent guidance provided under </w:t>
      </w:r>
      <w:r>
        <w:rPr>
          <w:rFonts w:ascii="Arial" w:cs="Arial" w:eastAsia="Arial" w:hAnsi="Arial"/>
          <w:sz w:val="17"/>
          <w:szCs w:val="17"/>
          <w:i w:val="1"/>
          <w:iCs w:val="1"/>
          <w:color w:val="auto"/>
        </w:rPr>
        <w:t>Berkheimer v HP, Inc</w:t>
      </w:r>
      <w:r>
        <w:rPr>
          <w:rFonts w:ascii="Arial" w:cs="Arial" w:eastAsia="Arial" w:hAnsi="Arial"/>
          <w:sz w:val="17"/>
          <w:szCs w:val="17"/>
          <w:color w:val="auto"/>
        </w:rPr>
        <w:t xml:space="preserve">. (April 19, 2018) and </w:t>
      </w:r>
      <w:r>
        <w:rPr>
          <w:rFonts w:ascii="Arial" w:cs="Arial" w:eastAsia="Arial" w:hAnsi="Arial"/>
          <w:sz w:val="17"/>
          <w:szCs w:val="17"/>
          <w:i w:val="1"/>
          <w:iCs w:val="1"/>
          <w:color w:val="auto"/>
        </w:rPr>
        <w:t>Vanda Pharmaceuticals, Inc. v West-Ward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w:t>
      </w:r>
      <w:r>
        <w:rPr>
          <w:rFonts w:ascii="Arial" w:cs="Arial" w:eastAsia="Arial" w:hAnsi="Arial"/>
          <w:sz w:val="17"/>
          <w:szCs w:val="17"/>
          <w:color w:val="auto"/>
        </w:rPr>
        <w:t>(June 7, 2018) instruct USPTO examiners on the ramifications of the court rulings as applied to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8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7"/>
          <w:szCs w:val="17"/>
          <w:color w:val="auto"/>
        </w:rPr>
        <w:t xml:space="preserve">We cannot assure you that our efforts to seek patent protection for our technology and products will not be negatively impacted by the court decisions referenced above, rulings in other cases or changes in guidance or procedures issued by the USPTO. We cannot fully predict what impact decisions from the Supreme Court’s decisions in </w:t>
      </w:r>
      <w:r>
        <w:rPr>
          <w:rFonts w:ascii="Arial" w:cs="Arial" w:eastAsia="Arial" w:hAnsi="Arial"/>
          <w:sz w:val="17"/>
          <w:szCs w:val="17"/>
          <w:i w:val="1"/>
          <w:iCs w:val="1"/>
          <w:color w:val="auto"/>
        </w:rPr>
        <w:t>Mayo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Services v. Prometheus Laboratories </w:t>
      </w:r>
      <w:r>
        <w:rPr>
          <w:rFonts w:ascii="Arial" w:cs="Arial" w:eastAsia="Arial" w:hAnsi="Arial"/>
          <w:sz w:val="17"/>
          <w:szCs w:val="17"/>
          <w:color w:val="auto"/>
        </w:rPr>
        <w:t>and</w:t>
      </w:r>
      <w:r>
        <w:rPr>
          <w:rFonts w:ascii="Arial" w:cs="Arial" w:eastAsia="Arial" w:hAnsi="Arial"/>
          <w:sz w:val="17"/>
          <w:szCs w:val="17"/>
          <w:i w:val="1"/>
          <w:iCs w:val="1"/>
          <w:color w:val="auto"/>
        </w:rPr>
        <w:t xml:space="preserve"> Molecular Pathology v. Myriad Genetics, Inc. </w:t>
      </w:r>
      <w:r>
        <w:rPr>
          <w:rFonts w:ascii="Arial" w:cs="Arial" w:eastAsia="Arial" w:hAnsi="Arial"/>
          <w:sz w:val="17"/>
          <w:szCs w:val="17"/>
          <w:color w:val="auto"/>
        </w:rPr>
        <w:t>or other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court decisions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8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color w:val="auto"/>
        </w:rPr>
        <w:t>Moreover, although the Supreme Court has held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24"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 The ambiguities and changing law in all countries as to patenting genetic material may directly affect our ability to secure and/or maintain patent protection for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our product candidates, our business may be harmed.</w:t>
      </w:r>
    </w:p>
    <w:p>
      <w:pPr>
        <w:spacing w:after="0" w:line="246"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which may cover non-gene therapy compounds, may be eligible for limited patent term extension under the Drug Price Competition and Patent Term Restoration Act of 1984, or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per FDA-approved product, and only those claims covering the approved drug, a method for using it or a method for manufacturing it may be extended. Further, certain of our licenses currently or in the future may not provide us with the right to control decisions the licensor or its other licensees on Orange Book listings or patent term extension decisions under the Hatch-Waxman Act. Thus, if one of our important licensed patents is eligible for a patent term extension under the Hatch-Waxman Act, and it covers a product of another licensee in addition to our own product candidate, we may not be able to obtain that extension if the other licensee seeks and obtains that extension first.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The Biologics Price Competition and Innovation Act of 2009 provides up to 12 years of market exclusivity for a reference biological product. We may not be able to obtain such exclusivity for our products. Moreover, the applicable time-period or the scope of patent protection afforded during any such extension could be less than we request. If we are unable to obtain patent term extension or the scope of term of any such extension is less than we request, the period during which we will have the right to exclusively market our product may be shortened and our competitors may obtain approval of competing products following our patent expiration, and our revenue could be materially reduced.</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If our trademarks and trade name are not adequately protected, then we may not be able to build name recognition in our markets of interest and our business may be adversely affected.</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We own service mark registrations in the USPTO for the marks “VOYAGER THERAPEUTICS” and “VOYAGER THERAPEUTICS Logo” and European Community trademark registrations for the marks “V-TAG” and “VOYAGER TRAJECTORY ARRAY GUIDE.” We also own pending trademark applications in the USPTO for the marks “V-TAG”, V-TAG Logo, and “TRACER”. Our trademarks or our trade name may be challenged, infringed, circumvented or declared generic or found to infringe prior third-party marks. We may not be able to protect our rights in our trademarks or in our trade name, which we need in order to build name recognition among potential partners or customers in our markets of interest. It is possible that competitors may adopt trade names or trademarks similar to ours, thereby impeding our ability to build brand identity and possibly leading to market confusion. In addition, there could be potential trade name or trademark infringement claims brought by owners of prior registered trademarks or trademarks that incorporate variations of our registered or unregistered trademarks or trade name. Over the long term, if we are unable to establish name recognition based on our trademarks and trade name, then we may not be able to compete effectively, and our business may be adversely affected. Our efforts to enforce and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such rights may not adequately protect our business or permit us to maintain our competitive advantage. For example:</w:t>
      </w:r>
    </w:p>
    <w:p>
      <w:pPr>
        <w:spacing w:after="0" w:line="155" w:lineRule="exact"/>
        <w:rPr>
          <w:sz w:val="20"/>
          <w:szCs w:val="20"/>
          <w:color w:val="auto"/>
        </w:rPr>
      </w:pPr>
    </w:p>
    <w:p>
      <w:pPr>
        <w:ind w:left="1000" w:right="320" w:hanging="323"/>
        <w:spacing w:after="0" w:line="308"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our product candidates but that are not covered by the claims of the patents that we own, license or may access in the future;</w:t>
      </w:r>
    </w:p>
    <w:p>
      <w:pPr>
        <w:spacing w:after="0" w:line="106" w:lineRule="exact"/>
        <w:rPr>
          <w:rFonts w:ascii="Arial" w:cs="Arial" w:eastAsia="Arial" w:hAnsi="Arial"/>
          <w:sz w:val="17"/>
          <w:szCs w:val="17"/>
          <w:color w:val="auto"/>
        </w:rPr>
      </w:pPr>
    </w:p>
    <w:p>
      <w:pPr>
        <w:ind w:left="1000" w:right="80" w:hanging="323"/>
        <w:spacing w:after="0" w:line="342"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or pending patent application that we license or may own in the future;</w:t>
      </w:r>
    </w:p>
    <w:p>
      <w:pPr>
        <w:spacing w:after="0" w:line="83" w:lineRule="exact"/>
        <w:rPr>
          <w:rFonts w:ascii="Arial" w:cs="Arial" w:eastAsia="Arial" w:hAnsi="Arial"/>
          <w:sz w:val="16"/>
          <w:szCs w:val="16"/>
          <w:color w:val="auto"/>
        </w:rPr>
      </w:pPr>
    </w:p>
    <w:p>
      <w:pPr>
        <w:ind w:left="1000" w:right="640" w:hanging="32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43" w:lineRule="exact"/>
        <w:rPr>
          <w:rFonts w:ascii="Arial" w:cs="Arial" w:eastAsia="Arial" w:hAnsi="Arial"/>
          <w:sz w:val="18"/>
          <w:szCs w:val="18"/>
          <w:color w:val="auto"/>
        </w:rPr>
      </w:pPr>
    </w:p>
    <w:p>
      <w:pPr>
        <w:ind w:left="1000" w:right="440" w:hanging="32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29" w:lineRule="exact"/>
        <w:rPr>
          <w:rFonts w:ascii="Arial" w:cs="Arial" w:eastAsia="Arial" w:hAnsi="Arial"/>
          <w:sz w:val="18"/>
          <w:szCs w:val="18"/>
          <w:color w:val="auto"/>
        </w:rPr>
      </w:pPr>
    </w:p>
    <w:p>
      <w:pPr>
        <w:ind w:left="1000" w:right="80" w:hanging="32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29" w:lineRule="exact"/>
        <w:rPr>
          <w:rFonts w:ascii="Arial" w:cs="Arial" w:eastAsia="Arial" w:hAnsi="Arial"/>
          <w:sz w:val="18"/>
          <w:szCs w:val="18"/>
          <w:color w:val="auto"/>
        </w:rPr>
      </w:pPr>
    </w:p>
    <w:p>
      <w:pPr>
        <w:ind w:left="1000" w:right="620" w:hanging="32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43" w:lineRule="exact"/>
        <w:rPr>
          <w:rFonts w:ascii="Arial" w:cs="Arial" w:eastAsia="Arial" w:hAnsi="Arial"/>
          <w:sz w:val="18"/>
          <w:szCs w:val="18"/>
          <w:color w:val="auto"/>
        </w:rPr>
      </w:pPr>
    </w:p>
    <w:p>
      <w:pPr>
        <w:ind w:left="1000" w:right="100" w:hanging="323"/>
        <w:spacing w:after="0" w:line="264"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0" w:lineRule="exact"/>
        <w:rPr>
          <w:rFonts w:ascii="Arial" w:cs="Arial" w:eastAsia="Arial" w:hAnsi="Arial"/>
          <w:sz w:val="18"/>
          <w:szCs w:val="18"/>
          <w:color w:val="auto"/>
        </w:rPr>
      </w:pPr>
    </w:p>
    <w:p>
      <w:pPr>
        <w:ind w:left="1000" w:hanging="32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1000" w:hanging="32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98" w:lineRule="exact"/>
        <w:rPr>
          <w:rFonts w:ascii="Arial" w:cs="Arial" w:eastAsia="Arial" w:hAnsi="Arial"/>
          <w:sz w:val="18"/>
          <w:szCs w:val="18"/>
          <w:color w:val="auto"/>
        </w:rPr>
      </w:pPr>
    </w:p>
    <w:p>
      <w:pPr>
        <w:ind w:left="1000" w:right="400" w:hanging="32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choose not to file a patent for certain inventions, trade secrets or know-how, and a third party may subsequently file a patent covering such intellectual property.</w:t>
      </w:r>
    </w:p>
    <w:p>
      <w:pPr>
        <w:spacing w:after="0" w:line="130" w:lineRule="exact"/>
        <w:rPr>
          <w:sz w:val="20"/>
          <w:szCs w:val="20"/>
          <w:color w:val="auto"/>
        </w:rPr>
      </w:pPr>
    </w:p>
    <w:p>
      <w:pPr>
        <w:ind w:right="700" w:firstLine="648"/>
        <w:spacing w:after="0" w:line="262"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2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4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Because we currently rely on certain third parties to manufacture all or part of our product candidates and to perform quality testing, and because we collaborate with various organizations and academic institutions for the advancement of our gene therapy platform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proprietary technology and confidential information or other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unauthorized use or disclosure would impair our competitive position and may harm our business, financial condition, results of operations and prospects.</w:t>
      </w:r>
    </w:p>
    <w:p>
      <w:pPr>
        <w:spacing w:after="0" w:line="12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w:t>
      </w:r>
    </w:p>
    <w:p>
      <w:pPr>
        <w:spacing w:after="0" w:line="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holdings of our executive officers, directors, principal stockholders and their affiliates, including investment funds affiliated with Third Rock Ventures, LLC and Neurocrine represent beneficial ownership, in the aggregate, of approximately 36% of our outstanding common stock as of December 31, 2019.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97" w:lineRule="exact"/>
        <w:rPr>
          <w:sz w:val="20"/>
          <w:szCs w:val="20"/>
          <w:color w:val="auto"/>
        </w:rPr>
      </w:pPr>
    </w:p>
    <w:p>
      <w:pPr>
        <w:ind w:left="1000" w:hanging="32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44" w:lineRule="exact"/>
        <w:rPr>
          <w:rFonts w:ascii="Arial" w:cs="Arial" w:eastAsia="Arial" w:hAnsi="Arial"/>
          <w:sz w:val="18"/>
          <w:szCs w:val="18"/>
          <w:color w:val="auto"/>
        </w:rPr>
      </w:pPr>
    </w:p>
    <w:p>
      <w:pPr>
        <w:ind w:left="1000" w:hanging="323"/>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2"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Our shares of common stock began trading on the Nasdaq Global Select Market on November 11, 2015.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02"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maintain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35"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In addition, shares of common stock that are either subject to outstanding options or restricted stock units, or RSUs, or reserved for future issuance under our stock incentive plans will become eligible for sale in the public market to the extent permitted by the provisions of various vesting schedules and Rule 144 and Rule 701 under the Securities Act of 1933, as amended. We have also filed a registration statement on Form S-8 permitting shares of common stock issued on exercise of options or the settlement of RSUs to be freely sold in the public market. If these additional shares of common stock are sold, or if it is perceived that they will be sold, in the public market, the trading price of our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common stock could decline. We have registered on a registration statement on Form S-3 the sale of up to $300.0 million in aggregate of an indeterminate number of shares of common stock and preferred stock, an indeterminate principal amount of debt securities, and an indeterminate number of warrants. The registration statement also registered the offering, issuance, and sale of common stock having up to a maximum aggregate offering price of $100.0 million, from the $300.0 million shelf registration statement that we may issue and sell in at-the-market offerings or negotiated transactions under a sales agreement we entered into with Cowen on November 6, 2019 pursuant to a sales agreement prospectus that forms a part of the registration statement. This shelf registration statement became effective on December 2, 2019, and no securities have been issued under such shelf registration statement to date.</w:t>
      </w:r>
    </w:p>
    <w:p>
      <w:pPr>
        <w:spacing w:after="0" w:line="182"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Certain holders of our common stock have rights, subject to specified conditions, to require us to file registration statements covering their shares or to include their shares in registration statements that we may file for ourselves or other stockholders. Any sales of securities by these stockholders could have a material adverse effect on the trading price of our common stock.</w:t>
      </w:r>
    </w:p>
    <w:p>
      <w:pPr>
        <w:spacing w:after="0" w:line="11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69"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price of our common stock is likely to be volatile and may fluctuate substantially. From January 1, 2019 through December 31, 2019, the sales price of our common stock ranged from a high of $28.79 to a low of $7.76 on the Nasdaq Global Select Market. As a result of this volatility, our stockholders may not be able to sell their common stock at or above the price at which they purchased it. The market price for our common stock may be influenced by many factors, including:</w:t>
      </w:r>
    </w:p>
    <w:p>
      <w:pPr>
        <w:spacing w:after="0" w:line="190" w:lineRule="exact"/>
        <w:rPr>
          <w:sz w:val="20"/>
          <w:szCs w:val="20"/>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success in commercializing any product candidates for which we obtain marketing approval;</w:t>
      </w:r>
    </w:p>
    <w:p>
      <w:pPr>
        <w:spacing w:after="0" w:line="144"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action and results of clinical trials of our product candidates or those of our competitors;</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results of clinical trials of our product candidates;</w:t>
      </w:r>
    </w:p>
    <w:p>
      <w:pPr>
        <w:spacing w:after="0" w:line="144"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results of clinical trials of product candidates of our competitors;</w:t>
      </w:r>
    </w:p>
    <w:p>
      <w:pPr>
        <w:spacing w:after="0" w:line="157" w:lineRule="exact"/>
        <w:rPr>
          <w:rFonts w:ascii="Arial" w:cs="Arial" w:eastAsia="Arial" w:hAnsi="Arial"/>
          <w:sz w:val="18"/>
          <w:szCs w:val="18"/>
          <w:color w:val="auto"/>
        </w:rPr>
      </w:pPr>
    </w:p>
    <w:p>
      <w:pPr>
        <w:ind w:left="1000" w:right="160" w:hanging="323"/>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commencement, termination, and success of our collaborations, including the ability or willingness of our collaboration partners to fulfill their obligations to us;</w:t>
      </w:r>
    </w:p>
    <w:p>
      <w:pPr>
        <w:spacing w:after="0" w:line="102"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1000" w:right="260" w:hanging="323"/>
        <w:spacing w:after="0" w:line="264"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technologies, the cost of commercializing such product candidates, and the cost of development of any such product candidates or technologies;</w:t>
      </w:r>
    </w:p>
    <w:p>
      <w:pPr>
        <w:spacing w:after="0" w:line="113" w:lineRule="exact"/>
        <w:rPr>
          <w:rFonts w:ascii="Arial" w:cs="Arial" w:eastAsia="Arial" w:hAnsi="Arial"/>
          <w:sz w:val="18"/>
          <w:szCs w:val="18"/>
          <w:color w:val="auto"/>
        </w:rPr>
      </w:pPr>
    </w:p>
    <w:p>
      <w:pPr>
        <w:ind w:left="1000" w:right="20" w:hanging="323"/>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2"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ability to secure third-party reimbursement for our product candidates;</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hanging="323"/>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1000" w:hanging="323"/>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 and elsewhere in this Annual Report on Form 10-K.</w:t>
      </w:r>
    </w:p>
    <w:p>
      <w:pPr>
        <w:spacing w:after="0" w:line="181"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If our operating results fall below the expectations of investors or securities analysts for a given period, the price of our common stock could decline substantially. Furthermore, any fluctuations in our operating results from period to period may, in turn, cause the price of our stock to fluctuate substantially. We believe that such comparisons of our financial results are not necessarily meaningful and should not be relied upon as an indication of our future performance.</w:t>
      </w:r>
    </w:p>
    <w:p>
      <w:pPr>
        <w:spacing w:after="0" w:line="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often has been instituted against that company. We also may face securities class-action litigation if we cannot obtain regulatory approvals for or if we otherwise fail to commercialize our product candidates.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16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apply our available funds, and we may not use these funds effectively, which could affect our results of operations and cause our stock price to decline.</w:t>
      </w:r>
    </w:p>
    <w:p>
      <w:pPr>
        <w:spacing w:after="0" w:line="169"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Our management will have broad discretion in the application of our existing cash, cash equivalents and marketable securities and could spend these funds in ways that do not improve our results of operations or enhance the value of our common stock. The failure by our management to apply our available funds effectively could result in financial losses that could cause the price of our common stock to decline and delay the development of our product candidates and preclinical programs. Pending their use, we may invest our available funds in a manner that does not produce income or that loses value.</w:t>
      </w:r>
    </w:p>
    <w:p>
      <w:pPr>
        <w:spacing w:after="0" w:line="160"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such companies may make our common stock less attractive to investors.</w:t>
      </w:r>
    </w:p>
    <w:p>
      <w:pPr>
        <w:spacing w:after="0" w:line="66"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For so long as we remain an “emerging growth company,” or EGC, as defined in the JOBS Act, we are permitted and intend to rely on exemptions from certain disclosure requirements that are applicable to other public companies that are not EGCs. These exemptions include:</w:t>
      </w:r>
    </w:p>
    <w:p>
      <w:pPr>
        <w:spacing w:after="0" w:line="115" w:lineRule="exact"/>
        <w:rPr>
          <w:sz w:val="20"/>
          <w:szCs w:val="20"/>
          <w:color w:val="auto"/>
        </w:rPr>
      </w:pPr>
    </w:p>
    <w:p>
      <w:pPr>
        <w:ind w:left="1000" w:right="80" w:hanging="323"/>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Section 404 of the Sarbanes-Oxley Act of 2002;</w:t>
      </w:r>
    </w:p>
    <w:p>
      <w:pPr>
        <w:spacing w:after="0" w:line="170" w:lineRule="exact"/>
        <w:rPr>
          <w:rFonts w:ascii="Arial" w:cs="Arial" w:eastAsia="Arial" w:hAnsi="Arial"/>
          <w:sz w:val="18"/>
          <w:szCs w:val="18"/>
          <w:color w:val="auto"/>
        </w:rPr>
      </w:pPr>
    </w:p>
    <w:p>
      <w:pPr>
        <w:ind w:left="1000" w:right="240" w:hanging="323"/>
        <w:spacing w:after="0" w:line="26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1" w:lineRule="exact"/>
        <w:rPr>
          <w:rFonts w:ascii="Arial" w:cs="Arial" w:eastAsia="Arial" w:hAnsi="Arial"/>
          <w:sz w:val="18"/>
          <w:szCs w:val="18"/>
          <w:color w:val="auto"/>
        </w:rPr>
      </w:pPr>
    </w:p>
    <w:p>
      <w:pPr>
        <w:ind w:left="1000" w:hanging="32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1000" w:right="460" w:hanging="323"/>
        <w:spacing w:after="0" w:line="308"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We may take advantage of these exemptions until we are no longer an EGC. We would cease to be an EGC upon the earlier of: (i) the last day of the fiscal year in which we have total annual gross revenue of $1.07 billion or more; (ii) the last day of the fiscal year following the fifth anniversary of the date of the completion of our IPO, which is December 31, 2020;</w:t>
      </w:r>
    </w:p>
    <w:p>
      <w:pPr>
        <w:ind w:left="320" w:hanging="318"/>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during the previous three years; or</w:t>
      </w:r>
    </w:p>
    <w:p>
      <w:pPr>
        <w:spacing w:after="0" w:line="7" w:lineRule="exact"/>
        <w:rPr>
          <w:rFonts w:ascii="Arial" w:cs="Arial" w:eastAsia="Arial" w:hAnsi="Arial"/>
          <w:sz w:val="17"/>
          <w:szCs w:val="17"/>
          <w:color w:val="auto"/>
        </w:rPr>
      </w:pPr>
    </w:p>
    <w:p>
      <w:pPr>
        <w:ind w:right="160" w:firstLine="2"/>
        <w:spacing w:after="0" w:line="239" w:lineRule="auto"/>
        <w:tabs>
          <w:tab w:leader="none" w:pos="3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$700.0 million as of June 30th.</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We expect to continue to take advantage of some, but not all, of the available exemptions. Even after we no longer qualify as an emerging growth company, we might still qualify as a smaller reporting company, or SRC, which would allow us to take advantage of many of the same exemptions from disclosure requirements, including reduced disclosure obligations regarding executive compensation.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 and may decline.</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4"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As a public company, and particularly after we are no longer an EGC or SRC, we incur significant legal, accounting and other expenses that we did not incur as a private company. In addition, the Sarbanes-Oxley Act of 2002, the Dodd-Frank Wall Street Reform and Consumer Protection Act,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 For example, these rules and regulations have made it more difficult and more expensive for us to obtain director and officer liability insurance, and we have been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69" w:lineRule="exact"/>
        <w:rPr>
          <w:sz w:val="20"/>
          <w:szCs w:val="20"/>
          <w:color w:val="auto"/>
        </w:rPr>
      </w:pPr>
    </w:p>
    <w:p>
      <w:pPr>
        <w:ind w:right="680"/>
        <w:spacing w:after="0" w:line="24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Provisions in our amended and restated certificate of incorporation and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remove our current management by making it more difficult for stockholders to replace members of our board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these provisions:</w:t>
      </w:r>
    </w:p>
    <w:p>
      <w:pPr>
        <w:spacing w:after="0" w:line="196" w:lineRule="exact"/>
        <w:rPr>
          <w:sz w:val="20"/>
          <w:szCs w:val="20"/>
          <w:color w:val="auto"/>
        </w:rPr>
      </w:pPr>
    </w:p>
    <w:p>
      <w:pPr>
        <w:ind w:left="1000" w:right="199" w:hanging="323"/>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members of the board is elected each year;</w:t>
      </w:r>
    </w:p>
    <w:p>
      <w:pPr>
        <w:spacing w:after="0" w:line="129" w:lineRule="exact"/>
        <w:rPr>
          <w:rFonts w:ascii="Arial" w:cs="Arial" w:eastAsia="Arial" w:hAnsi="Arial"/>
          <w:sz w:val="18"/>
          <w:szCs w:val="18"/>
          <w:color w:val="auto"/>
        </w:rPr>
      </w:pPr>
    </w:p>
    <w:p>
      <w:pPr>
        <w:ind w:left="1000" w:hanging="323"/>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09" w:lineRule="exact"/>
        <w:rPr>
          <w:rFonts w:ascii="Arial" w:cs="Arial" w:eastAsia="Arial" w:hAnsi="Arial"/>
          <w:sz w:val="17"/>
          <w:szCs w:val="17"/>
          <w:color w:val="auto"/>
        </w:rPr>
      </w:pPr>
    </w:p>
    <w:p>
      <w:pPr>
        <w:ind w:left="1000" w:hanging="323"/>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84" w:lineRule="exact"/>
        <w:rPr>
          <w:rFonts w:ascii="Arial" w:cs="Arial" w:eastAsia="Arial" w:hAnsi="Arial"/>
          <w:sz w:val="18"/>
          <w:szCs w:val="18"/>
          <w:color w:val="auto"/>
        </w:rPr>
      </w:pPr>
    </w:p>
    <w:p>
      <w:pPr>
        <w:ind w:left="1000" w:right="199" w:hanging="323"/>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29" w:lineRule="exact"/>
        <w:rPr>
          <w:rFonts w:ascii="Arial" w:cs="Arial" w:eastAsia="Arial" w:hAnsi="Arial"/>
          <w:sz w:val="18"/>
          <w:szCs w:val="18"/>
          <w:color w:val="auto"/>
        </w:rPr>
      </w:pPr>
    </w:p>
    <w:p>
      <w:pPr>
        <w:ind w:left="1000" w:right="199" w:hanging="323"/>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43" w:lineRule="exact"/>
        <w:rPr>
          <w:rFonts w:ascii="Arial" w:cs="Arial" w:eastAsia="Arial" w:hAnsi="Arial"/>
          <w:sz w:val="18"/>
          <w:szCs w:val="18"/>
          <w:color w:val="auto"/>
        </w:rPr>
      </w:pPr>
    </w:p>
    <w:p>
      <w:pPr>
        <w:ind w:left="1000" w:hanging="323"/>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84" w:lineRule="exact"/>
        <w:rPr>
          <w:rFonts w:ascii="Arial" w:cs="Arial" w:eastAsia="Arial" w:hAnsi="Arial"/>
          <w:sz w:val="18"/>
          <w:szCs w:val="18"/>
          <w:color w:val="auto"/>
        </w:rPr>
      </w:pPr>
    </w:p>
    <w:p>
      <w:pPr>
        <w:ind w:left="1000" w:right="19" w:hanging="323"/>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46" w:lineRule="exact"/>
        <w:rPr>
          <w:rFonts w:ascii="Arial" w:cs="Arial" w:eastAsia="Arial" w:hAnsi="Arial"/>
          <w:sz w:val="18"/>
          <w:szCs w:val="18"/>
          <w:color w:val="auto"/>
        </w:rPr>
      </w:pPr>
    </w:p>
    <w:p>
      <w:pPr>
        <w:ind w:left="1000" w:right="179" w:hanging="323"/>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24" w:lineRule="exact"/>
        <w:rPr>
          <w:sz w:val="20"/>
          <w:szCs w:val="20"/>
          <w:color w:val="auto"/>
        </w:rPr>
      </w:pPr>
    </w:p>
    <w:p>
      <w:pPr>
        <w:ind w:right="159" w:firstLine="648"/>
        <w:spacing w:after="0" w:line="284"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6" w:lineRule="exact"/>
        <w:rPr>
          <w:sz w:val="20"/>
          <w:szCs w:val="20"/>
          <w:color w:val="auto"/>
        </w:rPr>
      </w:pPr>
    </w:p>
    <w:p>
      <w:pPr>
        <w:ind w:right="159"/>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8" w:lineRule="exact"/>
        <w:rPr>
          <w:sz w:val="20"/>
          <w:szCs w:val="20"/>
          <w:color w:val="auto"/>
        </w:rPr>
      </w:pPr>
    </w:p>
    <w:p>
      <w:pPr>
        <w:ind w:right="19" w:firstLine="648"/>
        <w:spacing w:after="0" w:line="253"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is inapplicable to actions arising under the Securities Exchange Act of 1934, as amended, and we likewise do not intend to apply this choice of forum provision to actions arising under the Securities Act of 1933, as amended.</w:t>
      </w:r>
    </w:p>
    <w:p>
      <w:pPr>
        <w:spacing w:after="0" w:line="178" w:lineRule="exact"/>
        <w:rPr>
          <w:sz w:val="20"/>
          <w:szCs w:val="20"/>
          <w:color w:val="auto"/>
        </w:rPr>
      </w:pPr>
    </w:p>
    <w:p>
      <w:pPr>
        <w:ind w:right="19" w:firstLine="648"/>
        <w:spacing w:after="0" w:line="284" w:lineRule="auto"/>
        <w:rPr>
          <w:sz w:val="20"/>
          <w:szCs w:val="20"/>
          <w:color w:val="auto"/>
        </w:rPr>
      </w:pPr>
      <w:r>
        <w:rPr>
          <w:rFonts w:ascii="Arial" w:cs="Arial" w:eastAsia="Arial" w:hAnsi="Arial"/>
          <w:sz w:val="16"/>
          <w:szCs w:val="16"/>
          <w:color w:val="auto"/>
        </w:rPr>
        <w:t>This choice of forum provision may limit a stockholder’s ability to bring a claim that is not arising under the Securities Exchange Act of 1934, as amended, or the Securities Act of 1933, as amended, in a judicial forum that he, she or it finds favorable for disputes with us or our directors, officers or employees, which may discourage such lawsuits against us and our directors, officers and employees even though an action, if successful, might benefit our stockholders.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and business interruption that could have a material adverse effect on our business, financial condition or results of operations.</w:t>
      </w:r>
    </w:p>
    <w:p>
      <w:pPr>
        <w:spacing w:after="0" w:line="164"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69"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6"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Our corporate headquarters are located in Cambridge, Massachusetts. We currently lease all of our facilities, which encompass approximately 74,000 square feet of office and laboratory space and are located at 75 Sidney Street and 64 Sidney Street, Cambridge, Massachusetts.</w:t>
      </w:r>
    </w:p>
    <w:p>
      <w:pPr>
        <w:spacing w:after="0" w:line="12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ind w:right="120" w:firstLine="648"/>
        <w:spacing w:after="0" w:line="274"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2019, we were not party to any legal matters, claims,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16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1420" w:right="20" w:hanging="1516"/>
        <w:spacing w:after="0" w:line="266" w:lineRule="auto"/>
        <w:tabs>
          <w:tab w:leader="none" w:pos="14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right="360" w:firstLine="648"/>
        <w:spacing w:after="0" w:line="270" w:lineRule="auto"/>
        <w:rPr>
          <w:sz w:val="20"/>
          <w:szCs w:val="20"/>
          <w:color w:val="auto"/>
        </w:rPr>
      </w:pPr>
      <w:r>
        <w:rPr>
          <w:rFonts w:ascii="Arial" w:cs="Arial" w:eastAsia="Arial" w:hAnsi="Arial"/>
          <w:sz w:val="17"/>
          <w:szCs w:val="17"/>
          <w:color w:val="auto"/>
        </w:rPr>
        <w:t>Our common stock has been traded on the Nasdaq Global Select Market under the symbol “VYGR” since November 11, 2015. Prior to this time, there was no public market for our common stock. On February 28, 2020, the last reported sale price for our common stock on the Nasdaq Global Select Market was $10.90 per share.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08"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As of February 28, 2020, there were approximately 15 holders of record of our common stock. The actual number of stockholders is greater than this number of record holders, and includes stockholders who are beneficial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owners, but whose shares are held in street name by brokers and other nominees. This number of holders of record also does not include stockholders whose shares may be held in trust by other entities.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We have not paid any cash dividends on our common stock since inception and do not anticipate paying cash dividends in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right="340" w:firstLine="648"/>
        <w:spacing w:after="0" w:line="293" w:lineRule="auto"/>
        <w:rPr>
          <w:sz w:val="20"/>
          <w:szCs w:val="20"/>
          <w:color w:val="auto"/>
        </w:rPr>
      </w:pPr>
      <w:r>
        <w:rPr>
          <w:rFonts w:ascii="Arial" w:cs="Arial" w:eastAsia="Arial" w:hAnsi="Arial"/>
          <w:sz w:val="18"/>
          <w:szCs w:val="18"/>
          <w:color w:val="auto"/>
        </w:rPr>
        <w:t>The following table sets forth information with respect to repurchases of shares of our common stock during the three-month period ended December 31,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Approximate Dollar</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Purchased</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Value of Shares that</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as Part of Publicly</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May Yet</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117"/>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Announced Plans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Be Purchased</w:t>
            </w:r>
          </w:p>
        </w:tc>
      </w:tr>
      <w:tr>
        <w:trPr>
          <w:trHeight w:val="203"/>
        </w:trPr>
        <w:tc>
          <w:tcPr>
            <w:tcW w:w="20" w:type="dxa"/>
            <w:vAlign w:val="bottom"/>
          </w:tcPr>
          <w:p>
            <w:pPr>
              <w:spacing w:after="0"/>
              <w:rPr>
                <w:sz w:val="17"/>
                <w:szCs w:val="17"/>
                <w:color w:val="auto"/>
              </w:rPr>
            </w:pPr>
          </w:p>
        </w:tc>
        <w:tc>
          <w:tcPr>
            <w:tcW w:w="2680" w:type="dxa"/>
            <w:vAlign w:val="bottom"/>
            <w:gridSpan w:val="2"/>
          </w:tcPr>
          <w:p>
            <w:pPr>
              <w:ind w:left="1080"/>
              <w:spacing w:after="0"/>
              <w:rPr>
                <w:sz w:val="20"/>
                <w:szCs w:val="20"/>
                <w:color w:val="auto"/>
              </w:rPr>
            </w:pPr>
            <w:r>
              <w:rPr>
                <w:rFonts w:ascii="Arial" w:cs="Arial" w:eastAsia="Arial" w:hAnsi="Arial"/>
                <w:sz w:val="14"/>
                <w:szCs w:val="14"/>
                <w:b w:val="1"/>
                <w:bCs w:val="1"/>
                <w:color w:val="auto"/>
              </w:rPr>
              <w:t>Period</w:t>
            </w: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or Programs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Under the Plans</w:t>
            </w:r>
          </w:p>
        </w:tc>
      </w:tr>
      <w:tr>
        <w:trPr>
          <w:trHeight w:val="26"/>
        </w:trPr>
        <w:tc>
          <w:tcPr>
            <w:tcW w:w="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October 1 - October 31, 2019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tcPr>
          <w:p>
            <w:pPr>
              <w:spacing w:after="0" w:line="202" w:lineRule="exact"/>
              <w:rPr>
                <w:sz w:val="20"/>
                <w:szCs w:val="20"/>
                <w:color w:val="auto"/>
              </w:rPr>
            </w:pPr>
            <w:r>
              <w:rPr>
                <w:rFonts w:ascii="Arial" w:cs="Arial" w:eastAsia="Arial" w:hAnsi="Arial"/>
                <w:sz w:val="18"/>
                <w:szCs w:val="18"/>
                <w:color w:val="auto"/>
                <w:w w:val="97"/>
              </w:rPr>
              <w:t>November 1 - November 30, 2019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December 1 - December 31, 2019</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58,823</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0.0425</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right="600" w:firstLine="648"/>
        <w:spacing w:after="0" w:line="293" w:lineRule="auto"/>
        <w:rPr>
          <w:sz w:val="20"/>
          <w:szCs w:val="20"/>
          <w:color w:val="auto"/>
        </w:rPr>
      </w:pPr>
      <w:r>
        <w:rPr>
          <w:rFonts w:ascii="Arial" w:cs="Arial" w:eastAsia="Arial" w:hAnsi="Arial"/>
          <w:sz w:val="18"/>
          <w:szCs w:val="18"/>
          <w:color w:val="auto"/>
        </w:rPr>
        <w:t>During the year ended December 31, 2019, the Company modified one of its founder’s performance awards, repurchasing 58,823 shares of common stock previously issued thereunder.</w:t>
      </w:r>
    </w:p>
    <w:p>
      <w:pPr>
        <w:spacing w:after="0" w:line="7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The following financial data should be read in conjunction with “Management’s Discussion and Analysis of Financial Condition and Results of Operations”, the financial statements and related notes, and other financial information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24" w:name="page125"/>
    <w:bookmarkEnd w:id="1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0" w:firstLine="648"/>
        <w:spacing w:after="0"/>
        <w:rPr>
          <w:sz w:val="20"/>
          <w:szCs w:val="20"/>
          <w:color w:val="auto"/>
        </w:rPr>
      </w:pPr>
      <w:r>
        <w:rPr>
          <w:rFonts w:ascii="Arial" w:cs="Arial" w:eastAsia="Arial" w:hAnsi="Arial"/>
          <w:sz w:val="18"/>
          <w:szCs w:val="18"/>
          <w:i w:val="1"/>
          <w:iCs w:val="1"/>
          <w:color w:val="auto"/>
        </w:rPr>
        <w:t>We have derived the statements of operations data for the years ended December 31, 2019, 2018, and 2017, and the balance sheet data as of December 31, 2019 and 2018, from our audited financial statements included elsewhere in this Annual Report on Form 10-K. We have derived the statements of operations data for the years ended December 31, 2016 and 2015, and the balance sheet data as of December 31, 2017, 2016, and 2015, from our audited consolidated financial statements not included in this Annual Report on Form 10-K. Historical results are not necessarily indicative of the results to be expected in future periods.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gridSpan w:val="12"/>
          </w:tcPr>
          <w:p>
            <w:pPr>
              <w:jc w:val="center"/>
              <w:ind w:left="551"/>
              <w:spacing w:after="0"/>
              <w:rPr>
                <w:sz w:val="20"/>
                <w:szCs w:val="20"/>
                <w:color w:val="auto"/>
              </w:rPr>
            </w:pPr>
            <w:r>
              <w:rPr>
                <w:rFonts w:ascii="Arial" w:cs="Arial" w:eastAsia="Arial" w:hAnsi="Arial"/>
                <w:sz w:val="18"/>
                <w:szCs w:val="18"/>
                <w:i w:val="1"/>
                <w:iCs w:val="1"/>
                <w:color w:val="auto"/>
                <w:w w:val="89"/>
              </w:rPr>
              <w:t>(amounts in thousands, except share and per share data)</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0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operations data:</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104,391</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14,220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17,334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36,335</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156,070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37,588</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(9,750)</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(43,597)</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 (provision)</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(43,597)</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29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Net unrealized gain (loss) on</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available-for-sale-securities, net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Comprehensive loss</w:t>
            </w: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(43,568)</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(88,254)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(70,933)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(39,994)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(29,923)</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02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Reconciliation of net loss to net loss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attributable to common</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(43,597)</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(88,288)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29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Accretion of preferred stock to</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980" w:type="dxa"/>
            <w:vAlign w:val="bottom"/>
          </w:tcPr>
          <w:p>
            <w:pPr>
              <w:ind w:left="180"/>
              <w:spacing w:after="0" w:line="189" w:lineRule="exact"/>
              <w:rPr>
                <w:sz w:val="20"/>
                <w:szCs w:val="20"/>
                <w:color w:val="auto"/>
              </w:rPr>
            </w:pPr>
            <w:r>
              <w:rPr>
                <w:rFonts w:ascii="Arial" w:cs="Arial" w:eastAsia="Arial" w:hAnsi="Arial"/>
                <w:sz w:val="18"/>
                <w:szCs w:val="18"/>
                <w:color w:val="auto"/>
              </w:rPr>
              <w:t>Accrued dividends on series A</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preferred stock</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Net loss attributable to common</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(43,597)</w:t>
            </w:r>
          </w:p>
        </w:tc>
        <w:tc>
          <w:tcPr>
            <w:tcW w:w="22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(88,288)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(70,698)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(40,193)</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(38,290)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stockholders</w:t>
            </w:r>
          </w:p>
        </w:tc>
        <w:tc>
          <w:tcPr>
            <w:tcW w:w="56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Arial" w:cs="Arial" w:eastAsia="Arial" w:hAnsi="Arial"/>
                <w:sz w:val="18"/>
                <w:szCs w:val="18"/>
                <w:color w:val="auto"/>
              </w:rPr>
              <w:t>Net loss per share attributable to</w:t>
            </w: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gridSpan w:val="2"/>
          </w:tcPr>
          <w:p>
            <w:pPr>
              <w:spacing w:after="0" w:line="193" w:lineRule="exact"/>
              <w:rPr>
                <w:sz w:val="20"/>
                <w:szCs w:val="20"/>
                <w:color w:val="auto"/>
              </w:rPr>
            </w:pPr>
            <w:r>
              <w:rPr>
                <w:rFonts w:ascii="Arial" w:cs="Arial" w:eastAsia="Arial" w:hAnsi="Arial"/>
                <w:sz w:val="18"/>
                <w:szCs w:val="18"/>
                <w:color w:val="auto"/>
              </w:rPr>
              <w:t>common stockholders—basic and</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22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3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020" w:type="dxa"/>
            <w:vAlign w:val="bottom"/>
            <w:gridSpan w:val="2"/>
          </w:tcPr>
          <w:p>
            <w:pPr>
              <w:spacing w:after="0" w:line="213" w:lineRule="exact"/>
              <w:rPr>
                <w:sz w:val="20"/>
                <w:szCs w:val="20"/>
                <w:color w:val="auto"/>
              </w:rPr>
            </w:pPr>
            <w:r>
              <w:rPr>
                <w:rFonts w:ascii="Arial" w:cs="Arial" w:eastAsia="Arial" w:hAnsi="Arial"/>
                <w:sz w:val="16"/>
                <w:szCs w:val="16"/>
                <w:color w:val="auto"/>
              </w:rPr>
              <w:t>diluted</w:t>
            </w:r>
            <w:r>
              <w:rPr>
                <w:rFonts w:ascii="Arial" w:cs="Arial" w:eastAsia="Arial" w:hAnsi="Arial"/>
                <w:sz w:val="24"/>
                <w:szCs w:val="24"/>
                <w:color w:val="auto"/>
                <w:vertAlign w:val="superscript"/>
              </w:rPr>
              <w:t>(1)</w:t>
            </w:r>
          </w:p>
        </w:tc>
        <w:tc>
          <w:tcPr>
            <w:tcW w:w="5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6"/>
                <w:szCs w:val="16"/>
                <w:color w:val="auto"/>
              </w:rPr>
              <w:t>Weighted average number of</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shares used in net loss per</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20" w:type="dxa"/>
            <w:vAlign w:val="bottom"/>
            <w:gridSpan w:val="2"/>
            <w:shd w:val="clear" w:color="auto" w:fill="CCEEFF"/>
          </w:tcPr>
          <w:p>
            <w:pPr>
              <w:spacing w:after="0" w:line="193" w:lineRule="exact"/>
              <w:rPr>
                <w:sz w:val="20"/>
                <w:szCs w:val="20"/>
                <w:color w:val="auto"/>
              </w:rPr>
            </w:pPr>
            <w:r>
              <w:rPr>
                <w:rFonts w:ascii="Arial" w:cs="Arial" w:eastAsia="Arial" w:hAnsi="Arial"/>
                <w:sz w:val="18"/>
                <w:szCs w:val="18"/>
                <w:color w:val="auto"/>
              </w:rPr>
              <w:t>share attributable to common</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35,898,266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32,065,781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26,803,711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25,302,414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4,191,210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gridSpan w:val="2"/>
            <w:shd w:val="clear" w:color="auto" w:fill="CCEEFF"/>
          </w:tcPr>
          <w:p>
            <w:pPr>
              <w:spacing w:after="0" w:line="213" w:lineRule="exact"/>
              <w:rPr>
                <w:sz w:val="20"/>
                <w:szCs w:val="20"/>
                <w:color w:val="auto"/>
              </w:rPr>
            </w:pPr>
            <w:r>
              <w:rPr>
                <w:rFonts w:ascii="Arial" w:cs="Arial" w:eastAsia="Arial" w:hAnsi="Arial"/>
                <w:sz w:val="16"/>
                <w:szCs w:val="16"/>
                <w:color w:val="auto"/>
              </w:rPr>
              <w:t>stockholders—basic and diluted</w:t>
            </w:r>
            <w:r>
              <w:rPr>
                <w:rFonts w:ascii="Arial" w:cs="Arial" w:eastAsia="Arial" w:hAnsi="Arial"/>
                <w:sz w:val="24"/>
                <w:szCs w:val="24"/>
                <w:color w:val="auto"/>
                <w:vertAlign w:val="superscript"/>
              </w:rPr>
              <w:t>(1)</w:t>
            </w: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380" w:top="530" w:right="137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060"/>
          </w:cols>
          <w:pgMar w:left="1420" w:top="53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marketable debt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84" w:lineRule="auto"/>
        <w:rPr>
          <w:sz w:val="20"/>
          <w:szCs w:val="20"/>
          <w:color w:val="auto"/>
        </w:rPr>
      </w:pPr>
      <w:r>
        <w:rPr>
          <w:rFonts w:ascii="Arial" w:cs="Arial" w:eastAsia="Arial" w:hAnsi="Arial"/>
          <w:sz w:val="18"/>
          <w:szCs w:val="18"/>
          <w:color w:val="auto"/>
        </w:rPr>
        <w:t>Working capital</w:t>
      </w:r>
      <w:r>
        <w:rPr>
          <w:rFonts w:ascii="Arial" w:cs="Arial" w:eastAsia="Arial" w:hAnsi="Arial"/>
          <w:sz w:val="27"/>
          <w:szCs w:val="27"/>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additional paid-in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2"/>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439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5" w:lineRule="exact"/>
        <w:rPr>
          <w:sz w:val="20"/>
          <w:szCs w:val="20"/>
          <w:color w:val="auto"/>
        </w:rPr>
      </w:pPr>
    </w:p>
    <w:p>
      <w:pPr>
        <w:ind w:left="338"/>
        <w:spacing w:after="0"/>
        <w:tabs>
          <w:tab w:leader="none" w:pos="1438" w:val="left"/>
          <w:tab w:leader="none" w:pos="2578" w:val="left"/>
          <w:tab w:leader="none" w:pos="3738" w:val="left"/>
          <w:tab w:leader="none" w:pos="4778"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439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ind w:left="2198"/>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6350</wp:posOffset>
            </wp:positionV>
            <wp:extent cx="575437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98" w:hanging="298"/>
        <w:spacing w:after="0"/>
        <w:tabs>
          <w:tab w:leader="none" w:pos="2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281,533   $   155,806   $   169,052   $   174,418  $   224,345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6350</wp:posOffset>
            </wp:positionV>
            <wp:extent cx="575437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3" w:lineRule="exact"/>
        <w:rPr>
          <w:sz w:val="20"/>
          <w:szCs w:val="20"/>
          <w:color w:val="auto"/>
        </w:rPr>
      </w:pPr>
    </w:p>
    <w:p>
      <w:pPr>
        <w:ind w:left="298"/>
        <w:spacing w:after="0"/>
        <w:tabs>
          <w:tab w:leader="none" w:pos="1418" w:val="left"/>
          <w:tab w:leader="none" w:pos="2578" w:val="left"/>
          <w:tab w:leader="none" w:pos="3718" w:val="left"/>
          <w:tab w:leader="none" w:pos="4758" w:val="left"/>
        </w:tabs>
        <w:rPr>
          <w:sz w:val="20"/>
          <w:szCs w:val="20"/>
          <w:color w:val="auto"/>
        </w:rPr>
      </w:pPr>
      <w:r>
        <w:rPr>
          <w:rFonts w:ascii="Arial" w:cs="Arial" w:eastAsia="Arial" w:hAnsi="Arial"/>
          <w:sz w:val="18"/>
          <w:szCs w:val="18"/>
          <w:color w:val="auto"/>
        </w:rPr>
        <w:t>228,647</w:t>
      </w:r>
      <w:r>
        <w:rPr>
          <w:sz w:val="20"/>
          <w:szCs w:val="20"/>
          <w:color w:val="auto"/>
        </w:rPr>
        <w:tab/>
      </w:r>
      <w:r>
        <w:rPr>
          <w:rFonts w:ascii="Arial" w:cs="Arial" w:eastAsia="Arial" w:hAnsi="Arial"/>
          <w:sz w:val="18"/>
          <w:szCs w:val="18"/>
          <w:color w:val="auto"/>
        </w:rPr>
        <w:t>130,808</w:t>
      </w:r>
      <w:r>
        <w:rPr>
          <w:sz w:val="20"/>
          <w:szCs w:val="20"/>
          <w:color w:val="auto"/>
        </w:rPr>
        <w:tab/>
      </w:r>
      <w:r>
        <w:rPr>
          <w:rFonts w:ascii="Arial" w:cs="Arial" w:eastAsia="Arial" w:hAnsi="Arial"/>
          <w:sz w:val="18"/>
          <w:szCs w:val="18"/>
          <w:color w:val="auto"/>
        </w:rPr>
        <w:t>155,893</w:t>
      </w:r>
      <w:r>
        <w:rPr>
          <w:sz w:val="20"/>
          <w:szCs w:val="20"/>
          <w:color w:val="auto"/>
        </w:rPr>
        <w:tab/>
      </w:r>
      <w:r>
        <w:rPr>
          <w:rFonts w:ascii="Arial" w:cs="Arial" w:eastAsia="Arial" w:hAnsi="Arial"/>
          <w:sz w:val="18"/>
          <w:szCs w:val="18"/>
          <w:color w:val="auto"/>
        </w:rPr>
        <w:t>164,984</w:t>
      </w:r>
      <w:r>
        <w:rPr>
          <w:sz w:val="20"/>
          <w:szCs w:val="20"/>
          <w:color w:val="auto"/>
        </w:rPr>
        <w:tab/>
      </w:r>
      <w:r>
        <w:rPr>
          <w:rFonts w:ascii="Arial" w:cs="Arial" w:eastAsia="Arial" w:hAnsi="Arial"/>
          <w:sz w:val="16"/>
          <w:szCs w:val="16"/>
          <w:color w:val="auto"/>
        </w:rPr>
        <w:t>171,963</w:t>
      </w:r>
    </w:p>
    <w:p>
      <w:pPr>
        <w:spacing w:after="0" w:line="23" w:lineRule="exact"/>
        <w:rPr>
          <w:sz w:val="20"/>
          <w:szCs w:val="20"/>
          <w:color w:val="auto"/>
        </w:rPr>
      </w:pPr>
    </w:p>
    <w:p>
      <w:pPr>
        <w:ind w:left="298"/>
        <w:spacing w:after="0"/>
        <w:tabs>
          <w:tab w:leader="none" w:pos="1418" w:val="left"/>
          <w:tab w:leader="none" w:pos="2578" w:val="left"/>
          <w:tab w:leader="none" w:pos="3718" w:val="left"/>
          <w:tab w:leader="none" w:pos="4758" w:val="left"/>
        </w:tabs>
        <w:rPr>
          <w:sz w:val="20"/>
          <w:szCs w:val="20"/>
          <w:color w:val="auto"/>
        </w:rPr>
      </w:pPr>
      <w:r>
        <w:rPr>
          <w:rFonts w:ascii="Arial" w:cs="Arial" w:eastAsia="Arial" w:hAnsi="Arial"/>
          <w:sz w:val="18"/>
          <w:szCs w:val="18"/>
          <w:color w:val="auto"/>
        </w:rPr>
        <w:t>354,760</w:t>
      </w:r>
      <w:r>
        <w:rPr>
          <w:sz w:val="20"/>
          <w:szCs w:val="20"/>
          <w:color w:val="auto"/>
        </w:rPr>
        <w:tab/>
      </w:r>
      <w:r>
        <w:rPr>
          <w:rFonts w:ascii="Arial" w:cs="Arial" w:eastAsia="Arial" w:hAnsi="Arial"/>
          <w:sz w:val="18"/>
          <w:szCs w:val="18"/>
          <w:color w:val="auto"/>
        </w:rPr>
        <w:t>177,029</w:t>
      </w:r>
      <w:r>
        <w:rPr>
          <w:sz w:val="20"/>
          <w:szCs w:val="20"/>
          <w:color w:val="auto"/>
        </w:rPr>
        <w:tab/>
      </w:r>
      <w:r>
        <w:rPr>
          <w:rFonts w:ascii="Arial" w:cs="Arial" w:eastAsia="Arial" w:hAnsi="Arial"/>
          <w:sz w:val="18"/>
          <w:szCs w:val="18"/>
          <w:color w:val="auto"/>
        </w:rPr>
        <w:t>184,477</w:t>
      </w:r>
      <w:r>
        <w:rPr>
          <w:sz w:val="20"/>
          <w:szCs w:val="20"/>
          <w:color w:val="auto"/>
        </w:rPr>
        <w:tab/>
      </w:r>
      <w:r>
        <w:rPr>
          <w:rFonts w:ascii="Arial" w:cs="Arial" w:eastAsia="Arial" w:hAnsi="Arial"/>
          <w:sz w:val="18"/>
          <w:szCs w:val="18"/>
          <w:color w:val="auto"/>
        </w:rPr>
        <w:t>189,566</w:t>
      </w:r>
      <w:r>
        <w:rPr>
          <w:sz w:val="20"/>
          <w:szCs w:val="20"/>
          <w:color w:val="auto"/>
        </w:rPr>
        <w:tab/>
      </w:r>
      <w:r>
        <w:rPr>
          <w:rFonts w:ascii="Arial" w:cs="Arial" w:eastAsia="Arial" w:hAnsi="Arial"/>
          <w:sz w:val="16"/>
          <w:szCs w:val="16"/>
          <w:color w:val="auto"/>
        </w:rPr>
        <w:t>229,457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5715</wp:posOffset>
            </wp:positionV>
            <wp:extent cx="575437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3" w:lineRule="exact"/>
        <w:rPr>
          <w:sz w:val="20"/>
          <w:szCs w:val="20"/>
          <w:color w:val="auto"/>
        </w:rPr>
      </w:pPr>
    </w:p>
    <w:p>
      <w:pPr>
        <w:ind w:left="298"/>
        <w:spacing w:after="0"/>
        <w:tabs>
          <w:tab w:leader="none" w:pos="1418" w:val="left"/>
          <w:tab w:leader="none" w:pos="2578" w:val="left"/>
          <w:tab w:leader="none" w:pos="3718" w:val="left"/>
          <w:tab w:leader="none" w:pos="4758" w:val="left"/>
        </w:tabs>
        <w:rPr>
          <w:sz w:val="20"/>
          <w:szCs w:val="20"/>
          <w:color w:val="auto"/>
        </w:rPr>
      </w:pPr>
      <w:r>
        <w:rPr>
          <w:rFonts w:ascii="Arial" w:cs="Arial" w:eastAsia="Arial" w:hAnsi="Arial"/>
          <w:sz w:val="18"/>
          <w:szCs w:val="18"/>
          <w:color w:val="auto"/>
        </w:rPr>
        <w:t>412,264</w:t>
      </w:r>
      <w:r>
        <w:rPr>
          <w:sz w:val="20"/>
          <w:szCs w:val="20"/>
          <w:color w:val="auto"/>
        </w:rPr>
        <w:tab/>
      </w:r>
      <w:r>
        <w:rPr>
          <w:rFonts w:ascii="Arial" w:cs="Arial" w:eastAsia="Arial" w:hAnsi="Arial"/>
          <w:sz w:val="18"/>
          <w:szCs w:val="18"/>
          <w:color w:val="auto"/>
        </w:rPr>
        <w:t>315,630</w:t>
      </w:r>
      <w:r>
        <w:rPr>
          <w:sz w:val="20"/>
          <w:szCs w:val="20"/>
          <w:color w:val="auto"/>
        </w:rPr>
        <w:tab/>
      </w:r>
      <w:r>
        <w:rPr>
          <w:rFonts w:ascii="Arial" w:cs="Arial" w:eastAsia="Arial" w:hAnsi="Arial"/>
          <w:sz w:val="18"/>
          <w:szCs w:val="18"/>
          <w:color w:val="auto"/>
        </w:rPr>
        <w:t>295,051</w:t>
      </w:r>
      <w:r>
        <w:rPr>
          <w:sz w:val="20"/>
          <w:szCs w:val="20"/>
          <w:color w:val="auto"/>
        </w:rPr>
        <w:tab/>
      </w:r>
      <w:r>
        <w:rPr>
          <w:rFonts w:ascii="Arial" w:cs="Arial" w:eastAsia="Arial" w:hAnsi="Arial"/>
          <w:sz w:val="18"/>
          <w:szCs w:val="18"/>
          <w:color w:val="auto"/>
        </w:rPr>
        <w:t>225,989</w:t>
      </w:r>
      <w:r>
        <w:rPr>
          <w:sz w:val="20"/>
          <w:szCs w:val="20"/>
          <w:color w:val="auto"/>
        </w:rPr>
        <w:tab/>
      </w:r>
      <w:r>
        <w:rPr>
          <w:rFonts w:ascii="Arial" w:cs="Arial" w:eastAsia="Arial" w:hAnsi="Arial"/>
          <w:sz w:val="16"/>
          <w:szCs w:val="16"/>
          <w:color w:val="auto"/>
        </w:rPr>
        <w:t>219,147</w:t>
      </w:r>
    </w:p>
    <w:p>
      <w:pPr>
        <w:spacing w:after="0" w:line="23" w:lineRule="exact"/>
        <w:rPr>
          <w:sz w:val="20"/>
          <w:szCs w:val="20"/>
          <w:color w:val="auto"/>
        </w:rPr>
      </w:pPr>
    </w:p>
    <w:p>
      <w:pPr>
        <w:ind w:left="398"/>
        <w:spacing w:after="0"/>
        <w:tabs>
          <w:tab w:leader="none" w:pos="1518" w:val="left"/>
          <w:tab w:leader="none" w:pos="2578" w:val="left"/>
          <w:tab w:leader="none" w:pos="3718" w:val="left"/>
          <w:tab w:leader="none" w:pos="4758" w:val="left"/>
        </w:tabs>
        <w:rPr>
          <w:sz w:val="20"/>
          <w:szCs w:val="20"/>
          <w:color w:val="auto"/>
        </w:rPr>
      </w:pPr>
      <w:r>
        <w:rPr>
          <w:rFonts w:ascii="Arial" w:cs="Arial" w:eastAsia="Arial" w:hAnsi="Arial"/>
          <w:sz w:val="18"/>
          <w:szCs w:val="18"/>
          <w:color w:val="auto"/>
        </w:rPr>
        <w:t>99,512</w:t>
      </w:r>
      <w:r>
        <w:rPr>
          <w:sz w:val="20"/>
          <w:szCs w:val="20"/>
          <w:color w:val="auto"/>
        </w:rPr>
        <w:tab/>
      </w:r>
      <w:r>
        <w:rPr>
          <w:rFonts w:ascii="Arial" w:cs="Arial" w:eastAsia="Arial" w:hAnsi="Arial"/>
          <w:sz w:val="18"/>
          <w:szCs w:val="18"/>
          <w:color w:val="auto"/>
        </w:rPr>
        <w:t>46,446</w:t>
      </w:r>
      <w:r>
        <w:rPr>
          <w:sz w:val="20"/>
          <w:szCs w:val="20"/>
          <w:color w:val="auto"/>
        </w:rPr>
        <w:tab/>
      </w:r>
      <w:r>
        <w:rPr>
          <w:rFonts w:ascii="Arial" w:cs="Arial" w:eastAsia="Arial" w:hAnsi="Arial"/>
          <w:sz w:val="18"/>
          <w:szCs w:val="18"/>
          <w:color w:val="auto"/>
        </w:rPr>
        <w:t>134,051</w:t>
      </w:r>
      <w:r>
        <w:rPr>
          <w:sz w:val="20"/>
          <w:szCs w:val="20"/>
          <w:color w:val="auto"/>
        </w:rPr>
        <w:tab/>
      </w:r>
      <w:r>
        <w:rPr>
          <w:rFonts w:ascii="Arial" w:cs="Arial" w:eastAsia="Arial" w:hAnsi="Arial"/>
          <w:sz w:val="18"/>
          <w:szCs w:val="18"/>
          <w:color w:val="auto"/>
        </w:rPr>
        <w:t>135,922</w:t>
      </w:r>
      <w:r>
        <w:rPr>
          <w:sz w:val="20"/>
          <w:szCs w:val="20"/>
          <w:color w:val="auto"/>
        </w:rPr>
        <w:tab/>
      </w:r>
      <w:r>
        <w:rPr>
          <w:rFonts w:ascii="Arial" w:cs="Arial" w:eastAsia="Arial" w:hAnsi="Arial"/>
          <w:sz w:val="16"/>
          <w:szCs w:val="16"/>
          <w:color w:val="auto"/>
        </w:rPr>
        <w:t>169,074</w:t>
      </w:r>
    </w:p>
    <w:p>
      <w:pPr>
        <w:spacing w:after="0" w:line="152" w:lineRule="exact"/>
        <w:rPr>
          <w:sz w:val="20"/>
          <w:szCs w:val="20"/>
          <w:color w:val="auto"/>
        </w:rPr>
      </w:pPr>
    </w:p>
    <w:p>
      <w:pPr>
        <w:sectPr>
          <w:pgSz w:w="11900" w:h="16838" w:orient="portrait"/>
          <w:cols w:equalWidth="0" w:num="2">
            <w:col w:w="3240" w:space="342"/>
            <w:col w:w="5478"/>
          </w:cols>
          <w:pgMar w:left="1420" w:top="530" w:right="1419" w:bottom="1440" w:gutter="0" w:footer="0" w:header="0"/>
          <w:type w:val="continuous"/>
        </w:sectPr>
      </w:pPr>
    </w:p>
    <w:p>
      <w:pPr>
        <w:ind w:right="240" w:firstLine="2"/>
        <w:spacing w:after="0" w:line="312" w:lineRule="auto"/>
        <w:tabs>
          <w:tab w:leader="none" w:pos="204" w:val="left"/>
        </w:tabs>
        <w:numPr>
          <w:ilvl w:val="0"/>
          <w:numId w:val="67"/>
        </w:numPr>
        <w:rPr>
          <w:rFonts w:ascii="Arial" w:cs="Arial" w:eastAsia="Arial" w:hAnsi="Arial"/>
          <w:sz w:val="13"/>
          <w:szCs w:val="13"/>
          <w:color w:val="auto"/>
        </w:rPr>
      </w:pPr>
      <w:r>
        <w:rPr>
          <w:rFonts w:ascii="Arial" w:cs="Arial" w:eastAsia="Arial" w:hAnsi="Arial"/>
          <w:sz w:val="13"/>
          <w:szCs w:val="13"/>
          <w:color w:val="auto"/>
        </w:rPr>
        <w:t>See Statements of Operations Data and Note 2 to our financial statements for further details on the calculation of net loss per share, basic and diluted, attributable to common stockholders and the weighted-average number of shares used in the computation of the per share amounts.</w:t>
      </w:r>
    </w:p>
    <w:p>
      <w:pPr>
        <w:spacing w:after="0" w:line="138" w:lineRule="exact"/>
        <w:rPr>
          <w:rFonts w:ascii="Arial" w:cs="Arial" w:eastAsia="Arial" w:hAnsi="Arial"/>
          <w:sz w:val="13"/>
          <w:szCs w:val="13"/>
          <w:color w:val="auto"/>
        </w:rPr>
      </w:pPr>
    </w:p>
    <w:p>
      <w:pPr>
        <w:ind w:right="40" w:firstLine="2"/>
        <w:spacing w:after="0" w:line="273" w:lineRule="auto"/>
        <w:tabs>
          <w:tab w:leader="none" w:pos="204"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for further details regarding our current assets and current liabilities.</w:t>
      </w:r>
    </w:p>
    <w:p>
      <w:pPr>
        <w:spacing w:after="0" w:line="255" w:lineRule="exact"/>
        <w:rPr>
          <w:sz w:val="20"/>
          <w:szCs w:val="20"/>
          <w:color w:val="auto"/>
        </w:rPr>
      </w:pPr>
    </w:p>
    <w:p>
      <w:pPr>
        <w:ind w:left="1520" w:right="600" w:hanging="1516"/>
        <w:spacing w:after="0" w:line="266" w:lineRule="auto"/>
        <w:tabs>
          <w:tab w:leader="none" w:pos="15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We are a clinical-stage gene therapy company focused on developing life-changing treatments for patients suffering from severe neurological diseases. We focus on neurological diseases where we believe an adeno-associated virus, or AAV, gene therapy approach that either increases or decreases the production of a specific protein can slow or reduce the symptoms experienced by patients, and therefore have a clinically meaningful impact. We have built a gene therapy platform that we believe positions us to be a leading company at the intersection of AAV gene therapy and severe neurological disease. Our gene therapy platform enables us to engineer, optimize, manufacture and deliver our AAV-based gene therapies that have the potential to provide durable efficacy following a single administration.</w:t>
      </w:r>
    </w:p>
    <w:p>
      <w:pPr>
        <w:spacing w:after="0" w:line="180"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Additionally, we are working to identify novel AAV capsids, which are the outer viral protein shells that enclose the genetic material of the virus payload.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Our manufacturing process employs an established system that we believe will enable production of high quality AAV vectors at commercial-scale. In addition to our capsid optimization efforts, we leverage novel delivery paradigms, established routes of administration, and advances in dosing techniques to optimize delivery of our AAV gene therapies to target tissues, regions and cell types that are critical to the disease of interest. We believe we can achieve this directly, with targeted infusions to discrete regions of the brain, the spinal cord, or systemically, in conjunction with our novel capsids.</w:t>
      </w:r>
    </w:p>
    <w:p>
      <w:pPr>
        <w:spacing w:after="0" w:line="177"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Our business strategy focuses on discovering, developing, manufacturing and commercializing our gene therapy programs. As part of this strategy, we have developed core competencies specific to AAV gene therapy development and manufacturing and are beginning to build our commercial infrastructure. This business strategy also includes business development activities that may include in-licensing activities or partnering certain programs in specific geographies with collaborators, as we have demonstrated through our collaborations, including those with Sanofi Genzyme Corporation, which we refer to as Sanofi Genzyme, AbbVie Biotechnology Ltd and AbbVie Ireland Unlimited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Company, which we collectively refer to as AbbVie, and Neurocrine Biosciences, Inc., which we refer to as Neurocrine. Since our inception, our operations have focused on organizing and staffing our company, business planning, raising capital, establishing our intellectual property portfolio, determining which neurological diseases to pursue, advancing our product candidates including delivery and manufacturing, and conducting preclinical studies and clinical trials. We do not have any product candidates approved for sale and have not generated any revenue from product sales. We have funded our operations primarily through private placements of redeemable convertible preferred stock, public offerings of our common stock, and our strategic collaborations, including our collaboration with Sanofi Genzyme, or the Sanofi Genzyme Collaboration, which commenced in February 2015 and was terminated in June 2019, our collaboration with AbbVie focusing on tau-related disease, or the AbbVie Tau Collaboration, which commenced in February 2018, our collaboration with AbbVie focusing on pathological species of alpha-synuclein, or the AbbVie Alpha-Synuclein Collaboration which commenced in February 2019, and our collaboration with Neurocrine, or the Neurocrine Collaboration, which commenced in March 2019.</w:t>
      </w:r>
    </w:p>
    <w:p>
      <w:pPr>
        <w:spacing w:after="0" w:line="16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November 7, 2017, we completed the sale of 5,175,000 shares of common stock to the public at an offering price of $12.00 per share, including 675,000 shares of common stock issued upon the full exercise by the underwriters of their option to purchase additional shares, resulting in net proceeds of $58.0 million after deducting underwriting discounts, commissions, and offering expenses payable by us. On March 11, 2019, in connection with our collaboration with Neurocrine, we sold 4,179,728 shares of common stock to Neurocrine at a price of $11.9625 per share, resulting in net proceeds to us of $50.0 million.</w:t>
      </w:r>
    </w:p>
    <w:p>
      <w:pPr>
        <w:spacing w:after="0" w:line="190"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Since inception, we have incurred significant operating losses. Our net losses were $43.6 million, $88.3 million, and $70.7 million for the years ended December 31, 2019, 2018, and 2017, respectively. As of December 31, 2019, we had an accumulated deficit of $312.6 million. We expect to continue to incur significant expenses and operating losses for the foreseeable future. We anticipate that our expenses will increase significantly in connection with our ongoing activities, as we:</w:t>
      </w:r>
    </w:p>
    <w:p>
      <w:pPr>
        <w:spacing w:after="0" w:line="190" w:lineRule="exact"/>
        <w:rPr>
          <w:sz w:val="20"/>
          <w:szCs w:val="20"/>
          <w:color w:val="auto"/>
        </w:rPr>
      </w:pPr>
    </w:p>
    <w:p>
      <w:pPr>
        <w:ind w:left="1000" w:right="440" w:hanging="323"/>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capsid engineering and payload development, manufacturing, dosing, and delivery techniques;</w:t>
      </w:r>
    </w:p>
    <w:p>
      <w:pPr>
        <w:spacing w:after="0" w:line="170" w:lineRule="exact"/>
        <w:rPr>
          <w:rFonts w:ascii="Arial" w:cs="Arial" w:eastAsia="Arial" w:hAnsi="Arial"/>
          <w:sz w:val="18"/>
          <w:szCs w:val="18"/>
          <w:color w:val="auto"/>
        </w:rPr>
      </w:pPr>
    </w:p>
    <w:p>
      <w:pPr>
        <w:ind w:left="1000" w:right="500" w:hanging="323"/>
        <w:spacing w:after="0" w:line="342"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work with our collaboration partner Neurocrine to advance VY-AADC (NBIb-1817) as a treatment for Parkinson’s disease through Phase 1 development and the VY-AADC RESTORE-1 Phase 2 clinical trial;</w:t>
      </w:r>
    </w:p>
    <w:p>
      <w:pPr>
        <w:spacing w:after="0" w:line="123" w:lineRule="exact"/>
        <w:rPr>
          <w:rFonts w:ascii="Arial" w:cs="Arial" w:eastAsia="Arial" w:hAnsi="Arial"/>
          <w:sz w:val="16"/>
          <w:szCs w:val="16"/>
          <w:color w:val="auto"/>
        </w:rPr>
      </w:pPr>
    </w:p>
    <w:p>
      <w:pPr>
        <w:ind w:left="1000" w:right="40" w:hanging="323"/>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and continue research and development of, our other programs;</w:t>
      </w:r>
    </w:p>
    <w:p>
      <w:pPr>
        <w:spacing w:after="0" w:line="170" w:lineRule="exact"/>
        <w:rPr>
          <w:rFonts w:ascii="Arial" w:cs="Arial" w:eastAsia="Arial" w:hAnsi="Arial"/>
          <w:sz w:val="18"/>
          <w:szCs w:val="18"/>
          <w:color w:val="auto"/>
        </w:rPr>
      </w:pPr>
    </w:p>
    <w:p>
      <w:pPr>
        <w:ind w:left="1000" w:right="200" w:hanging="323"/>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conduct joint research and development under our strategic collaborations for the research, development, and commercialization of certain of our pipeline programs;</w:t>
      </w:r>
    </w:p>
    <w:p>
      <w:pPr>
        <w:spacing w:after="0" w:line="170" w:lineRule="exact"/>
        <w:rPr>
          <w:rFonts w:ascii="Arial" w:cs="Arial" w:eastAsia="Arial" w:hAnsi="Arial"/>
          <w:sz w:val="18"/>
          <w:szCs w:val="18"/>
          <w:color w:val="auto"/>
        </w:rPr>
      </w:pPr>
    </w:p>
    <w:p>
      <w:pPr>
        <w:ind w:left="1000" w:right="800" w:hanging="323"/>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70" w:lineRule="exact"/>
        <w:rPr>
          <w:rFonts w:ascii="Arial" w:cs="Arial" w:eastAsia="Arial" w:hAnsi="Arial"/>
          <w:sz w:val="18"/>
          <w:szCs w:val="18"/>
          <w:color w:val="auto"/>
        </w:rPr>
      </w:pPr>
    </w:p>
    <w:p>
      <w:pPr>
        <w:ind w:left="1000" w:right="340" w:hanging="323"/>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AAV gene therapies and develop additional programs or product candidates;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225" w:lineRule="exact"/>
        <w:rPr>
          <w:rFonts w:ascii="Arial" w:cs="Arial" w:eastAsia="Arial" w:hAnsi="Arial"/>
          <w:sz w:val="18"/>
          <w:szCs w:val="18"/>
          <w:color w:val="auto"/>
        </w:rPr>
      </w:pPr>
    </w:p>
    <w:p>
      <w:pPr>
        <w:ind w:left="1000" w:right="240" w:hanging="323"/>
        <w:spacing w:after="0" w:line="264"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 obtain and maintain regulatory clearances for devices to deliver our AAV gene therapies, and to provide financial and operating support to partners manufacturing and supplying these devices for use in our clinical development program;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right="220" w:hanging="323"/>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seek marketing and regulatory approvals for VY-AADC (NBIb-1817) or other product candidates or devices that arise from our programs that successfully complete clinical development;</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225" w:lineRule="exact"/>
        <w:rPr>
          <w:rFonts w:ascii="Arial" w:cs="Arial" w:eastAsia="Arial" w:hAnsi="Arial"/>
          <w:sz w:val="18"/>
          <w:szCs w:val="18"/>
          <w:color w:val="auto"/>
        </w:rPr>
      </w:pPr>
    </w:p>
    <w:p>
      <w:pPr>
        <w:ind w:left="1000" w:right="200" w:hanging="323"/>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70" w:lineRule="exact"/>
        <w:rPr>
          <w:rFonts w:ascii="Arial" w:cs="Arial" w:eastAsia="Arial" w:hAnsi="Arial"/>
          <w:sz w:val="18"/>
          <w:szCs w:val="18"/>
          <w:color w:val="auto"/>
        </w:rPr>
      </w:pPr>
    </w:p>
    <w:p>
      <w:pPr>
        <w:ind w:left="1000" w:right="160" w:hanging="323"/>
        <w:spacing w:after="0" w:line="342"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1000" w:right="740" w:hanging="323"/>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product sales for the foreseeable future. For the year ended December 31, 2019, we recognized $31.8 million of collaboration revenue from the Sanofi Genzyme Collaboration, $11.3 million of collaboration revenue from the AbbVie Tau Collaboration, $1.3 million of collaboration revenue from the AbbVie Alpha-Synuclein Collaboration, and $60.0 million of collaboration revenue from the Neurocrine Collaboration. For additional information about our revenue recognition policy related to the collaborations, see the section titled “—Critical Accounting Policies and Estimates—Revenue.”</w:t>
      </w:r>
    </w:p>
    <w:p>
      <w:pPr>
        <w:spacing w:after="0" w:line="162"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For the foreseeable future, we expect substantially all of our revenue will be generated from our collaboration agreements with AbbVie, Neurocrine, and any other strategic relationships we may enter into. If our development efforts are successful, we may also generate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320"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activities, including our program discovery efforts, and the development of our programs and gene therapy platform, which include:</w:t>
      </w:r>
    </w:p>
    <w:p>
      <w:pPr>
        <w:spacing w:after="0" w:line="124" w:lineRule="exact"/>
        <w:rPr>
          <w:sz w:val="20"/>
          <w:szCs w:val="20"/>
          <w:color w:val="auto"/>
        </w:rPr>
      </w:pPr>
    </w:p>
    <w:p>
      <w:pPr>
        <w:ind w:left="1000" w:hanging="323"/>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225" w:lineRule="exact"/>
        <w:rPr>
          <w:rFonts w:ascii="Arial" w:cs="Arial" w:eastAsia="Arial" w:hAnsi="Arial"/>
          <w:sz w:val="18"/>
          <w:szCs w:val="18"/>
          <w:color w:val="auto"/>
        </w:rPr>
      </w:pPr>
    </w:p>
    <w:p>
      <w:pPr>
        <w:ind w:left="1000" w:right="600" w:hanging="323"/>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preclinical activities, manufacturing and production design on our behalf;</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of purchasing lab supplies and non-capital equipment used in designing, developing and manufacturing preclinical study materials;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hanging="323"/>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238" w:lineRule="exact"/>
        <w:rPr>
          <w:rFonts w:ascii="Arial" w:cs="Arial" w:eastAsia="Arial" w:hAnsi="Arial"/>
          <w:sz w:val="18"/>
          <w:szCs w:val="18"/>
          <w:color w:val="auto"/>
        </w:rPr>
      </w:pPr>
    </w:p>
    <w:p>
      <w:pPr>
        <w:ind w:left="1000" w:hanging="323"/>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fees for maintaining licenses under our third-party licensing agreements.</w:t>
      </w:r>
    </w:p>
    <w:p>
      <w:pPr>
        <w:spacing w:after="0" w:line="225" w:lineRule="exact"/>
        <w:rPr>
          <w:sz w:val="20"/>
          <w:szCs w:val="20"/>
          <w:color w:val="auto"/>
        </w:rPr>
      </w:pPr>
    </w:p>
    <w:p>
      <w:pPr>
        <w:jc w:val="both"/>
        <w:ind w:right="520" w:firstLine="648"/>
        <w:spacing w:after="0" w:line="294" w:lineRule="auto"/>
        <w:rPr>
          <w:sz w:val="20"/>
          <w:szCs w:val="20"/>
          <w:color w:val="auto"/>
        </w:rPr>
      </w:pPr>
      <w:r>
        <w:rPr>
          <w:rFonts w:ascii="Arial" w:cs="Arial" w:eastAsia="Arial" w:hAnsi="Arial"/>
          <w:sz w:val="16"/>
          <w:szCs w:val="16"/>
          <w:color w:val="auto"/>
        </w:rPr>
        <w:t>Research and development costs are expensed as incurred. Costs for certain activities, such as manufacturing, preclinical studies, and clinical trials, are generally recognized based on an evaluation of the progress to completion of specific tasks using information and data provided to us by our vendors and collaborators.</w:t>
      </w:r>
    </w:p>
    <w:p>
      <w:pPr>
        <w:spacing w:after="0" w:line="1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83" w:lineRule="exact"/>
        <w:rPr>
          <w:sz w:val="20"/>
          <w:szCs w:val="20"/>
          <w:color w:val="auto"/>
        </w:rPr>
      </w:pPr>
    </w:p>
    <w:p>
      <w:pPr>
        <w:ind w:left="1000" w:hanging="323"/>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38" w:lineRule="exact"/>
        <w:rPr>
          <w:rFonts w:ascii="Arial" w:cs="Arial" w:eastAsia="Arial" w:hAnsi="Arial"/>
          <w:sz w:val="18"/>
          <w:szCs w:val="18"/>
          <w:color w:val="auto"/>
        </w:rPr>
      </w:pPr>
    </w:p>
    <w:p>
      <w:pPr>
        <w:ind w:left="1000" w:hanging="323"/>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238" w:lineRule="exact"/>
        <w:rPr>
          <w:rFonts w:ascii="Arial" w:cs="Arial" w:eastAsia="Arial" w:hAnsi="Arial"/>
          <w:sz w:val="18"/>
          <w:szCs w:val="18"/>
          <w:color w:val="auto"/>
        </w:rPr>
      </w:pPr>
    </w:p>
    <w:p>
      <w:pPr>
        <w:ind w:left="1000" w:hanging="323"/>
        <w:spacing w:after="0"/>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250" w:lineRule="exact"/>
        <w:rPr>
          <w:rFonts w:ascii="Arial" w:cs="Arial" w:eastAsia="Arial" w:hAnsi="Arial"/>
          <w:sz w:val="17"/>
          <w:szCs w:val="17"/>
          <w:color w:val="auto"/>
        </w:rPr>
      </w:pPr>
    </w:p>
    <w:p>
      <w:pPr>
        <w:ind w:left="1000" w:hanging="323"/>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38" w:lineRule="exact"/>
        <w:rPr>
          <w:rFonts w:ascii="Arial" w:cs="Arial" w:eastAsia="Arial" w:hAnsi="Arial"/>
          <w:sz w:val="18"/>
          <w:szCs w:val="18"/>
          <w:color w:val="auto"/>
        </w:rPr>
      </w:pPr>
    </w:p>
    <w:p>
      <w:pPr>
        <w:ind w:left="1000" w:hanging="323"/>
        <w:spacing w:after="0"/>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commercializing the product candidates, if and when approved, whether alone or in collaboration with others;</w:t>
      </w:r>
    </w:p>
    <w:p>
      <w:pPr>
        <w:spacing w:after="0" w:line="221" w:lineRule="exact"/>
        <w:rPr>
          <w:rFonts w:ascii="Arial" w:cs="Arial" w:eastAsia="Arial" w:hAnsi="Arial"/>
          <w:sz w:val="16"/>
          <w:szCs w:val="16"/>
          <w:color w:val="auto"/>
        </w:rPr>
      </w:pPr>
    </w:p>
    <w:p>
      <w:pPr>
        <w:ind w:left="1000" w:right="680" w:hanging="323"/>
        <w:spacing w:after="0" w:line="29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42" w:lineRule="exact"/>
        <w:rPr>
          <w:rFonts w:ascii="Arial" w:cs="Arial" w:eastAsia="Arial" w:hAnsi="Arial"/>
          <w:sz w:val="18"/>
          <w:szCs w:val="18"/>
          <w:color w:val="auto"/>
        </w:rPr>
      </w:pPr>
    </w:p>
    <w:p>
      <w:pPr>
        <w:ind w:left="1000" w:hanging="323"/>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continued acceptable safety profiles of the products following approval; and</w:t>
      </w:r>
    </w:p>
    <w:p>
      <w:pPr>
        <w:spacing w:after="0" w:line="198" w:lineRule="exact"/>
        <w:rPr>
          <w:rFonts w:ascii="Arial" w:cs="Arial" w:eastAsia="Arial" w:hAnsi="Arial"/>
          <w:sz w:val="18"/>
          <w:szCs w:val="18"/>
          <w:color w:val="auto"/>
        </w:rPr>
      </w:pPr>
    </w:p>
    <w:p>
      <w:pPr>
        <w:ind w:left="1000" w:hanging="323"/>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185" w:lineRule="exact"/>
        <w:rPr>
          <w:sz w:val="20"/>
          <w:szCs w:val="20"/>
          <w:color w:val="auto"/>
        </w:rPr>
      </w:pPr>
    </w:p>
    <w:p>
      <w:pPr>
        <w:ind w:right="80" w:firstLine="648"/>
        <w:spacing w:after="0" w:line="324"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Research and development activities are central to our business model. We expect research and development costs to increase significantly for the foreseeable future as our development programs progress, including as we continue to support PD-1101 and PD-1102 and continue to enroll the RESTORE-1 Phase 2 clinical trial of VY-AADC (NBIb-1817) as a treatment for Parkinson’s disease, and move our other product candidates into clinical trials. Additionally, we expect research and development costs associated with activities under our strategic collaborations to increase.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including the RESTORE-1 Phase 2 clinical trial of VY-AADC (NBIb-1817), the expanded efforts in connection with our strategic collaborations, and the ongoing research and development activities and initiation of clinical trials for our other product candidates. These increases will likely include increased costs related to the hiring of additional personnel and fees to outside consultants. We also anticipate increased expenses associated with being a public company, including costs for audit, legal, regulatory, and tax-related services, director and officer insurance premiums, business development activities, and investor relations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1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Other income (expense) consists primarily of the gain (loss) on the equity securities investment in ClearPoint Neuro, Inc. (formerly known as MRI Interventions, Inc), or CLPT.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7"/>
          <w:szCs w:val="17"/>
          <w:color w:val="auto"/>
        </w:rPr>
        <w:t>Our management’s discussion and analysis of our consolidated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206" w:lineRule="exact"/>
        <w:rPr>
          <w:sz w:val="20"/>
          <w:szCs w:val="20"/>
          <w:color w:val="auto"/>
        </w:rPr>
      </w:pPr>
    </w:p>
    <w:p>
      <w:pPr>
        <w:ind w:right="220" w:firstLine="648"/>
        <w:spacing w:after="0" w:line="270"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financial statements require the most significant judgments and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ASC 606</w:t>
      </w:r>
    </w:p>
    <w:p>
      <w:pPr>
        <w:spacing w:after="0" w:line="25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7"/>
          <w:szCs w:val="17"/>
          <w:color w:val="auto"/>
        </w:rPr>
        <w:t xml:space="preserve">As of December 31, 2019, our revenue was generated from the Sanofi Genzyme Collaboration, the AbbVie Tau Collaboration, the AbbVie Alpha-Synuclein Collaboration, and the Neurocrine Collaboration. We recognize revenue in accordance with Financial Accounting Standards Board, or FASB, Accounting Standards Codification, or ASC, Topic 606 </w:t>
      </w: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or ASC 606. Effective January 1, 2018, we adopted the provisions of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modified retrospective transition method. Under this method, we recorded the cumulative effect of initially applying the new standard to all contracts as of the date of adoption.</w:t>
      </w:r>
    </w:p>
    <w:p>
      <w:pPr>
        <w:spacing w:after="0" w:line="21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enter into collaboration agreements which are within the scope of ASC 606, under which we license rights to certain of our product candidates and perform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15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the customer.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promised goods or services in our arrangement typically consist of license rights to our intellectual property or research and development services. We provide options to additional items in the contracts, which are accounted for as separate contracts when the customer elects to exercise such options, unless the option provides a material right to the customer.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the customer to develop the intellectual property on their own or whether the required expertise is readily available and whether the goods or services are integral or dependent to other goods or services in the contract.</w:t>
      </w:r>
    </w:p>
    <w:p>
      <w:pPr>
        <w:spacing w:after="0" w:line="16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estimate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we evaluate the amount of potential payment and the likelihood that the payments will be received. We utilize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7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contracts often include development and regulatory milestone payments which are assessed under the most likely amount method and constrained if it is probable that a significant revenue reversal would occur. Milestone payments that are not within our control or the licensee’s control, such as regulatory approvals, are not considered probable of being achieved until those approvals are received.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revenues in the period of adjustment. To date, we have not recognized any consideration related to the achievement of development, regulatory, or commercial milestone revenue resulting from any of our collaboration arrangements.</w:t>
      </w:r>
    </w:p>
    <w:p>
      <w:pPr>
        <w:spacing w:after="0" w:line="16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consideration related to sales-based royalty revenue resulting from any of our collaboration arrangements.</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allocate the transaction price based on the estimated stand-alone selling price of each of the performance obligations. We must develop assumptions that require judgment to determine the stand-alone selling price for each performance obligation identified in the contract. We utilize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we utilize comparable transactions, industry standards for product development and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we would expect to receive for the satisfaction of each performance obligation.</w:t>
      </w:r>
    </w:p>
    <w:p>
      <w:pPr>
        <w:spacing w:after="0" w:line="16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consideration allocated to each performance obligation is recognized as revenue when control is transferred for the related goods or services.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evaluate the measure of progress each reporting period and, if necessary, adjust the measure of performance and related revenue recognition.</w:t>
      </w:r>
    </w:p>
    <w:p>
      <w:pPr>
        <w:spacing w:after="0" w:line="211" w:lineRule="exact"/>
        <w:rPr>
          <w:sz w:val="20"/>
          <w:szCs w:val="20"/>
          <w:color w:val="auto"/>
        </w:rPr>
      </w:pPr>
    </w:p>
    <w:p>
      <w:pPr>
        <w:ind w:right="380" w:firstLine="648"/>
        <w:spacing w:after="0" w:line="248" w:lineRule="auto"/>
        <w:rPr>
          <w:sz w:val="20"/>
          <w:szCs w:val="20"/>
          <w:color w:val="auto"/>
        </w:rPr>
      </w:pPr>
      <w:r>
        <w:rPr>
          <w:rFonts w:ascii="Arial" w:cs="Arial" w:eastAsia="Arial" w:hAnsi="Arial"/>
          <w:sz w:val="18"/>
          <w:szCs w:val="18"/>
          <w:color w:val="auto"/>
        </w:rPr>
        <w:t>Upfront payments and fees are recorded as deferred revenue upon receipt or when due until we perform our obligations under these arrangements. Amounts are recorded as accounts receivable when our rights to consideration are unconditional.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24"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We record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6"/>
          <w:szCs w:val="16"/>
          <w:color w:val="auto"/>
        </w:rPr>
        <w:t xml:space="preserve">We account for our stock-based compensation awards in accordance with ASC Topic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or ASC 718. ASC 718 requires all stock-based payments to employees, nonemployees,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grants of restricted stock units and stock options, to be recognized as expense in the statements of operations based on their grant date fair values. We estimate the fair value of options granted using the Black-Scholes option pricing model.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use the fair value of our common stock, on the grant date to determine the fair value of restricted stock awards and units.</w:t>
      </w:r>
    </w:p>
    <w:p>
      <w:pPr>
        <w:spacing w:after="0" w:line="235" w:lineRule="exact"/>
        <w:rPr>
          <w:sz w:val="20"/>
          <w:szCs w:val="20"/>
          <w:color w:val="auto"/>
        </w:rPr>
      </w:pPr>
    </w:p>
    <w:p>
      <w:pPr>
        <w:ind w:right="160" w:firstLine="648"/>
        <w:spacing w:after="0" w:line="274" w:lineRule="auto"/>
        <w:rPr>
          <w:sz w:val="20"/>
          <w:szCs w:val="20"/>
          <w:color w:val="auto"/>
        </w:rPr>
      </w:pPr>
      <w:r>
        <w:rPr>
          <w:rFonts w:ascii="Arial" w:cs="Arial" w:eastAsia="Arial" w:hAnsi="Arial"/>
          <w:sz w:val="16"/>
          <w:szCs w:val="16"/>
          <w:color w:val="auto"/>
        </w:rPr>
        <w:t>The Black-Scholes option pricing model requires inputs based on certain subjective assumptions, including (a) the expected stock price volatility, (b) the calculation of expected term of the award, (c) the risk-free interest rate and</w:t>
      </w:r>
    </w:p>
    <w:p>
      <w:pPr>
        <w:spacing w:after="0" w:line="1" w:lineRule="exact"/>
        <w:rPr>
          <w:sz w:val="20"/>
          <w:szCs w:val="20"/>
          <w:color w:val="auto"/>
        </w:rPr>
      </w:pPr>
    </w:p>
    <w:p>
      <w:pPr>
        <w:ind w:right="20" w:firstLine="2"/>
        <w:spacing w:after="0" w:line="254" w:lineRule="auto"/>
        <w:tabs>
          <w:tab w:leader="none" w:pos="2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expected dividends. Due to a lack of company-specific historical and implied volatility data, we base the estimate of expected volatility on the historical volatility of a group of similar companies that are publicly traded, blended with the most recent period of historic volatility of our common stock.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19"/>
        <w:spacing w:after="0" w:line="255" w:lineRule="auto"/>
        <w:rPr>
          <w:sz w:val="20"/>
          <w:szCs w:val="20"/>
          <w:color w:val="auto"/>
        </w:rPr>
      </w:pPr>
      <w:r>
        <w:rPr>
          <w:rFonts w:ascii="Arial" w:cs="Arial" w:eastAsia="Arial" w:hAnsi="Arial"/>
          <w:sz w:val="17"/>
          <w:szCs w:val="17"/>
          <w:color w:val="auto"/>
        </w:rPr>
        <w:t xml:space="preserve">development and life science industry focus. We use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for stock options granted to employees as we do not have sufficient historical exercise data to provide a reasonable basis upon which to estimate the expected term. For stock options granted to non-employees, we utilize the contractual term of the arrangement as the basis for the expected term assumption. The risk-free interest rate is based on a treasury instrument whose term is consistent with the expected term of the stock options. The expected dividend yield is assumed to be zero as we have never paid dividends and have no current plans to pay any dividends on our common stock.</w:t>
      </w:r>
    </w:p>
    <w:p>
      <w:pPr>
        <w:spacing w:after="0" w:line="194" w:lineRule="exact"/>
        <w:rPr>
          <w:sz w:val="20"/>
          <w:szCs w:val="20"/>
          <w:color w:val="auto"/>
        </w:rPr>
      </w:pPr>
    </w:p>
    <w:p>
      <w:pPr>
        <w:ind w:right="79" w:firstLine="648"/>
        <w:spacing w:after="0" w:line="314" w:lineRule="auto"/>
        <w:rPr>
          <w:sz w:val="20"/>
          <w:szCs w:val="20"/>
          <w:color w:val="auto"/>
        </w:rPr>
      </w:pPr>
      <w:r>
        <w:rPr>
          <w:rFonts w:ascii="Arial" w:cs="Arial" w:eastAsia="Arial" w:hAnsi="Arial"/>
          <w:sz w:val="16"/>
          <w:szCs w:val="16"/>
          <w:color w:val="auto"/>
        </w:rPr>
        <w:t>We expense the fair value of our time-based stock-based compensation awards on a straight-line basis over the associated service period, which is generally the period in which the related services are received. We record the expense for stock-based compensation awards subject to performance conditions over the remaining service period when management determines that achievement of the performance condition is probable. Management evaluates if the achievement of a performance condition is probable based on the expected satisfaction of the performance conditions as of the reporting date.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each option issued to employees and directors was estimated at the date of grant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weighted-average assumptions: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278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34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7"/>
                <w:szCs w:val="17"/>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2.2 %</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7"/>
                <w:szCs w:val="17"/>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5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 %</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7"/>
                <w:szCs w:val="17"/>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74.7 %</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74.4 %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73.7 %</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right="19" w:firstLine="648"/>
        <w:spacing w:after="0" w:line="272" w:lineRule="auto"/>
        <w:rPr>
          <w:sz w:val="20"/>
          <w:szCs w:val="20"/>
          <w:color w:val="auto"/>
        </w:rPr>
      </w:pPr>
      <w:r>
        <w:rPr>
          <w:rFonts w:ascii="Arial" w:cs="Arial" w:eastAsia="Arial" w:hAnsi="Arial"/>
          <w:sz w:val="16"/>
          <w:szCs w:val="16"/>
          <w:color w:val="auto"/>
        </w:rPr>
        <w:t>Management concluded that the achievement of the performance milestone for one of the three performance-based awards had been met during 2016. Accordingly, stock-based compensation expense in the amount of $0.3 million and $1.4 million was recorded in the years ended December 31, 2018 and 2017, respectively, related to this award. In December 2019, we modified one of the remaining performance awards, repurchasing 58,823 shares of common stock previously issued to one of our founders. Additionally, we modified the award to vest solely based on time rather than on performance. We revalued the award at the modification date and are recognizing expense on a straight-line basis over the three-year vesting period. Stock-based compensation related to this award was de minimis in in the year ended December 31, 2019. The performance-based milestone of the remaining performance-based award has not been met as of December 31, 2019.</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totaled approximately $15.6 million, $15.7 million, and $9.2 million in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2018, and 2017 respectively. As of December 31, 2019, we had $0.1 million, $4.9 million,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$27.4 million of unrecognized compensation expense related to restricted stock awards, restricted stock units, and stock</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option awards, respectively, which are expected to be recognized over weighted-average remaining vesting periods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3.0 and 2.6 years, respectively. We expect the impact of our stock-based compensation expense for restricted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 awards, restricted stock units, and stock options granted to employees, directors and other service providers to grow 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future periods due to the potential increases in the value of our common stock and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44"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The following table summarizes our results of operations for the years ended December 31, 2019 and 2018, respectively, together with the changes in those items in dollars:</w:t>
      </w:r>
    </w:p>
    <w:p>
      <w:pPr>
        <w:spacing w:after="0" w:line="66"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3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r>
      <w:tr>
        <w:trPr>
          <w:trHeight w:val="196"/>
        </w:trPr>
        <w:tc>
          <w:tcPr>
            <w:tcW w:w="3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4"/>
          </w:tcPr>
          <w:p>
            <w:pPr>
              <w:ind w:left="140"/>
              <w:spacing w:after="0" w:line="196" w:lineRule="exact"/>
              <w:rPr>
                <w:sz w:val="20"/>
                <w:szCs w:val="20"/>
                <w:color w:val="auto"/>
              </w:rPr>
            </w:pPr>
            <w:r>
              <w:rPr>
                <w:rFonts w:ascii="Arial" w:cs="Arial" w:eastAsia="Arial" w:hAnsi="Arial"/>
                <w:sz w:val="18"/>
                <w:szCs w:val="18"/>
                <w:i w:val="1"/>
                <w:iCs w:val="1"/>
                <w:color w:val="auto"/>
              </w:rPr>
              <w:t>(in thousands)</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06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104,391</w:t>
            </w:r>
          </w:p>
        </w:tc>
        <w:tc>
          <w:tcPr>
            <w:tcW w:w="500" w:type="dxa"/>
            <w:vAlign w:val="bottom"/>
            <w:gridSpan w:val="2"/>
            <w:shd w:val="clear" w:color="auto" w:fill="CCEEFF"/>
          </w:tcPr>
          <w:p>
            <w:pPr>
              <w:jc w:val="right"/>
              <w:ind w:right="165"/>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7,619</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5"/>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96,772</w:t>
            </w:r>
          </w:p>
        </w:tc>
        <w:tc>
          <w:tcPr>
            <w:tcW w:w="80" w:type="dxa"/>
            <w:vAlign w:val="bottom"/>
            <w:shd w:val="clear" w:color="auto" w:fill="CCEEFF"/>
          </w:tcPr>
          <w:p>
            <w:pPr>
              <w:spacing w:after="0"/>
              <w:rPr>
                <w:sz w:val="17"/>
                <w:szCs w:val="17"/>
                <w:color w:val="auto"/>
              </w:rPr>
            </w:pPr>
          </w:p>
        </w:tc>
      </w:tr>
      <w:tr>
        <w:trPr>
          <w:trHeight w:val="196"/>
        </w:trPr>
        <w:tc>
          <w:tcPr>
            <w:tcW w:w="30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119,735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64,905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54,830</w:t>
            </w:r>
          </w:p>
        </w:tc>
        <w:tc>
          <w:tcPr>
            <w:tcW w:w="80" w:type="dxa"/>
            <w:vAlign w:val="bottom"/>
            <w:shd w:val="clear" w:color="auto" w:fill="CCEEFF"/>
          </w:tcPr>
          <w:p>
            <w:pPr>
              <w:spacing w:after="0"/>
              <w:rPr>
                <w:sz w:val="17"/>
                <w:szCs w:val="17"/>
                <w:color w:val="auto"/>
              </w:rPr>
            </w:pPr>
          </w:p>
        </w:tc>
      </w:tr>
      <w:tr>
        <w:trPr>
          <w:trHeight w:val="203"/>
        </w:trPr>
        <w:tc>
          <w:tcPr>
            <w:tcW w:w="30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36,335</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33,809</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2,526</w:t>
            </w:r>
          </w:p>
        </w:tc>
        <w:tc>
          <w:tcPr>
            <w:tcW w:w="80" w:type="dxa"/>
            <w:vAlign w:val="bottom"/>
            <w:tcBorders>
              <w:bottom w:val="single" w:sz="8" w:color="CCEEFF"/>
            </w:tcBorders>
          </w:tcPr>
          <w:p>
            <w:pPr>
              <w:spacing w:after="0"/>
              <w:rPr>
                <w:sz w:val="17"/>
                <w:szCs w:val="17"/>
                <w:color w:val="auto"/>
              </w:rPr>
            </w:pPr>
          </w:p>
        </w:tc>
      </w:tr>
      <w:tr>
        <w:trPr>
          <w:trHeight w:val="196"/>
        </w:trPr>
        <w:tc>
          <w:tcPr>
            <w:tcW w:w="30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156,070</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98,714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57,356</w:t>
            </w:r>
          </w:p>
        </w:tc>
        <w:tc>
          <w:tcPr>
            <w:tcW w:w="80" w:type="dxa"/>
            <w:vAlign w:val="bottom"/>
            <w:shd w:val="clear" w:color="auto" w:fill="CCEEFF"/>
          </w:tcPr>
          <w:p>
            <w:pPr>
              <w:spacing w:after="0"/>
              <w:rPr>
                <w:sz w:val="17"/>
                <w:szCs w:val="17"/>
                <w:color w:val="auto"/>
              </w:rPr>
            </w:pPr>
          </w:p>
        </w:tc>
      </w:tr>
      <w:tr>
        <w:trPr>
          <w:trHeight w:val="196"/>
        </w:trPr>
        <w:tc>
          <w:tcPr>
            <w:tcW w:w="3000" w:type="dxa"/>
            <w:vAlign w:val="bottom"/>
          </w:tcPr>
          <w:p>
            <w:pPr>
              <w:spacing w:after="0" w:line="196" w:lineRule="exact"/>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3,147</w:t>
            </w:r>
          </w:p>
        </w:tc>
        <w:tc>
          <w:tcPr>
            <w:tcW w:w="80" w:type="dxa"/>
            <w:vAlign w:val="bottom"/>
            <w:shd w:val="clear" w:color="auto" w:fill="CCEEFF"/>
          </w:tcPr>
          <w:p>
            <w:pPr>
              <w:spacing w:after="0"/>
              <w:rPr>
                <w:sz w:val="17"/>
                <w:szCs w:val="17"/>
                <w:color w:val="auto"/>
              </w:rPr>
            </w:pPr>
          </w:p>
        </w:tc>
      </w:tr>
      <w:tr>
        <w:trPr>
          <w:trHeight w:val="203"/>
        </w:trPr>
        <w:tc>
          <w:tcPr>
            <w:tcW w:w="30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2,308</w:t>
            </w:r>
          </w:p>
        </w:tc>
        <w:tc>
          <w:tcPr>
            <w:tcW w:w="80" w:type="dxa"/>
            <w:vAlign w:val="bottom"/>
            <w:tcBorders>
              <w:bottom w:val="single" w:sz="8" w:color="CCEEFF"/>
            </w:tcBorders>
          </w:tcPr>
          <w:p>
            <w:pPr>
              <w:spacing w:after="0"/>
              <w:rPr>
                <w:sz w:val="17"/>
                <w:szCs w:val="17"/>
                <w:color w:val="auto"/>
              </w:rPr>
            </w:pPr>
          </w:p>
        </w:tc>
      </w:tr>
      <w:tr>
        <w:trPr>
          <w:trHeight w:val="196"/>
        </w:trPr>
        <w:tc>
          <w:tcPr>
            <w:tcW w:w="30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other income</w:t>
            </w:r>
          </w:p>
        </w:tc>
        <w:tc>
          <w:tcPr>
            <w:tcW w:w="8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8,082</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5,455</w:t>
            </w:r>
          </w:p>
        </w:tc>
        <w:tc>
          <w:tcPr>
            <w:tcW w:w="80" w:type="dxa"/>
            <w:vAlign w:val="bottom"/>
            <w:shd w:val="clear" w:color="auto" w:fill="CCEEFF"/>
          </w:tcPr>
          <w:p>
            <w:pPr>
              <w:spacing w:after="0"/>
              <w:rPr>
                <w:sz w:val="17"/>
                <w:szCs w:val="17"/>
                <w:color w:val="auto"/>
              </w:rPr>
            </w:pPr>
          </w:p>
        </w:tc>
      </w:tr>
      <w:tr>
        <w:trPr>
          <w:trHeight w:val="196"/>
        </w:trPr>
        <w:tc>
          <w:tcPr>
            <w:tcW w:w="300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(43,597)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(88,468)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44,871</w:t>
            </w:r>
          </w:p>
        </w:tc>
        <w:tc>
          <w:tcPr>
            <w:tcW w:w="80" w:type="dxa"/>
            <w:vAlign w:val="bottom"/>
          </w:tcPr>
          <w:p>
            <w:pPr>
              <w:spacing w:after="0"/>
              <w:rPr>
                <w:sz w:val="17"/>
                <w:szCs w:val="17"/>
                <w:color w:val="auto"/>
              </w:rPr>
            </w:pPr>
          </w:p>
        </w:tc>
      </w:tr>
      <w:tr>
        <w:trPr>
          <w:trHeight w:val="203"/>
        </w:trPr>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8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7"/>
                <w:szCs w:val="17"/>
                <w:color w:val="auto"/>
              </w:rPr>
            </w:pPr>
          </w:p>
        </w:tc>
      </w:tr>
      <w:tr>
        <w:trPr>
          <w:trHeight w:val="196"/>
        </w:trPr>
        <w:tc>
          <w:tcPr>
            <w:tcW w:w="30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(43,597)</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(88,288)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44,691</w:t>
            </w:r>
          </w:p>
        </w:tc>
        <w:tc>
          <w:tcPr>
            <w:tcW w:w="8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 xml:space="preserve">Collaboration revenue was $104.4 million for the year ended December 31, 2019, and $7.6 million for the year ended December 31, 2018. The $96.8 million increase in collaboration revenue in 2019 was primarily a result of the termination of the Sanofi Genzyme Collaboration in June 2019, as well as our entry into the Neurocrine Collaboration and AbbVie Alpha-Synuclein Collaboration in the beginning of 2019. As a result of the termination, we paid $10.0 million to Sanofi Genzyme and expect to pay an additional $10.0 million within fifteen days of the filing of an investigational new drug, or IND, application for a </w:t>
      </w:r>
      <w:r>
        <w:rPr>
          <w:rFonts w:ascii="Arial" w:cs="Arial" w:eastAsia="Arial" w:hAnsi="Arial"/>
          <w:sz w:val="17"/>
          <w:szCs w:val="17"/>
          <w:color w:val="212529"/>
        </w:rPr>
        <w:t>product candidate incorporating certain intellectual property rights developed under or</w:t>
      </w:r>
      <w:r>
        <w:rPr>
          <w:rFonts w:ascii="Arial" w:cs="Arial" w:eastAsia="Arial" w:hAnsi="Arial"/>
          <w:sz w:val="17"/>
          <w:szCs w:val="17"/>
          <w:color w:val="auto"/>
        </w:rPr>
        <w:t xml:space="preserve"> </w:t>
      </w:r>
      <w:r>
        <w:rPr>
          <w:rFonts w:ascii="Arial" w:cs="Arial" w:eastAsia="Arial" w:hAnsi="Arial"/>
          <w:sz w:val="17"/>
          <w:szCs w:val="17"/>
          <w:color w:val="212529"/>
        </w:rPr>
        <w:t xml:space="preserve">substantially related to VY-HTT01 for Huntington’s disease, or a </w:t>
      </w:r>
      <w:r>
        <w:rPr>
          <w:rFonts w:ascii="Arial" w:cs="Arial" w:eastAsia="Arial" w:hAnsi="Arial"/>
          <w:sz w:val="17"/>
          <w:szCs w:val="17"/>
          <w:color w:val="000000"/>
        </w:rPr>
        <w:t>Post-Termination HD Product. We recognized $31.8 million</w:t>
      </w:r>
      <w:r>
        <w:rPr>
          <w:rFonts w:ascii="Arial" w:cs="Arial" w:eastAsia="Arial" w:hAnsi="Arial"/>
          <w:sz w:val="17"/>
          <w:szCs w:val="17"/>
          <w:color w:val="212529"/>
        </w:rPr>
        <w:t xml:space="preserve"> </w:t>
      </w:r>
      <w:r>
        <w:rPr>
          <w:rFonts w:ascii="Arial" w:cs="Arial" w:eastAsia="Arial" w:hAnsi="Arial"/>
          <w:sz w:val="17"/>
          <w:szCs w:val="17"/>
          <w:color w:val="000000"/>
        </w:rPr>
        <w:t>of revenue related to the Sanofi Genzyme Collaboration in 2019. This amount includes $2.9 million related to research services provided prior to the termination date, $0.2 million of in-kind related services, and $48.7 million of deferred revenue remaining under the agreement at the termination date. These amounts were, or will be, offset by the $10.0 million paid in June 2019 and the $10.0 million expected to be paid to Sanofi Genzyme within fifteen days of the filing of an IND application for a Post-Termination HD Product. Additionally, we recognized $11.3 million, $1.3 million, and $60.0 million of revenue related to the AbbVie Tau Collaboration, AbbVie Alpha-Synuclein Collaboration, and the Neurocrine Collaboration, respectively, for collaboration-related services provided and expenses reimbursed.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 increased by $54.8 million from $64.9 million for the year ended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to $119.7 million for the year ended December 31, 2019. The following table summarizes our research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expenses for the years ended December 31, 2019 and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4"/>
          </w:tcPr>
          <w:p>
            <w:pPr>
              <w:ind w:left="100"/>
              <w:spacing w:after="0" w:line="182" w:lineRule="exact"/>
              <w:rPr>
                <w:sz w:val="20"/>
                <w:szCs w:val="20"/>
                <w:color w:val="auto"/>
              </w:rPr>
            </w:pPr>
            <w:r>
              <w:rPr>
                <w:rFonts w:ascii="Arial" w:cs="Arial" w:eastAsia="Arial" w:hAnsi="Arial"/>
                <w:sz w:val="18"/>
                <w:szCs w:val="18"/>
                <w:i w:val="1"/>
                <w:iCs w:val="1"/>
                <w:color w:val="auto"/>
                <w:w w:val="94"/>
              </w:rPr>
              <w:t>(in thousands)</w:t>
            </w: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1"/>
              </w:rPr>
              <w:t>External research and development expenses</w:t>
            </w:r>
          </w:p>
        </w:tc>
        <w:tc>
          <w:tcPr>
            <w:tcW w:w="820" w:type="dxa"/>
            <w:vAlign w:val="bottom"/>
            <w:gridSpan w:val="2"/>
            <w:shd w:val="clear" w:color="auto" w:fill="CCEEFF"/>
          </w:tcPr>
          <w:p>
            <w:pPr>
              <w:jc w:val="right"/>
              <w:ind w:right="25"/>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64,212</w:t>
            </w:r>
          </w:p>
        </w:tc>
        <w:tc>
          <w:tcPr>
            <w:tcW w:w="480" w:type="dxa"/>
            <w:vAlign w:val="bottom"/>
            <w:gridSpan w:val="2"/>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28,890</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5"/>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35,322</w:t>
            </w:r>
          </w:p>
        </w:tc>
        <w:tc>
          <w:tcPr>
            <w:tcW w:w="1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w w:val="97"/>
              </w:rPr>
              <w:t>Employee and contractor related expenses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38,211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26,075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12,136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Facility, technology, and other expenses</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16,693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License fees</w:t>
            </w:r>
          </w:p>
        </w:tc>
        <w:tc>
          <w:tcPr>
            <w:tcW w:w="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619</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3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w w:val="91"/>
              </w:rPr>
              <w:t>Total research and development expenses</w:t>
            </w:r>
          </w:p>
        </w:tc>
        <w:tc>
          <w:tcPr>
            <w:tcW w:w="6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119,735</w:t>
            </w: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64,905</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54,830</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vMerge w:val="restart"/>
          </w:tcPr>
          <w:p>
            <w:pPr>
              <w:jc w:val="right"/>
              <w:ind w:right="170"/>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change in research and development expense for the year ended December 31, 2019 was primarily attributable to the following:</w:t>
      </w:r>
    </w:p>
    <w:p>
      <w:pPr>
        <w:spacing w:after="0" w:line="169" w:lineRule="exact"/>
        <w:rPr>
          <w:sz w:val="20"/>
          <w:szCs w:val="20"/>
          <w:color w:val="auto"/>
        </w:rPr>
      </w:pPr>
    </w:p>
    <w:p>
      <w:pPr>
        <w:ind w:left="1000" w:right="40" w:hanging="323"/>
        <w:spacing w:after="0" w:line="275"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$35.3 million for increased external research and development costs primarily related to clinical and manufacturing activities on for the Parkinson’s disease program, which we refer to as the VY-AADC Program, and preclinical and manufacturing activities for our VY-HTT01 for Huntington’s disease, which we refer to as our Huntington’s Program.</w:t>
      </w:r>
    </w:p>
    <w:p>
      <w:pPr>
        <w:spacing w:after="0" w:line="185" w:lineRule="exact"/>
        <w:rPr>
          <w:rFonts w:ascii="Arial" w:cs="Arial" w:eastAsia="Arial" w:hAnsi="Arial"/>
          <w:sz w:val="18"/>
          <w:szCs w:val="18"/>
          <w:color w:val="auto"/>
        </w:rPr>
      </w:pPr>
    </w:p>
    <w:p>
      <w:pPr>
        <w:ind w:left="1000" w:right="400" w:hanging="323"/>
        <w:spacing w:after="0" w:line="329"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approximately $12.1 million for increased research and development employee-related and consultant compensation costs (including an increase of $2.7 million in stock-based compensation) as we continue to increase research and development headcount to support our program pipeline; and</w:t>
      </w:r>
    </w:p>
    <w:p>
      <w:pPr>
        <w:spacing w:after="0" w:line="148" w:lineRule="exact"/>
        <w:rPr>
          <w:rFonts w:ascii="Arial" w:cs="Arial" w:eastAsia="Arial" w:hAnsi="Arial"/>
          <w:sz w:val="16"/>
          <w:szCs w:val="16"/>
          <w:color w:val="auto"/>
        </w:rPr>
      </w:pPr>
    </w:p>
    <w:p>
      <w:pPr>
        <w:ind w:left="1000" w:right="80" w:hanging="323"/>
        <w:spacing w:after="0" w:line="324"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approximately $7.4 million for increased facility and other costs including rent, depreciation, maintenance and other expenses due to the additional space leased at 64 Sidney Street and 75 Sidney Street;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2" w:lineRule="exact"/>
        <w:rPr>
          <w:sz w:val="20"/>
          <w:szCs w:val="20"/>
          <w:color w:val="auto"/>
        </w:rPr>
      </w:pPr>
    </w:p>
    <w:p>
      <w:pPr>
        <w:ind w:right="560" w:firstLine="648"/>
        <w:spacing w:after="0" w:line="248" w:lineRule="auto"/>
        <w:rPr>
          <w:sz w:val="20"/>
          <w:szCs w:val="20"/>
          <w:color w:val="auto"/>
        </w:rPr>
      </w:pPr>
      <w:r>
        <w:rPr>
          <w:rFonts w:ascii="Arial" w:cs="Arial" w:eastAsia="Arial" w:hAnsi="Arial"/>
          <w:sz w:val="18"/>
          <w:szCs w:val="18"/>
          <w:color w:val="auto"/>
        </w:rPr>
        <w:t>General and administrative expense increased by $2.5 million from $33.8 million for the year ended December 31, 2018 to $36.3 million for the year ended December 31, 2019. The change in general and administrative expense was primarily attributable to the following:</w:t>
      </w:r>
    </w:p>
    <w:p>
      <w:pPr>
        <w:spacing w:after="0" w:line="196" w:lineRule="exact"/>
        <w:rPr>
          <w:sz w:val="20"/>
          <w:szCs w:val="20"/>
          <w:color w:val="auto"/>
        </w:rPr>
      </w:pPr>
    </w:p>
    <w:p>
      <w:pPr>
        <w:ind w:left="1000" w:hanging="323"/>
        <w:spacing w:after="0" w:line="275"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$6.4 million for increased employee compensation cost due to increases in headcount and stock-based compensation. The increase is offset by the recognition of $5.4 million of stock-based compensation related to the retirement agreement with our former Chief Executive Officer, Dr. Steven Paul for the year ended December 31, 2018;</w:t>
      </w:r>
    </w:p>
    <w:p>
      <w:pPr>
        <w:spacing w:after="0" w:line="185" w:lineRule="exact"/>
        <w:rPr>
          <w:rFonts w:ascii="Arial" w:cs="Arial" w:eastAsia="Arial" w:hAnsi="Arial"/>
          <w:sz w:val="18"/>
          <w:szCs w:val="18"/>
          <w:color w:val="auto"/>
        </w:rPr>
      </w:pPr>
    </w:p>
    <w:p>
      <w:pPr>
        <w:ind w:left="1000" w:hanging="323"/>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$1.1 million for increased legal and intellectual property expenses; and</w:t>
      </w:r>
    </w:p>
    <w:p>
      <w:pPr>
        <w:spacing w:after="0" w:line="238" w:lineRule="exact"/>
        <w:rPr>
          <w:rFonts w:ascii="Arial" w:cs="Arial" w:eastAsia="Arial" w:hAnsi="Arial"/>
          <w:sz w:val="18"/>
          <w:szCs w:val="18"/>
          <w:color w:val="auto"/>
        </w:rPr>
      </w:pPr>
    </w:p>
    <w:p>
      <w:pPr>
        <w:ind w:left="1000" w:right="80" w:hanging="323"/>
        <w:spacing w:after="0" w:line="29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$0.4 million for increased facility and other costs including rent, depreciation, maintenance and other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Interest and other income of approximately $8.1 million and $2.6 million was recognized in the years ended December 31, 2019 and 2018, respectively, related to interest income on marketable securities balances, which increased by $235.0 million during 2019 as a result of our AbbVie Alpha-Synuclein and Neurocrine Collaborations, in addition to gains and losses on our common stock investment in and warrants to purchase shares of common stock of ClearPoint Neuro, Inc. (formerly known as MRI Interventions, Inc.), or CLPT.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income tax payable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2018 and 2017:</w:t>
      </w:r>
    </w:p>
    <w:p>
      <w:pPr>
        <w:spacing w:after="0" w:line="252" w:lineRule="exact"/>
        <w:rPr>
          <w:sz w:val="20"/>
          <w:szCs w:val="20"/>
          <w:color w:val="auto"/>
        </w:rPr>
      </w:pPr>
    </w:p>
    <w:p>
      <w:pPr>
        <w:ind w:right="740" w:firstLine="648"/>
        <w:spacing w:after="0" w:line="251" w:lineRule="auto"/>
        <w:rPr>
          <w:sz w:val="20"/>
          <w:szCs w:val="20"/>
          <w:color w:val="auto"/>
        </w:rPr>
      </w:pPr>
      <w:r>
        <w:rPr>
          <w:rFonts w:ascii="Arial" w:cs="Arial" w:eastAsia="Arial" w:hAnsi="Arial"/>
          <w:sz w:val="18"/>
          <w:szCs w:val="18"/>
          <w:color w:val="auto"/>
        </w:rPr>
        <w:t>The following table summarizes our results of operations for the year ended December 31, 2018 and 2017, respectively, together with the changes in those items in dollars:</w:t>
      </w:r>
    </w:p>
    <w:tbl>
      <w:tblPr>
        <w:tblLayout w:type="fixed"/>
        <w:tblInd w:w="92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2"/>
              </w:rPr>
              <w:t>Year ended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0"/>
              </w:rPr>
              <w:t>December 31,</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4"/>
          </w:tcPr>
          <w:p>
            <w:pPr>
              <w:ind w:left="180"/>
              <w:spacing w:after="0" w:line="196" w:lineRule="exact"/>
              <w:rPr>
                <w:sz w:val="20"/>
                <w:szCs w:val="20"/>
                <w:color w:val="auto"/>
              </w:rPr>
            </w:pPr>
            <w:r>
              <w:rPr>
                <w:rFonts w:ascii="Arial" w:cs="Arial" w:eastAsia="Arial" w:hAnsi="Arial"/>
                <w:sz w:val="18"/>
                <w:szCs w:val="18"/>
                <w:i w:val="1"/>
                <w:iCs w:val="1"/>
                <w:color w:val="auto"/>
              </w:rPr>
              <w:t>(in thousands)</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960" w:type="dxa"/>
            <w:vAlign w:val="bottom"/>
            <w:gridSpan w:val="2"/>
            <w:shd w:val="clear" w:color="auto" w:fill="CCEEFF"/>
          </w:tcPr>
          <w:p>
            <w:pPr>
              <w:jc w:val="right"/>
              <w:ind w:right="65"/>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7,619</w:t>
            </w:r>
          </w:p>
        </w:tc>
        <w:tc>
          <w:tcPr>
            <w:tcW w:w="5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10,135</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64,905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62,260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19,738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14,071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98,714</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expense</w:t>
            </w:r>
          </w:p>
        </w:tc>
        <w:tc>
          <w:tcPr>
            <w:tcW w:w="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(683)</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other income</w:t>
            </w:r>
          </w:p>
        </w:tc>
        <w:tc>
          <w:tcPr>
            <w:tcW w:w="7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2,627</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(88,468)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8"/>
              </w:rPr>
              <w:t>(70,698)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(17,770)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(88,288)</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(70,698)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Collaboration revenue was $7.6 million for the year ended December 31, 2018, and $10.1 million for the year ended December 31, 2017. Collaboration revenue included amounts related to the Sanofi Genzyme Collaboration in addition to research services related to the AbbVie Tau Collaboration, which commenced in February 2018. The decrease in revenue is primarily related the recognition of in connection with Sanofi-Genzyme’s decision not to exercise its option to acquire the ex-U.S. rights to the VY-AADC Program under the Sanofi Genzyme Collaboration, or the PD Option, in the year ended December 31, 2017, the adoption of ASC 606 as of January 1, 2018, which resulted in the use of a proportional performance method in 2018 as compared to the use of straight-line method in 2017, as well as changes in estimates of costs to reach proof of principle on our Huntington’s Program and VY-FXN01 for Friedreich’s ataxia, which we refer to as the FA Program. These reductions were offset by revenue recognized on research services performed under the AbbVie Tau Collaboration.</w:t>
      </w:r>
    </w:p>
    <w:p>
      <w:pPr>
        <w:spacing w:after="0" w:line="210" w:lineRule="exact"/>
        <w:rPr>
          <w:sz w:val="20"/>
          <w:szCs w:val="20"/>
          <w:color w:val="auto"/>
        </w:rPr>
      </w:pPr>
    </w:p>
    <w:p>
      <w:pPr>
        <w:ind w:right="220" w:firstLine="648"/>
        <w:spacing w:after="0" w:line="241" w:lineRule="auto"/>
        <w:rPr>
          <w:sz w:val="20"/>
          <w:szCs w:val="20"/>
          <w:color w:val="auto"/>
        </w:rPr>
      </w:pPr>
      <w:r>
        <w:rPr>
          <w:rFonts w:ascii="Arial" w:cs="Arial" w:eastAsia="Arial" w:hAnsi="Arial"/>
          <w:sz w:val="18"/>
          <w:szCs w:val="18"/>
          <w:color w:val="auto"/>
        </w:rPr>
        <w:t>We recognized $5.5 million of revenue in the year ended December 31, 2017 related to the portion of the upfront consideration under the Sanofi Genzyme Collaboration which had been allocated to Sanofi Genzyme’s rights related to the PD Option. In the year ended December 31, 2017, Sanofi Genzyme decided not to exercise the PD Option, and we recognized all amounts allocated to their option at that time. Additionally, effective January 1, 2018, we adopted the provisions of ASC 606 for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 increased by $2.6 million from $62.3 million for the year ended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to $64.9 million for the year ended December 31, 2018. The following table summarizes our research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expenses, for the year ended December 31, 2018 and 2017, respectively:</w:t>
      </w:r>
    </w:p>
    <w:p>
      <w:pPr>
        <w:spacing w:after="0" w:line="2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69"/>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Change</w:t>
            </w:r>
          </w:p>
        </w:tc>
      </w:tr>
      <w:tr>
        <w:trPr>
          <w:trHeight w:val="196"/>
        </w:trPr>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gridSpan w:val="4"/>
          </w:tcPr>
          <w:p>
            <w:pPr>
              <w:ind w:left="100"/>
              <w:spacing w:after="0" w:line="196" w:lineRule="exact"/>
              <w:rPr>
                <w:sz w:val="20"/>
                <w:szCs w:val="20"/>
                <w:color w:val="auto"/>
              </w:rPr>
            </w:pPr>
            <w:r>
              <w:rPr>
                <w:rFonts w:ascii="Arial" w:cs="Arial" w:eastAsia="Arial" w:hAnsi="Arial"/>
                <w:sz w:val="18"/>
                <w:szCs w:val="18"/>
                <w:i w:val="1"/>
                <w:iCs w:val="1"/>
                <w:color w:val="auto"/>
                <w:w w:val="94"/>
              </w:rPr>
              <w:t>(in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External research and development expenses</w:t>
            </w:r>
          </w:p>
        </w:tc>
        <w:tc>
          <w:tcPr>
            <w:tcW w:w="66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28,890</w:t>
            </w:r>
          </w:p>
        </w:tc>
        <w:tc>
          <w:tcPr>
            <w:tcW w:w="480" w:type="dxa"/>
            <w:vAlign w:val="bottom"/>
            <w:gridSpan w:val="2"/>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33,816</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5"/>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(4,926)</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Employee and contractor related expenses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26,075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20,919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5,156</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Facility, technology, and other expenses</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2,600</w:t>
            </w:r>
          </w:p>
        </w:tc>
      </w:tr>
      <w:tr>
        <w:trPr>
          <w:trHeight w:val="203"/>
        </w:trPr>
        <w:tc>
          <w:tcPr>
            <w:tcW w:w="3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License fees</w:t>
            </w:r>
          </w:p>
        </w:tc>
        <w:tc>
          <w:tcPr>
            <w:tcW w:w="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r>
      <w:tr>
        <w:trPr>
          <w:trHeight w:val="196"/>
        </w:trPr>
        <w:tc>
          <w:tcPr>
            <w:tcW w:w="36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research and development expenses</w:t>
            </w: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64,905</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62,260</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2,645</w:t>
            </w: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The change in research and development expense was primarily attributable to research and development, and included the following:</w:t>
      </w:r>
    </w:p>
    <w:p>
      <w:pPr>
        <w:spacing w:after="0" w:line="183" w:lineRule="exact"/>
        <w:rPr>
          <w:sz w:val="20"/>
          <w:szCs w:val="20"/>
          <w:color w:val="auto"/>
        </w:rPr>
      </w:pPr>
    </w:p>
    <w:p>
      <w:pPr>
        <w:ind w:left="1000" w:right="100" w:hanging="323"/>
        <w:spacing w:after="0" w:line="279"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$5.2 million for increased research and development employee compensation costs as we continued to increase research and development headcount to support our ongoing development of our clinical and preclinical programs and platform;</w:t>
      </w:r>
    </w:p>
    <w:p>
      <w:pPr>
        <w:spacing w:after="0" w:line="182" w:lineRule="exact"/>
        <w:rPr>
          <w:rFonts w:ascii="Arial" w:cs="Arial" w:eastAsia="Arial" w:hAnsi="Arial"/>
          <w:sz w:val="18"/>
          <w:szCs w:val="18"/>
          <w:color w:val="auto"/>
        </w:rPr>
      </w:pPr>
    </w:p>
    <w:p>
      <w:pPr>
        <w:ind w:left="1000" w:right="100" w:hanging="323"/>
        <w:spacing w:after="0" w:line="293"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$2.6 million for increased facility and other costs including rent, depreciation, maintenance and other expenses due to the additional space leased;</w:t>
      </w:r>
    </w:p>
    <w:p>
      <w:pPr>
        <w:spacing w:after="0" w:line="169" w:lineRule="exact"/>
        <w:rPr>
          <w:rFonts w:ascii="Arial" w:cs="Arial" w:eastAsia="Arial" w:hAnsi="Arial"/>
          <w:sz w:val="18"/>
          <w:szCs w:val="18"/>
          <w:color w:val="auto"/>
        </w:rPr>
      </w:pPr>
    </w:p>
    <w:p>
      <w:pPr>
        <w:ind w:left="1000" w:hanging="323"/>
        <w:spacing w:after="0" w:line="230" w:lineRule="exact"/>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offset by approximately $4.8 million for decreased costs of funding research performed by third parties that conduct research and development. This reduction included a decrease in preclinical activities, offset by an increase in clinical and manufacturing activities; further decreased by a reduction of approximately $0.1 million attributable to in</w:t>
      </w:r>
      <w:r>
        <w:rPr>
          <w:rFonts w:ascii="MS PGothic" w:cs="MS PGothic" w:eastAsia="MS PGothic" w:hAnsi="MS PGothic"/>
          <w:sz w:val="16"/>
          <w:szCs w:val="16"/>
          <w:color w:val="auto"/>
        </w:rPr>
        <w:t>‑</w:t>
      </w:r>
      <w:r>
        <w:rPr>
          <w:rFonts w:ascii="Arial" w:cs="Arial" w:eastAsia="Arial" w:hAnsi="Arial"/>
          <w:sz w:val="16"/>
          <w:szCs w:val="16"/>
          <w:color w:val="auto"/>
        </w:rPr>
        <w:t>kind research and development services incurred by Sanofi Genzyme and provided to us under the Sanofi Genzyme Collaboration; and approximately $0.2 million related to decreased licensing costs.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ind w:right="580" w:firstLine="648"/>
        <w:spacing w:after="0" w:line="248" w:lineRule="auto"/>
        <w:rPr>
          <w:sz w:val="20"/>
          <w:szCs w:val="20"/>
          <w:color w:val="auto"/>
        </w:rPr>
      </w:pPr>
      <w:r>
        <w:rPr>
          <w:rFonts w:ascii="Arial" w:cs="Arial" w:eastAsia="Arial" w:hAnsi="Arial"/>
          <w:sz w:val="18"/>
          <w:szCs w:val="18"/>
          <w:color w:val="auto"/>
        </w:rPr>
        <w:t>General and administrative expense increased by $14.1 million from $19.7 million for the year ended December 31, 2017 to $33.8 million for the year ended December 31, 2018. The change in general and administrative expense was primarily attributable to the following:</w:t>
      </w:r>
    </w:p>
    <w:p>
      <w:pPr>
        <w:spacing w:after="0" w:line="223" w:lineRule="exact"/>
        <w:rPr>
          <w:sz w:val="20"/>
          <w:szCs w:val="20"/>
          <w:color w:val="auto"/>
        </w:rPr>
      </w:pPr>
    </w:p>
    <w:p>
      <w:pPr>
        <w:ind w:left="1000" w:right="240" w:hanging="323"/>
        <w:spacing w:after="0" w:line="275"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approximately $9.6 million for increased employee compensation costs as we increased our administrative headcount to support our growing business. The increase included the recognition of $5.4 million of stock-based compensation related to the retirement agreement with our former Chief Executive Officer, Dr. Steven Paul;</w:t>
      </w:r>
    </w:p>
    <w:p>
      <w:pPr>
        <w:spacing w:after="0" w:line="118" w:lineRule="exact"/>
        <w:rPr>
          <w:rFonts w:ascii="Arial" w:cs="Arial" w:eastAsia="Arial" w:hAnsi="Arial"/>
          <w:sz w:val="18"/>
          <w:szCs w:val="18"/>
          <w:color w:val="auto"/>
        </w:rPr>
      </w:pPr>
    </w:p>
    <w:p>
      <w:pPr>
        <w:ind w:left="1000" w:right="620" w:hanging="323"/>
        <w:spacing w:after="0" w:line="29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approximately $2.7 million for increased legal costs for general, business development, and intellectual property support; and</w:t>
      </w:r>
    </w:p>
    <w:p>
      <w:pPr>
        <w:spacing w:after="0" w:line="102" w:lineRule="exact"/>
        <w:rPr>
          <w:rFonts w:ascii="Arial" w:cs="Arial" w:eastAsia="Arial" w:hAnsi="Arial"/>
          <w:sz w:val="18"/>
          <w:szCs w:val="18"/>
          <w:color w:val="auto"/>
        </w:rPr>
      </w:pPr>
    </w:p>
    <w:p>
      <w:pPr>
        <w:ind w:left="1000" w:right="100" w:hanging="323"/>
        <w:spacing w:after="0" w:line="29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approximately $1.7 million for increased facility and other costs including rent, depreciation, maintenance and other expenses.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Other income of approximately $2.6 million and $1.2 million was recognized in the years ended December 31, 2018 and 2017 related to interest income on marketable securities balances offset by losses on our warrants to purchase shares of common stock and our common stock investment in CLPT. The increase in other income is largely a result of higher cash balances year over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12"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We recorded an income tax provision of $0.2 million related to our alternative minimum tax, or AMT, liability resulting in an income tax payable of $0.1 million for the year ended December 31, 2017. The payable was due to the recognition of deferred revenue related to the Sanofi Genzyme Collaboration for income tax purposes. There was no income tax payable for the year ended December 31,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We have funded our operations primarily through private placements of redeemable convertible preferred stock, public offerings of our common stock, the Sanofi Genzyme Collaboration which commenced in February 2015 and was terminated in June 2019, the AbbVie Tau Collaboration which commenced in February 2018, the AbbVie Alpha-Synuclein Collaboration which commenced in February 2019, and our collaboration with Neurocrine Biosciences, or the Neurocrine Collaboration, which commenced in March 2019.</w:t>
      </w:r>
    </w:p>
    <w:p>
      <w:pPr>
        <w:spacing w:after="0" w:line="190"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On November 16, 2015, we closed our initial public offering, or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and commissions and offering expenses payable by us. On November 7, 2017, we sold 5,175,000 shares of common stock to the public at an offering price of $12.00 per share, including 675,000 shares of common stock issued upon the full exercise by the underwriters of their option to purchase additional shares, resulting in net proceeds to us of $58.0 million after deducting underwriting discounts, commissions, and offering expenses payable by us.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2019, we had cash, cash equivalents, and marketable debt securities of $281.5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2019, 2018, and 2017:</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96"/>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89"/>
              </w:rPr>
              <w:t>(in thousands)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Operating activities</w:t>
            </w:r>
          </w:p>
        </w:tc>
        <w:tc>
          <w:tcPr>
            <w:tcW w:w="34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48,666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(15,887)</w:t>
            </w:r>
          </w:p>
        </w:tc>
        <w:tc>
          <w:tcPr>
            <w:tcW w:w="100" w:type="dxa"/>
            <w:vAlign w:val="bottom"/>
          </w:tcPr>
          <w:p>
            <w:pPr>
              <w:spacing w:after="0"/>
              <w:rPr>
                <w:sz w:val="17"/>
                <w:szCs w:val="17"/>
                <w:color w:val="auto"/>
              </w:rPr>
            </w:pPr>
          </w:p>
        </w:tc>
        <w:tc>
          <w:tcPr>
            <w:tcW w:w="240" w:type="dxa"/>
            <w:vAlign w:val="bottom"/>
            <w:gridSpan w:val="2"/>
          </w:tcPr>
          <w:p>
            <w:pPr>
              <w:jc w:val="right"/>
              <w:ind w:right="25"/>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(61,350)</w:t>
            </w:r>
          </w:p>
        </w:tc>
        <w:tc>
          <w:tcPr>
            <w:tcW w:w="100" w:type="dxa"/>
            <w:vAlign w:val="bottom"/>
          </w:tcPr>
          <w:p>
            <w:pPr>
              <w:spacing w:after="0"/>
              <w:rPr>
                <w:sz w:val="17"/>
                <w:szCs w:val="17"/>
                <w:color w:val="auto"/>
              </w:rPr>
            </w:pPr>
          </w:p>
        </w:tc>
      </w:tr>
      <w:tr>
        <w:trPr>
          <w:trHeight w:val="203"/>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26,467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(3,681)</w:t>
            </w:r>
          </w:p>
        </w:tc>
        <w:tc>
          <w:tcPr>
            <w:tcW w:w="100" w:type="dxa"/>
            <w:vAlign w:val="bottom"/>
            <w:shd w:val="clear" w:color="auto" w:fill="CCEEFF"/>
          </w:tcPr>
          <w:p>
            <w:pPr>
              <w:spacing w:after="0"/>
              <w:rPr>
                <w:sz w:val="17"/>
                <w:szCs w:val="17"/>
                <w:color w:val="auto"/>
              </w:rPr>
            </w:pPr>
          </w:p>
        </w:tc>
      </w:tr>
      <w:tr>
        <w:trPr>
          <w:trHeight w:val="203"/>
        </w:trPr>
        <w:tc>
          <w:tcPr>
            <w:tcW w:w="39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80,994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4,749</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59,920</w:t>
            </w:r>
          </w:p>
        </w:tc>
        <w:tc>
          <w:tcPr>
            <w:tcW w:w="100" w:type="dxa"/>
            <w:vAlign w:val="bottom"/>
            <w:tcBorders>
              <w:bottom w:val="single" w:sz="8" w:color="CCEEFF"/>
            </w:tcBorders>
          </w:tcPr>
          <w:p>
            <w:pPr>
              <w:spacing w:after="0"/>
              <w:rPr>
                <w:sz w:val="17"/>
                <w:szCs w:val="17"/>
                <w:color w:val="auto"/>
              </w:rPr>
            </w:pPr>
          </w:p>
        </w:tc>
      </w:tr>
      <w:tr>
        <w:trPr>
          <w:trHeight w:val="196"/>
        </w:trPr>
        <w:tc>
          <w:tcPr>
            <w:tcW w:w="3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1"/>
              </w:rPr>
              <w:t>Net increase (decrease) in cash and cash equivalents</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39,183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15,329</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2" w:lineRule="exact"/>
        <w:rPr>
          <w:sz w:val="20"/>
          <w:szCs w:val="20"/>
          <w:color w:val="auto"/>
        </w:rPr>
      </w:pPr>
    </w:p>
    <w:p>
      <w:pPr>
        <w:ind w:right="80" w:firstLine="648"/>
        <w:spacing w:after="0" w:line="324" w:lineRule="auto"/>
        <w:rPr>
          <w:sz w:val="20"/>
          <w:szCs w:val="20"/>
          <w:color w:val="auto"/>
        </w:rPr>
      </w:pPr>
      <w:r>
        <w:rPr>
          <w:rFonts w:ascii="Arial" w:cs="Arial" w:eastAsia="Arial" w:hAnsi="Arial"/>
          <w:sz w:val="16"/>
          <w:szCs w:val="16"/>
          <w:color w:val="auto"/>
        </w:rPr>
        <w:t>Net cash provided by operating activities was $48.7 million during the year ended December 31, 2019 compared to cash used in operating activities of $15.9 million during the year ended December 31, 2018. The increase in</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cash provided by operating activities was primarily due to an increase in cash received of $157.0 million from the upfront payments related to the AbbVie Alpha-Synuclein Collaboration and the Neurocrine Collaboration, offset by an increase of $57.4 million in operating expenses, net of stock-based compensation and depreciation, as we increased our research and development activities and infrastructure to support our program initiatives.</w:t>
      </w:r>
    </w:p>
    <w:p>
      <w:pPr>
        <w:spacing w:after="0" w:line="17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Net cash used in operating activities was $15.9 million during the year ended December 31, 2018 compared to $61.4 million during the year ended December 31, 2017. The decrease in cash used for operating activities was primarily due to an increase in deferred revenue of $69.0 million from the upfront payment related to the AbbVie Tau Collaboration in 2018, offset by a $16.7 million increase in operating expenses, net of stock-based compensation and depreciation, due to increased research and development activities, as well as higher general and administrative expenses. The decrease in cash used in operating activities was also offset by an increase in prepaid expenses and other current assets as well as a decrease in accrued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12" w:lineRule="exact"/>
        <w:rPr>
          <w:sz w:val="20"/>
          <w:szCs w:val="20"/>
          <w:color w:val="auto"/>
        </w:rPr>
      </w:pPr>
    </w:p>
    <w:p>
      <w:pPr>
        <w:jc w:val="both"/>
        <w:ind w:right="60" w:firstLine="648"/>
        <w:spacing w:after="0" w:line="243" w:lineRule="auto"/>
        <w:rPr>
          <w:sz w:val="20"/>
          <w:szCs w:val="20"/>
          <w:color w:val="auto"/>
        </w:rPr>
      </w:pPr>
      <w:r>
        <w:rPr>
          <w:rFonts w:ascii="Arial" w:cs="Arial" w:eastAsia="Arial" w:hAnsi="Arial"/>
          <w:sz w:val="18"/>
          <w:szCs w:val="18"/>
          <w:color w:val="auto"/>
        </w:rPr>
        <w:t>Net cash used in investing activities was $90.5 million during the year ended December 31, 2019. The cash used in investing activities for the year ended December 31, 2019 was primarily due to purchases of marketable securities of $494.2 million and purchases of property and equipment of $5.1 million, offset by proceeds from maturities of marketable securities of $411.3 million.</w:t>
      </w:r>
    </w:p>
    <w:p>
      <w:pPr>
        <w:spacing w:after="0" w:line="188"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Net cash provided by investing activities was $26.5 million during the year ended December 31, 2018. The cash provided by investing activities for the year ended December 31, 2018 was primarily due to proceeds from maturities of marketable securities of $364.0 million offset by purchase of marketable securities of $333.2 million and purchases of property and equipment of $4.3 million.</w:t>
      </w:r>
    </w:p>
    <w:p>
      <w:pPr>
        <w:spacing w:after="0" w:line="188" w:lineRule="exact"/>
        <w:rPr>
          <w:sz w:val="20"/>
          <w:szCs w:val="20"/>
          <w:color w:val="auto"/>
        </w:rPr>
      </w:pPr>
    </w:p>
    <w:p>
      <w:pPr>
        <w:jc w:val="both"/>
        <w:ind w:right="200" w:firstLine="648"/>
        <w:spacing w:after="0" w:line="270" w:lineRule="auto"/>
        <w:rPr>
          <w:sz w:val="20"/>
          <w:szCs w:val="20"/>
          <w:color w:val="auto"/>
        </w:rPr>
      </w:pPr>
      <w:r>
        <w:rPr>
          <w:rFonts w:ascii="Arial" w:cs="Arial" w:eastAsia="Arial" w:hAnsi="Arial"/>
          <w:sz w:val="17"/>
          <w:szCs w:val="17"/>
          <w:color w:val="auto"/>
        </w:rPr>
        <w:t>Net cash used in investing activities was $3.7 million during the year ended December 31, 2017. The cash used in investing activities for the year ended December 31, 2017 was due to purchases of property and equipment of $4.0 million, offset by net proceeds from maturities and purchases of marketable securities of $0.3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12" w:lineRule="exact"/>
        <w:rPr>
          <w:sz w:val="20"/>
          <w:szCs w:val="20"/>
          <w:color w:val="auto"/>
        </w:rPr>
      </w:pPr>
    </w:p>
    <w:p>
      <w:pPr>
        <w:jc w:val="both"/>
        <w:ind w:right="320" w:firstLine="648"/>
        <w:spacing w:after="0" w:line="294" w:lineRule="auto"/>
        <w:rPr>
          <w:sz w:val="20"/>
          <w:szCs w:val="20"/>
          <w:color w:val="auto"/>
        </w:rPr>
      </w:pPr>
      <w:r>
        <w:rPr>
          <w:rFonts w:ascii="Arial" w:cs="Arial" w:eastAsia="Arial" w:hAnsi="Arial"/>
          <w:sz w:val="16"/>
          <w:szCs w:val="16"/>
          <w:color w:val="auto"/>
        </w:rPr>
        <w:t>Net cash provided by financing activities was $81.0 million during the year ended December 31, 2019 primarily related to the issuance of 4,179,728 shares of our common stock to Neurocrine pursuant to a stock purchase agreement in connection with the Neurocrine Collaboration as well as proceeds from exercises of stock options.</w:t>
      </w:r>
    </w:p>
    <w:p>
      <w:pPr>
        <w:spacing w:after="0" w:line="148"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Net cash provided by financing activities was $4.7 million during the year ended December 31, 2018 related to proceeds from exercises of stock options, and purchases by our employees of our common stock under our employee stock purchase plan.</w:t>
      </w:r>
    </w:p>
    <w:p>
      <w:pPr>
        <w:spacing w:after="0" w:line="182"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Net cash provided by financing activities was $59.9 million during the year ended December 31, 2017 and was driven by the $58.0 million of net proceeds from our sale of common stock in November 2017 and proceeds from exercises of stock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21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or enter into business development transactions when needed or on acceptable terms, we could be forced to delay, reduce or eliminate our research and development programs or any future commercialization efforts.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420" w:firstLine="648"/>
        <w:spacing w:after="0" w:line="248" w:lineRule="auto"/>
        <w:rPr>
          <w:sz w:val="20"/>
          <w:szCs w:val="20"/>
          <w:color w:val="auto"/>
        </w:rPr>
      </w:pPr>
      <w:r>
        <w:rPr>
          <w:rFonts w:ascii="Arial" w:cs="Arial" w:eastAsia="Arial" w:hAnsi="Arial"/>
          <w:sz w:val="18"/>
          <w:szCs w:val="18"/>
          <w:color w:val="auto"/>
        </w:rPr>
        <w:t>Based upon our current operating plan, we expect that our existing cash, cash equivalents, and marketable debt securities will enable us to fund our operating expenses and capital expenditure requirements into mid-2022. Our future capital requirements will depend on many factors, including:</w:t>
      </w:r>
    </w:p>
    <w:p>
      <w:pPr>
        <w:spacing w:after="0" w:line="182" w:lineRule="exact"/>
        <w:rPr>
          <w:sz w:val="20"/>
          <w:szCs w:val="20"/>
          <w:color w:val="auto"/>
        </w:rPr>
      </w:pPr>
    </w:p>
    <w:p>
      <w:pPr>
        <w:ind w:left="1000" w:right="40" w:hanging="323"/>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 and any required companion devices;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scope, progress, results, costs, prioritization, and number of our research and development programs;</w:t>
      </w:r>
    </w:p>
    <w:p>
      <w:pPr>
        <w:spacing w:after="0" w:line="236" w:lineRule="exact"/>
        <w:rPr>
          <w:rFonts w:ascii="Arial" w:cs="Arial" w:eastAsia="Arial" w:hAnsi="Arial"/>
          <w:sz w:val="17"/>
          <w:szCs w:val="17"/>
          <w:color w:val="auto"/>
        </w:rPr>
      </w:pPr>
    </w:p>
    <w:p>
      <w:pPr>
        <w:jc w:val="both"/>
        <w:ind w:left="1000" w:right="80" w:hanging="323"/>
        <w:spacing w:after="0" w:line="259"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progress and status of our strategic collaborations, including any research and development costs for which we are responsible, the potential exercise by our collaboration partners of options to develop or license certain products and product candidates, and our potential receipt of future milestone payments and royalties from our collaboration partners;</w:t>
      </w:r>
    </w:p>
    <w:p>
      <w:pPr>
        <w:spacing w:after="0" w:line="186" w:lineRule="exact"/>
        <w:rPr>
          <w:rFonts w:ascii="Arial" w:cs="Arial" w:eastAsia="Arial" w:hAnsi="Arial"/>
          <w:sz w:val="18"/>
          <w:szCs w:val="18"/>
          <w:color w:val="auto"/>
        </w:rPr>
      </w:pPr>
    </w:p>
    <w:p>
      <w:pPr>
        <w:jc w:val="both"/>
        <w:ind w:left="1000" w:right="20" w:hanging="323"/>
        <w:spacing w:after="0" w:line="286"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65" w:lineRule="exact"/>
        <w:rPr>
          <w:rFonts w:ascii="Arial" w:cs="Arial" w:eastAsia="Arial" w:hAnsi="Arial"/>
          <w:sz w:val="17"/>
          <w:szCs w:val="17"/>
          <w:color w:val="auto"/>
        </w:rPr>
      </w:pPr>
    </w:p>
    <w:p>
      <w:pPr>
        <w:ind w:left="1000" w:hanging="323"/>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1000" w:right="580" w:hanging="323"/>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70" w:lineRule="exact"/>
        <w:rPr>
          <w:rFonts w:ascii="Arial" w:cs="Arial" w:eastAsia="Arial" w:hAnsi="Arial"/>
          <w:sz w:val="18"/>
          <w:szCs w:val="18"/>
          <w:color w:val="auto"/>
        </w:rPr>
      </w:pPr>
    </w:p>
    <w:p>
      <w:pPr>
        <w:ind w:left="1000" w:right="340" w:hanging="323"/>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1000" w:right="200" w:hanging="323"/>
        <w:spacing w:after="0" w:line="264"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including any intellectual property associated with such candidates or technologies, or acquire or invest in other businesses, such as our investment in CLPT;</w:t>
      </w:r>
    </w:p>
    <w:p>
      <w:pPr>
        <w:spacing w:after="0" w:line="181" w:lineRule="exact"/>
        <w:rPr>
          <w:rFonts w:ascii="Arial" w:cs="Arial" w:eastAsia="Arial" w:hAnsi="Arial"/>
          <w:sz w:val="18"/>
          <w:szCs w:val="18"/>
          <w:color w:val="auto"/>
        </w:rPr>
      </w:pPr>
    </w:p>
    <w:p>
      <w:pPr>
        <w:ind w:left="1000" w:right="40" w:hanging="323"/>
        <w:spacing w:after="0" w:line="342"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costs related to evaluating possible alternative devices that may be useful in the delivery of our product candidates, including our potential delivery devices, such as the Variable Trajectory Array Guide, or V-TAG™;</w:t>
      </w:r>
    </w:p>
    <w:p>
      <w:pPr>
        <w:spacing w:after="0" w:line="123" w:lineRule="exact"/>
        <w:rPr>
          <w:rFonts w:ascii="Arial" w:cs="Arial" w:eastAsia="Arial" w:hAnsi="Arial"/>
          <w:sz w:val="16"/>
          <w:szCs w:val="16"/>
          <w:color w:val="auto"/>
        </w:rPr>
      </w:pPr>
    </w:p>
    <w:p>
      <w:pPr>
        <w:ind w:left="1000" w:right="360" w:hanging="323"/>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of advancing our manufacturing capabilities and of securing manufacturing arrangements for pre-commercial and commercial production;</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level of product sales by us or our collaborators from any product candidates for which we obtain marketing approval in the future;</w:t>
      </w:r>
    </w:p>
    <w:p>
      <w:pPr>
        <w:spacing w:after="0" w:line="170" w:lineRule="exact"/>
        <w:rPr>
          <w:rFonts w:ascii="Arial" w:cs="Arial" w:eastAsia="Arial" w:hAnsi="Arial"/>
          <w:sz w:val="18"/>
          <w:szCs w:val="18"/>
          <w:color w:val="auto"/>
        </w:rPr>
      </w:pPr>
    </w:p>
    <w:p>
      <w:pPr>
        <w:ind w:left="1000" w:right="160" w:hanging="323"/>
        <w:spacing w:after="0" w:line="264"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of operating as a public company, meeting applicable financial, regulatory, and quality control standards, fulfilling healthcare compliance requirements, and maintaining adequate product, clinical trial, and directors’ and officers’ liability insurance coverage; and</w:t>
      </w:r>
    </w:p>
    <w:p>
      <w:pPr>
        <w:spacing w:after="0" w:line="194" w:lineRule="exact"/>
        <w:rPr>
          <w:rFonts w:ascii="Arial" w:cs="Arial" w:eastAsia="Arial" w:hAnsi="Arial"/>
          <w:sz w:val="18"/>
          <w:szCs w:val="18"/>
          <w:color w:val="auto"/>
        </w:rPr>
      </w:pPr>
    </w:p>
    <w:p>
      <w:pPr>
        <w:jc w:val="both"/>
        <w:ind w:left="1000" w:right="960" w:hanging="323"/>
        <w:spacing w:after="0" w:line="360"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110" w:lineRule="exact"/>
        <w:rPr>
          <w:sz w:val="20"/>
          <w:szCs w:val="20"/>
          <w:color w:val="auto"/>
        </w:rPr>
      </w:pPr>
    </w:p>
    <w:p>
      <w:pPr>
        <w:ind w:right="20" w:firstLine="648"/>
        <w:spacing w:after="0" w:line="263"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or royalty payments under our collaboration agreements, will be derived from sales of products that may not be commercially available for many years, if at all. Accordingly, we will need to continue to rely on additional financing and business development transactions to achieve our business objectives. Adequate additional financing may not be available to us on acceptable terms, or at all.</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Until such time, if ever, as we can generate product revenues sufficient to achieve profitability, we expect to finance our cash needs through a combination of equity offerings, debt financings, collaborations, strategic alliances and licensing arrangements. We do not have any committed external source of funds other than the amounts we are entitled to receive from our collaboration partners for potential option exercises, the achievement of specified regulatory, and commercial milestones, and royalty payments under our collaboration agreements.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w:t>
      </w:r>
    </w:p>
    <w:p>
      <w:pPr>
        <w:spacing w:after="0" w:line="17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w w:val="92"/>
              </w:rPr>
              <w:t>Less Than</w:t>
            </w: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center"/>
              <w:ind w:left="2"/>
              <w:spacing w:after="0"/>
              <w:rPr>
                <w:sz w:val="20"/>
                <w:szCs w:val="20"/>
                <w:color w:val="auto"/>
              </w:rPr>
            </w:pPr>
            <w:r>
              <w:rPr>
                <w:rFonts w:ascii="Arial" w:cs="Arial" w:eastAsia="Arial" w:hAnsi="Arial"/>
                <w:sz w:val="14"/>
                <w:szCs w:val="14"/>
                <w:b w:val="1"/>
                <w:bCs w:val="1"/>
                <w:color w:val="auto"/>
                <w:w w:val="95"/>
              </w:rPr>
              <w:t>More than</w:t>
            </w:r>
          </w:p>
        </w:tc>
        <w:tc>
          <w:tcPr>
            <w:tcW w:w="820" w:type="dxa"/>
            <w:vAlign w:val="bottom"/>
          </w:tcPr>
          <w:p>
            <w:pPr>
              <w:spacing w:after="0"/>
              <w:rPr>
                <w:sz w:val="16"/>
                <w:szCs w:val="16"/>
                <w:color w:val="auto"/>
              </w:rPr>
            </w:pPr>
          </w:p>
        </w:tc>
      </w:tr>
      <w:tr>
        <w:trPr>
          <w:trHeight w:val="201"/>
        </w:trPr>
        <w:tc>
          <w:tcPr>
            <w:tcW w:w="8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 Year</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9"/>
              </w:rPr>
              <w:t>1 to 3 Years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to 5 Years</w:t>
            </w:r>
          </w:p>
        </w:tc>
        <w:tc>
          <w:tcPr>
            <w:tcW w:w="8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88"/>
              </w:rPr>
              <w:t>5 Years</w:t>
            </w:r>
          </w:p>
        </w:tc>
        <w:tc>
          <w:tcPr>
            <w:tcW w:w="8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gridSpan w:val="2"/>
          </w:tcPr>
          <w:p>
            <w:pPr>
              <w:ind w:left="40"/>
              <w:spacing w:after="0" w:line="196" w:lineRule="exact"/>
              <w:rPr>
                <w:sz w:val="20"/>
                <w:szCs w:val="20"/>
                <w:color w:val="auto"/>
              </w:rPr>
            </w:pPr>
            <w:r>
              <w:rPr>
                <w:rFonts w:ascii="Arial" w:cs="Arial" w:eastAsia="Arial" w:hAnsi="Arial"/>
                <w:sz w:val="18"/>
                <w:szCs w:val="18"/>
                <w:i w:val="1"/>
                <w:iCs w:val="1"/>
                <w:color w:val="auto"/>
              </w:rPr>
              <w:t>(in thousands)</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Operating lease commitments</w:t>
            </w:r>
            <w:r>
              <w:rPr>
                <w:rFonts w:ascii="Arial" w:cs="Arial" w:eastAsia="Arial" w:hAnsi="Arial"/>
                <w:sz w:val="23"/>
                <w:szCs w:val="23"/>
                <w:color w:val="auto"/>
                <w:vertAlign w:val="superscript"/>
              </w:rPr>
              <w:t>(1)</w:t>
            </w:r>
          </w:p>
        </w:tc>
        <w:tc>
          <w:tcPr>
            <w:tcW w:w="76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88"/>
              </w:rPr>
              <w:t>$ 45,830</w:t>
            </w:r>
          </w:p>
        </w:tc>
        <w:tc>
          <w:tcPr>
            <w:tcW w:w="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$ 5,960</w:t>
            </w:r>
          </w:p>
        </w:tc>
        <w:tc>
          <w:tcPr>
            <w:tcW w:w="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$ 12,461</w:t>
            </w:r>
          </w:p>
        </w:tc>
        <w:tc>
          <w:tcPr>
            <w:tcW w:w="90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  13,219</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$ 14,190</w:t>
            </w:r>
          </w:p>
        </w:tc>
        <w:tc>
          <w:tcPr>
            <w:tcW w:w="820" w:type="dxa"/>
            <w:vAlign w:val="bottom"/>
          </w:tcPr>
          <w:p>
            <w:pPr>
              <w:spacing w:after="0"/>
              <w:rPr>
                <w:sz w:val="17"/>
                <w:szCs w:val="17"/>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bl>
    <w:p>
      <w:pPr>
        <w:spacing w:after="0" w:line="89" w:lineRule="exact"/>
        <w:rPr>
          <w:sz w:val="20"/>
          <w:szCs w:val="20"/>
          <w:color w:val="auto"/>
        </w:rPr>
      </w:pPr>
    </w:p>
    <w:p>
      <w:pPr>
        <w:ind w:left="1320" w:right="1140" w:hanging="318"/>
        <w:spacing w:after="0" w:line="293" w:lineRule="auto"/>
        <w:tabs>
          <w:tab w:leader="none" w:pos="1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We lease office space at 75 Sidney Street and 64 Sidney Street in Cambridge, Massachusetts under non-cancelable operating leases that expire in November 2026.</w:t>
      </w:r>
    </w:p>
    <w:p>
      <w:pPr>
        <w:spacing w:after="0" w:line="97" w:lineRule="exact"/>
        <w:rPr>
          <w:sz w:val="20"/>
          <w:szCs w:val="20"/>
          <w:color w:val="auto"/>
        </w:rPr>
      </w:pPr>
    </w:p>
    <w:p>
      <w:pPr>
        <w:jc w:val="both"/>
        <w:ind w:right="40" w:firstLine="648"/>
        <w:spacing w:after="0" w:line="284" w:lineRule="auto"/>
        <w:rPr>
          <w:sz w:val="20"/>
          <w:szCs w:val="20"/>
          <w:color w:val="auto"/>
        </w:rPr>
      </w:pPr>
      <w:r>
        <w:rPr>
          <w:rFonts w:ascii="Arial" w:cs="Arial" w:eastAsia="Arial" w:hAnsi="Arial"/>
          <w:sz w:val="16"/>
          <w:szCs w:val="16"/>
          <w:color w:val="auto"/>
        </w:rPr>
        <w:t>In February 2018, we executed a second amendment for additional space located at 75 Sidney Street in Cambridge, Massachusetts, concurrent to the existing leases with terms going through December 2024. In June 2018, we executed a third amendment for additional space located at 75 Sidney Street, including an extension to the term through November 2026. Additionally, we executed an amendment to the lease at 64 Sidney Street to extend the term through November 2026.</w:t>
      </w:r>
    </w:p>
    <w:p>
      <w:pPr>
        <w:spacing w:after="0" w:line="156"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We enter into agreements in the normal course of business with clinical research organizations, contract manufacturing organizations, and institutions to license intellectual property. We have not included these future payments in the table of contractual obligations above since the contracts are cancelable at any time by us, generally upon 30 to 90 days prior written notice.</w:t>
      </w:r>
    </w:p>
    <w:p>
      <w:pPr>
        <w:spacing w:after="0" w:line="188"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We may also be required to pay annual maintenance fees or minimum amounts payable ranging from low-four digits to low five-digits depending upon the terms of the applicable agreement.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As described elsewhere in this Annual Report on Form 10-K including in “Part I, Item 1—Business,” we are also currently party to collaboration agreements with counterparties including AbbVie and Neurocrine.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rules of the Securities and Exchange Commission, or the SEC.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4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w:t>
      </w:r>
    </w:p>
    <w:p>
      <w:pPr>
        <w:spacing w:after="0" w:line="88" w:lineRule="exact"/>
        <w:rPr>
          <w:sz w:val="20"/>
          <w:szCs w:val="20"/>
          <w:color w:val="auto"/>
        </w:rPr>
      </w:pPr>
    </w:p>
    <w:p>
      <w:pPr>
        <w:ind w:right="60" w:firstLine="648"/>
        <w:spacing w:after="0" w:line="206" w:lineRule="exact"/>
        <w:rPr>
          <w:sz w:val="20"/>
          <w:szCs w:val="20"/>
          <w:color w:val="auto"/>
        </w:rPr>
      </w:pPr>
      <w:r>
        <w:rPr>
          <w:rFonts w:ascii="Arial" w:cs="Arial" w:eastAsia="Arial" w:hAnsi="Arial"/>
          <w:sz w:val="18"/>
          <w:szCs w:val="18"/>
          <w:color w:val="auto"/>
        </w:rPr>
        <w:t>Subject to certain conditions, as an EGC,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7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We are exposed to market risk related to changes in interest rates. We have policies requiring us to invest in high-quality issuers, limit our exposure to any individual issuer, and ensure adequate liquidity. Our primary exposure to market risk is interest rate sensitivity, which is affected by changes in the general level of U.S. interest rates, particularly because our investments, including cash equivalents, are in the form of money market fund and marketable securities and are invested in U.S. Treasury and U.S. government agency obligations. Due to the short-term duration of our investment portfolio and the low risk profile of our investments, an immediate 100 basis point change in interest rates would not have had a material effect on the fair market value of our portfolio.</w:t>
      </w:r>
    </w:p>
    <w:p>
      <w:pPr>
        <w:spacing w:after="0" w:line="99"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115" w:lineRule="exact"/>
        <w:rPr>
          <w:sz w:val="20"/>
          <w:szCs w:val="20"/>
          <w:color w:val="auto"/>
        </w:rPr>
      </w:pPr>
    </w:p>
    <w:p>
      <w:pPr>
        <w:jc w:val="both"/>
        <w:ind w:right="120" w:firstLine="648"/>
        <w:spacing w:after="0" w:line="324"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 ended December 31, 2019.</w:t>
      </w:r>
    </w:p>
    <w:p>
      <w:pPr>
        <w:spacing w:after="0" w:line="5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6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192" w:lineRule="exact"/>
        <w:rPr>
          <w:sz w:val="20"/>
          <w:szCs w:val="20"/>
          <w:color w:val="auto"/>
        </w:rPr>
      </w:pPr>
    </w:p>
    <w:p>
      <w:pPr>
        <w:ind w:left="1520" w:right="320" w:hanging="1516"/>
        <w:spacing w:after="0" w:line="266" w:lineRule="auto"/>
        <w:tabs>
          <w:tab w:leader="none" w:pos="15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08" w:lineRule="exact"/>
        <w:rPr>
          <w:sz w:val="20"/>
          <w:szCs w:val="20"/>
          <w:color w:val="auto"/>
        </w:rPr>
      </w:pPr>
    </w:p>
    <w:p>
      <w:pPr>
        <w:ind w:right="160" w:firstLine="648"/>
        <w:spacing w:after="0" w:line="324" w:lineRule="auto"/>
        <w:rPr>
          <w:sz w:val="20"/>
          <w:szCs w:val="20"/>
          <w:color w:val="auto"/>
        </w:rPr>
      </w:pPr>
      <w:r>
        <w:rPr>
          <w:rFonts w:ascii="Arial" w:cs="Arial" w:eastAsia="Arial" w:hAnsi="Arial"/>
          <w:sz w:val="16"/>
          <w:szCs w:val="16"/>
          <w:color w:val="auto"/>
        </w:rPr>
        <w:t>We maintain “disclosure controls and procedures,” as defined in Rules 13a-15(e) or 15d-15(e) under the Exchange Act to mean controls and other procedures of a company that are designed to ensure that information required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to be disclosed by a company in the reports that it files or submits under the Exchange Act is recorded, processed, summarized, and reported within the time periods specified in the SEC’s rules and forms. Our disclosure controls and procedures include, without limitation, controls and other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9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December 31, 2019.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2019, our disclosure controls and procedures were effective at the reasonable assurance level.</w:t>
      </w:r>
    </w:p>
    <w:p>
      <w:pPr>
        <w:spacing w:after="0" w:line="191" w:lineRule="exact"/>
        <w:rPr>
          <w:sz w:val="20"/>
          <w:szCs w:val="20"/>
          <w:color w:val="auto"/>
        </w:rPr>
      </w:pPr>
    </w:p>
    <w:p>
      <w:pPr>
        <w:ind w:right="480" w:firstLine="648"/>
        <w:spacing w:after="0" w:line="291" w:lineRule="auto"/>
        <w:rPr>
          <w:sz w:val="20"/>
          <w:szCs w:val="20"/>
          <w:color w:val="auto"/>
        </w:rPr>
      </w:pPr>
      <w:r>
        <w:rPr>
          <w:rFonts w:ascii="Arial" w:cs="Arial" w:eastAsia="Arial" w:hAnsi="Arial"/>
          <w:sz w:val="17"/>
          <w:szCs w:val="17"/>
          <w:color w:val="auto"/>
        </w:rPr>
        <w:t>We continue to review and document our disclosure controls and procedures and may from time to time make changes aimed at enhancing their effectiveness and to ensure that our systems evolve with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1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left="1000" w:right="100" w:hanging="323"/>
        <w:spacing w:after="0" w:line="293"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169" w:lineRule="exact"/>
        <w:rPr>
          <w:rFonts w:ascii="Arial" w:cs="Arial" w:eastAsia="Arial" w:hAnsi="Arial"/>
          <w:sz w:val="18"/>
          <w:szCs w:val="18"/>
          <w:color w:val="auto"/>
        </w:rPr>
      </w:pPr>
    </w:p>
    <w:p>
      <w:pPr>
        <w:jc w:val="both"/>
        <w:ind w:left="1000" w:right="360" w:hanging="323"/>
        <w:spacing w:after="0" w:line="329"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our management and directors; and</w:t>
      </w:r>
    </w:p>
    <w:p>
      <w:pPr>
        <w:spacing w:after="0" w:line="148" w:lineRule="exact"/>
        <w:rPr>
          <w:rFonts w:ascii="Arial" w:cs="Arial" w:eastAsia="Arial" w:hAnsi="Arial"/>
          <w:sz w:val="16"/>
          <w:szCs w:val="16"/>
          <w:color w:val="auto"/>
        </w:rPr>
      </w:pPr>
    </w:p>
    <w:p>
      <w:pPr>
        <w:ind w:left="1000" w:right="440" w:hanging="323"/>
        <w:spacing w:after="0" w:line="324"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34"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and accounting officer, our management assessed the effectiveness of our internal control over financial reporting as of December 31, 2019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2019.</w:t>
      </w:r>
    </w:p>
    <w:p>
      <w:pPr>
        <w:spacing w:after="0" w:line="15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83"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2020 Annual Meeting of Stockholders, which we expect to file with the SEC within 120 days of the end of the fiscal year to which this Annual Report on Form 10-K relates.</w:t>
      </w:r>
    </w:p>
    <w:p>
      <w:pPr>
        <w:spacing w:after="0" w:line="16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02"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2020 Annual Meeting of Stockholders, which we expect to file with the SEC within 120 days of the end of the fiscal year to which this Annual Report on Form 10-K relates.</w:t>
      </w:r>
    </w:p>
    <w:p>
      <w:pPr>
        <w:spacing w:after="0" w:line="246" w:lineRule="exact"/>
        <w:rPr>
          <w:sz w:val="20"/>
          <w:szCs w:val="20"/>
          <w:color w:val="auto"/>
        </w:rPr>
      </w:pPr>
    </w:p>
    <w:p>
      <w:pPr>
        <w:ind w:left="1520" w:hanging="1516"/>
        <w:spacing w:after="0" w:line="266" w:lineRule="auto"/>
        <w:tabs>
          <w:tab w:leader="none" w:pos="15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53"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2020 Annual Meeting of Stockholders, which we expect to file with the SEC within 120 days of the end of the fiscal year to which this Annual Report on Form 10-K relates.</w:t>
      </w:r>
    </w:p>
    <w:p>
      <w:pPr>
        <w:spacing w:after="0" w:line="246" w:lineRule="exact"/>
        <w:rPr>
          <w:sz w:val="20"/>
          <w:szCs w:val="20"/>
          <w:color w:val="auto"/>
        </w:rPr>
      </w:pPr>
    </w:p>
    <w:p>
      <w:pPr>
        <w:ind w:left="1520" w:right="900" w:hanging="1516"/>
        <w:spacing w:after="0" w:line="266" w:lineRule="auto"/>
        <w:tabs>
          <w:tab w:leader="none" w:pos="15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58"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2020 Annual Meeting of Stockholders, which we expect to file with the SEC within 120 days of the end of the fiscal year to which this Annual Report on Form 10-K relates.</w:t>
      </w:r>
    </w:p>
    <w:p>
      <w:pPr>
        <w:spacing w:after="0" w:line="25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2"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2020 Annual Meeting of Stockholders, which we expect to file with the SEC within 120 days of the end of the fiscal year to which this Annual Report on Form 10-K relates.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b w:val="1"/>
                <w:bCs w:val="1"/>
                <w:color w:val="auto"/>
              </w:rPr>
              <w:t>PART IV</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5720" w:type="dxa"/>
            <w:vAlign w:val="bottom"/>
            <w:gridSpan w:val="7"/>
          </w:tcPr>
          <w:p>
            <w:pPr>
              <w:ind w:left="400"/>
              <w:spacing w:after="0"/>
              <w:rPr>
                <w:sz w:val="20"/>
                <w:szCs w:val="20"/>
                <w:color w:val="auto"/>
              </w:rPr>
            </w:pPr>
            <w:r>
              <w:rPr>
                <w:rFonts w:ascii="Arial" w:cs="Arial" w:eastAsia="Arial" w:hAnsi="Arial"/>
                <w:sz w:val="18"/>
                <w:szCs w:val="18"/>
                <w:b w:val="1"/>
                <w:bCs w:val="1"/>
                <w:color w:val="auto"/>
              </w:rPr>
              <w:t>EXHIBITS, FINANCIAL STATEMENT SCHEDULES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880" w:type="dxa"/>
            <w:vAlign w:val="bottom"/>
            <w:gridSpan w:val="8"/>
          </w:tcPr>
          <w:p>
            <w:pPr>
              <w:ind w:left="660"/>
              <w:spacing w:after="0"/>
              <w:rPr>
                <w:sz w:val="20"/>
                <w:szCs w:val="20"/>
                <w:color w:val="auto"/>
              </w:rPr>
            </w:pPr>
            <w:r>
              <w:rPr>
                <w:rFonts w:ascii="Arial" w:cs="Arial" w:eastAsia="Arial" w:hAnsi="Arial"/>
                <w:sz w:val="18"/>
                <w:szCs w:val="18"/>
                <w:color w:val="auto"/>
              </w:rPr>
              <w:t>(a)(1) Financial Statements.</w:t>
            </w:r>
          </w:p>
        </w:tc>
        <w:tc>
          <w:tcPr>
            <w:tcW w:w="1420" w:type="dxa"/>
            <w:vAlign w:val="bottom"/>
            <w:vMerge w:val="restart"/>
          </w:tcPr>
          <w:p>
            <w:pPr>
              <w:jc w:val="center"/>
              <w:ind w:left="993"/>
              <w:spacing w:after="0"/>
              <w:rPr>
                <w:sz w:val="20"/>
                <w:szCs w:val="20"/>
                <w:color w:val="auto"/>
              </w:rPr>
            </w:pPr>
            <w:r>
              <w:rPr>
                <w:rFonts w:ascii="Arial" w:cs="Arial" w:eastAsia="Arial" w:hAnsi="Arial"/>
                <w:sz w:val="14"/>
                <w:szCs w:val="14"/>
                <w:b w:val="1"/>
                <w:bCs w:val="1"/>
                <w:color w:val="auto"/>
                <w:w w:val="82"/>
              </w:rPr>
              <w:t>Pages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60" w:type="dxa"/>
            <w:vAlign w:val="bottom"/>
            <w:tcBorders>
              <w:bottom w:val="single" w:sz="8" w:color="0000EE"/>
            </w:tcBorders>
            <w:gridSpan w:val="6"/>
          </w:tcPr>
          <w:p>
            <w:pPr>
              <w:spacing w:after="0" w:line="190"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Report of independent registered public accounting firm</w:t>
              </w:r>
            </w:hyperlink>
          </w:p>
        </w:tc>
        <w:tc>
          <w:tcPr>
            <w:tcW w:w="2820" w:type="dxa"/>
            <w:vAlign w:val="bottom"/>
            <w:gridSpan w:val="2"/>
          </w:tcPr>
          <w:p>
            <w:pPr>
              <w:spacing w:after="0"/>
              <w:rPr>
                <w:sz w:val="16"/>
                <w:szCs w:val="16"/>
                <w:color w:val="auto"/>
              </w:rPr>
            </w:pPr>
          </w:p>
        </w:tc>
        <w:tc>
          <w:tcPr>
            <w:tcW w:w="1420" w:type="dxa"/>
            <w:vAlign w:val="bottom"/>
          </w:tcPr>
          <w:p>
            <w:pPr>
              <w:jc w:val="center"/>
              <w:ind w:left="993"/>
              <w:spacing w:after="0" w:line="190"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304"/>
        </w:trPr>
        <w:tc>
          <w:tcPr>
            <w:tcW w:w="2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47">
              <w:r>
                <w:rPr>
                  <w:rFonts w:ascii="Arial" w:cs="Arial" w:eastAsia="Arial" w:hAnsi="Arial"/>
                  <w:sz w:val="18"/>
                  <w:szCs w:val="18"/>
                  <w:color w:val="0000EE"/>
                  <w:w w:val="88"/>
                </w:rPr>
                <w:t>Consolidated Balance Sheets</w:t>
              </w:r>
            </w:hyperlink>
          </w:p>
        </w:tc>
        <w:tc>
          <w:tcPr>
            <w:tcW w:w="4780" w:type="dxa"/>
            <w:vAlign w:val="bottom"/>
            <w:gridSpan w:val="6"/>
          </w:tcPr>
          <w:p>
            <w:pPr>
              <w:spacing w:after="0"/>
              <w:rPr>
                <w:sz w:val="24"/>
                <w:szCs w:val="24"/>
                <w:color w:val="auto"/>
              </w:rPr>
            </w:pPr>
          </w:p>
        </w:tc>
        <w:tc>
          <w:tcPr>
            <w:tcW w:w="1420" w:type="dxa"/>
            <w:vAlign w:val="bottom"/>
          </w:tcPr>
          <w:p>
            <w:pPr>
              <w:jc w:val="center"/>
              <w:ind w:left="993"/>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304"/>
        </w:trPr>
        <w:tc>
          <w:tcPr>
            <w:tcW w:w="6880" w:type="dxa"/>
            <w:vAlign w:val="bottom"/>
            <w:gridSpan w:val="8"/>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Consolidated Statements of Operations and Comprehensive Loss</w:t>
              </w:r>
            </w:hyperlink>
          </w:p>
        </w:tc>
        <w:tc>
          <w:tcPr>
            <w:tcW w:w="1420" w:type="dxa"/>
            <w:vAlign w:val="bottom"/>
          </w:tcPr>
          <w:p>
            <w:pPr>
              <w:jc w:val="center"/>
              <w:ind w:left="993"/>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304"/>
        </w:trPr>
        <w:tc>
          <w:tcPr>
            <w:tcW w:w="3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49">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24"/>
                <w:szCs w:val="24"/>
                <w:color w:val="auto"/>
              </w:rPr>
            </w:pPr>
          </w:p>
        </w:tc>
        <w:tc>
          <w:tcPr>
            <w:tcW w:w="2200" w:type="dxa"/>
            <w:vAlign w:val="bottom"/>
          </w:tcPr>
          <w:p>
            <w:pPr>
              <w:spacing w:after="0"/>
              <w:rPr>
                <w:sz w:val="24"/>
                <w:szCs w:val="24"/>
                <w:color w:val="auto"/>
              </w:rPr>
            </w:pPr>
          </w:p>
        </w:tc>
        <w:tc>
          <w:tcPr>
            <w:tcW w:w="1420" w:type="dxa"/>
            <w:vAlign w:val="bottom"/>
          </w:tcPr>
          <w:p>
            <w:pPr>
              <w:jc w:val="center"/>
              <w:ind w:left="993"/>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372"/>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Consolidated Statements of Cash Flows</w:t>
              </w:r>
            </w:hyperlink>
          </w:p>
        </w:tc>
        <w:tc>
          <w:tcPr>
            <w:tcW w:w="4000" w:type="dxa"/>
            <w:vAlign w:val="bottom"/>
            <w:gridSpan w:val="5"/>
          </w:tcPr>
          <w:p>
            <w:pPr>
              <w:spacing w:after="0"/>
              <w:rPr>
                <w:sz w:val="24"/>
                <w:szCs w:val="24"/>
                <w:color w:val="auto"/>
              </w:rPr>
            </w:pPr>
          </w:p>
        </w:tc>
        <w:tc>
          <w:tcPr>
            <w:tcW w:w="1420" w:type="dxa"/>
            <w:vAlign w:val="bottom"/>
          </w:tcPr>
          <w:p>
            <w:pPr>
              <w:jc w:val="center"/>
              <w:ind w:left="993"/>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304"/>
        </w:trPr>
        <w:tc>
          <w:tcPr>
            <w:tcW w:w="6880" w:type="dxa"/>
            <w:vAlign w:val="bottom"/>
            <w:gridSpan w:val="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Notes to consolidated financial statements</w:t>
              </w:r>
            </w:hyperlink>
          </w:p>
        </w:tc>
        <w:tc>
          <w:tcPr>
            <w:tcW w:w="1420" w:type="dxa"/>
            <w:vAlign w:val="bottom"/>
          </w:tcPr>
          <w:p>
            <w:pPr>
              <w:jc w:val="center"/>
              <w:ind w:left="993"/>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79" w:firstLine="500"/>
        <w:spacing w:after="0" w:line="262"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under Item 8 above.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w:t>
      </w:r>
    </w:p>
    <w:p>
      <w:pPr>
        <w:spacing w:after="0" w:line="212" w:lineRule="exact"/>
        <w:rPr>
          <w:sz w:val="20"/>
          <w:szCs w:val="20"/>
          <w:color w:val="auto"/>
        </w:rPr>
      </w:pPr>
    </w:p>
    <w:p>
      <w:pPr>
        <w:ind w:right="259" w:firstLine="500"/>
        <w:spacing w:after="0" w:line="324" w:lineRule="auto"/>
        <w:rPr>
          <w:sz w:val="20"/>
          <w:szCs w:val="20"/>
          <w:color w:val="auto"/>
        </w:rPr>
      </w:pPr>
      <w:r>
        <w:rPr>
          <w:rFonts w:ascii="Arial" w:cs="Arial" w:eastAsia="Arial" w:hAnsi="Arial"/>
          <w:sz w:val="16"/>
          <w:szCs w:val="16"/>
          <w:color w:val="auto"/>
        </w:rPr>
        <w:t>See the Exhibit Index immediately preceding the signature page of this Annual Report on Form 10-K. The exhibits listed in the Exhibit Index below are filed or incorporated by reference as part of this Annual Report on Form 10-K.</w:t>
      </w:r>
    </w:p>
    <w:p>
      <w:pPr>
        <w:spacing w:after="0" w:line="33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Voyager Therapeutics,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have audited the accompanying consolidated balance sheets of Voyager Therapeutics, Inc. (the “Company”) as of December 31, 2019 and 2018, the related consolidated statements of operations and comprehensive loss, consolidated statements of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ASU No. 2014-09</w:t>
      </w:r>
    </w:p>
    <w:p>
      <w:pPr>
        <w:spacing w:after="0" w:line="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revenue in 2018 due to the adoption of Accounting Standard Update (ASU) No. 2014-09, Revenue from Contracts with Customers (Topic 606), and the related amendments.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ASU No. 2016-02</w:t>
      </w:r>
    </w:p>
    <w:p>
      <w:pPr>
        <w:spacing w:after="0" w:line="1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 due to the adoption of ASU No. 2016-02, Leases, and the related amendments.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4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86,042</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46,859</w:t>
            </w: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tcPr>
          <w:p>
            <w:pPr>
              <w:ind w:left="320"/>
              <w:spacing w:after="0"/>
              <w:rPr>
                <w:sz w:val="20"/>
                <w:szCs w:val="20"/>
                <w:color w:val="auto"/>
              </w:rPr>
            </w:pPr>
            <w:r>
              <w:rPr>
                <w:rFonts w:ascii="Arial" w:cs="Arial" w:eastAsia="Arial" w:hAnsi="Arial"/>
                <w:sz w:val="14"/>
                <w:szCs w:val="14"/>
                <w:color w:val="auto"/>
              </w:rPr>
              <w:t>Marketable securities, current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195,491</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108,947</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Related party collaboration receivable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4,630</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6,675</w:t>
            </w:r>
          </w:p>
        </w:tc>
        <w:tc>
          <w:tcPr>
            <w:tcW w:w="8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20" w:type="dxa"/>
            <w:vAlign w:val="bottom"/>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304,659</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162,481</w:t>
            </w:r>
          </w:p>
        </w:tc>
        <w:tc>
          <w:tcPr>
            <w:tcW w:w="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17,986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12,771</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Deposits and other non-current assets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1,149</w:t>
            </w: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Marketable securities, non-current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628</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28,472</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CEEFF"/>
            </w:tcBorders>
          </w:tcPr>
          <w:p>
            <w:pPr>
              <w:ind w:left="42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354,760</w:t>
            </w:r>
          </w:p>
        </w:tc>
        <w:tc>
          <w:tcPr>
            <w:tcW w:w="2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177,029</w:t>
            </w:r>
          </w:p>
        </w:tc>
        <w:tc>
          <w:tcPr>
            <w:tcW w:w="80" w:type="dxa"/>
            <w:vAlign w:val="bottom"/>
            <w:tcBorders>
              <w:bottom w:val="single" w:sz="8" w:color="CCEEFF"/>
            </w:tcBorders>
          </w:tcPr>
          <w:p>
            <w:pPr>
              <w:spacing w:after="0"/>
              <w:rPr>
                <w:sz w:val="17"/>
                <w:szCs w:val="17"/>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4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1,038</w:t>
            </w: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tcPr>
          <w:p>
            <w:pPr>
              <w:ind w:left="32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21,516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9,788</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Deferred revenue, current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47,233</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20,847</w:t>
            </w:r>
          </w:p>
        </w:tc>
        <w:tc>
          <w:tcPr>
            <w:tcW w:w="8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20" w:type="dxa"/>
            <w:vAlign w:val="bottom"/>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76,012</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31,673</w:t>
            </w:r>
          </w:p>
        </w:tc>
        <w:tc>
          <w:tcPr>
            <w:tcW w:w="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Deferred revenue, non-current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147,260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92,199</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31,976</w:t>
            </w:r>
          </w:p>
        </w:tc>
        <w:tc>
          <w:tcPr>
            <w:tcW w:w="2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6,711</w:t>
            </w:r>
          </w:p>
        </w:tc>
        <w:tc>
          <w:tcPr>
            <w:tcW w:w="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20" w:type="dxa"/>
            <w:vAlign w:val="bottom"/>
            <w:tcBorders>
              <w:bottom w:val="single" w:sz="8" w:color="CCEEFF"/>
            </w:tcBorders>
          </w:tcPr>
          <w:p>
            <w:pPr>
              <w:ind w:left="420"/>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255,248</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130,583</w:t>
            </w:r>
          </w:p>
        </w:tc>
        <w:tc>
          <w:tcPr>
            <w:tcW w:w="80" w:type="dxa"/>
            <w:vAlign w:val="bottom"/>
            <w:tcBorders>
              <w:bottom w:val="single" w:sz="8" w:color="CCEEFF"/>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Commitments and contingencies (see note 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320"/>
              <w:spacing w:after="0" w:line="143" w:lineRule="exact"/>
              <w:rPr>
                <w:sz w:val="20"/>
                <w:szCs w:val="20"/>
                <w:color w:val="auto"/>
              </w:rPr>
            </w:pPr>
            <w:r>
              <w:rPr>
                <w:rFonts w:ascii="Arial" w:cs="Arial" w:eastAsia="Arial" w:hAnsi="Arial"/>
                <w:sz w:val="14"/>
                <w:szCs w:val="14"/>
                <w:color w:val="auto"/>
                <w:w w:val="95"/>
              </w:rPr>
              <w:t>Preferred stock, $0.001 par value: 5,000,000 shares authorized; no shares issued and outstanding at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December 31, 2019 and 2018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43"/>
        </w:trPr>
        <w:tc>
          <w:tcPr>
            <w:tcW w:w="20" w:type="dxa"/>
            <w:vAlign w:val="bottom"/>
          </w:tcPr>
          <w:p>
            <w:pPr>
              <w:spacing w:after="0"/>
              <w:rPr>
                <w:sz w:val="12"/>
                <w:szCs w:val="12"/>
                <w:color w:val="auto"/>
              </w:rPr>
            </w:pPr>
          </w:p>
        </w:tc>
        <w:tc>
          <w:tcPr>
            <w:tcW w:w="6320" w:type="dxa"/>
            <w:vAlign w:val="bottom"/>
          </w:tcPr>
          <w:p>
            <w:pPr>
              <w:ind w:left="320"/>
              <w:spacing w:after="0" w:line="143" w:lineRule="exact"/>
              <w:rPr>
                <w:sz w:val="20"/>
                <w:szCs w:val="20"/>
                <w:color w:val="auto"/>
              </w:rPr>
            </w:pPr>
            <w:r>
              <w:rPr>
                <w:rFonts w:ascii="Arial" w:cs="Arial" w:eastAsia="Arial" w:hAnsi="Arial"/>
                <w:sz w:val="14"/>
                <w:szCs w:val="14"/>
                <w:color w:val="auto"/>
                <w:w w:val="94"/>
              </w:rPr>
              <w:t>Common stock, $0.001 par value: 120,000,000 shares authorized; 36,865,116 and 32,364,895 shares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6320" w:type="dxa"/>
            <w:vAlign w:val="bottom"/>
          </w:tcPr>
          <w:p>
            <w:pPr>
              <w:ind w:left="320"/>
              <w:spacing w:after="0"/>
              <w:rPr>
                <w:sz w:val="20"/>
                <w:szCs w:val="20"/>
                <w:color w:val="auto"/>
              </w:rPr>
            </w:pPr>
            <w:r>
              <w:rPr>
                <w:rFonts w:ascii="Arial" w:cs="Arial" w:eastAsia="Arial" w:hAnsi="Arial"/>
                <w:sz w:val="14"/>
                <w:szCs w:val="14"/>
                <w:color w:val="auto"/>
              </w:rPr>
              <w:t>issued and outstanding at December 31, 2019 and 2018, respectively</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412,227</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315,598</w:t>
            </w: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tcPr>
          <w:p>
            <w:pPr>
              <w:ind w:left="3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(312,648)</w:t>
            </w:r>
          </w:p>
        </w:tc>
        <w:tc>
          <w:tcPr>
            <w:tcW w:w="2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(269,051)</w:t>
            </w:r>
          </w:p>
        </w:tc>
        <w:tc>
          <w:tcPr>
            <w:tcW w:w="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20" w:type="dxa"/>
            <w:vAlign w:val="bottom"/>
            <w:tcBorders>
              <w:bottom w:val="single" w:sz="8" w:color="CCEEFF"/>
            </w:tcBorders>
          </w:tcPr>
          <w:p>
            <w:pPr>
              <w:ind w:left="420"/>
              <w:spacing w:after="0" w:line="155"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99,512</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46,446</w:t>
            </w:r>
          </w:p>
        </w:tc>
        <w:tc>
          <w:tcPr>
            <w:tcW w:w="80" w:type="dxa"/>
            <w:vAlign w:val="bottom"/>
            <w:tcBorders>
              <w:bottom w:val="single" w:sz="8" w:color="CCEEFF"/>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20" w:type="dxa"/>
            <w:vAlign w:val="bottom"/>
            <w:tcBorders>
              <w:bottom w:val="single" w:sz="8" w:color="CCEEFF"/>
            </w:tcBorders>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354,760</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177,029</w:t>
            </w:r>
          </w:p>
        </w:tc>
        <w:tc>
          <w:tcPr>
            <w:tcW w:w="80" w:type="dxa"/>
            <w:vAlign w:val="bottom"/>
            <w:tcBorders>
              <w:bottom w:val="single" w:sz="8" w:color="CCEEFF"/>
            </w:tcBorders>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104,391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119,735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36,335</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19,738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156,070</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98,714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81,998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line="196" w:lineRule="exact"/>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(51,679)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(91,095)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(71,863)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6,457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1,625</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8,082</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(43,597)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(88,468)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(70,698)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(43,597)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(88,288)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unrealized gain (loss) on available-for-sale-securities</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(43,568)</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(88,254)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(70,933)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(1.21)</w:t>
            </w:r>
          </w:p>
        </w:tc>
        <w:tc>
          <w:tcPr>
            <w:tcW w:w="20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(2.75)</w:t>
            </w:r>
          </w:p>
        </w:tc>
        <w:tc>
          <w:tcPr>
            <w:tcW w:w="20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w w:val="95"/>
              </w:rPr>
              <w:t>Weighted-average common shares outstanding, basic and diluted</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3"/>
              </w:rPr>
              <w:t>35,898,266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7"/>
              </w:rPr>
              <w:t>32,065,781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0"/>
              </w:rPr>
              <w:t>26,803,711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Statements of Stockholders’ Equity</w:t>
      </w:r>
    </w:p>
    <w:p>
      <w:pPr>
        <w:ind w:left="3640"/>
        <w:spacing w:after="0"/>
        <w:rPr>
          <w:sz w:val="20"/>
          <w:szCs w:val="20"/>
          <w:color w:val="auto"/>
        </w:rPr>
      </w:pPr>
      <w:r>
        <w:rPr>
          <w:rFonts w:ascii="Arial" w:cs="Arial" w:eastAsia="Arial" w:hAnsi="Arial"/>
          <w:sz w:val="18"/>
          <w:szCs w:val="18"/>
          <w:b w:val="1"/>
          <w:bCs w:val="1"/>
          <w:i w:val="1"/>
          <w:iCs w:val="1"/>
          <w:color w:val="auto"/>
        </w:rPr>
        <w:t>(amounts in thousands, except share data)</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Additional</w:t>
            </w:r>
          </w:p>
        </w:tc>
        <w:tc>
          <w:tcPr>
            <w:tcW w:w="6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60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4"/>
        </w:trPr>
        <w:tc>
          <w:tcPr>
            <w:tcW w:w="524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2016</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6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89"/>
              </w:rPr>
              <w:t>25,597,912</w:t>
            </w:r>
          </w:p>
        </w:tc>
        <w:tc>
          <w:tcPr>
            <w:tcW w:w="24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26</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225,963</w:t>
            </w:r>
          </w:p>
        </w:tc>
        <w:tc>
          <w:tcPr>
            <w:tcW w:w="140" w:type="dxa"/>
            <w:vAlign w:val="bottom"/>
          </w:tcPr>
          <w:p>
            <w:pPr>
              <w:spacing w:after="0"/>
              <w:rPr>
                <w:sz w:val="16"/>
                <w:szCs w:val="16"/>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(52)</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line="145"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(90,015)</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line="145"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135,922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Vesting of restricted stock</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573,803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20"/>
                <w:szCs w:val="20"/>
                <w:color w:val="auto"/>
              </w:rPr>
            </w:pPr>
            <w:r>
              <w:rPr>
                <w:rFonts w:ascii="Arial" w:cs="Arial" w:eastAsia="Arial" w:hAnsi="Arial"/>
                <w:sz w:val="13"/>
                <w:szCs w:val="13"/>
                <w:color w:val="auto"/>
              </w:rPr>
              <w:t>Exercises of vested stock options</w:t>
            </w:r>
          </w:p>
        </w:tc>
        <w:tc>
          <w:tcPr>
            <w:tcW w:w="640" w:type="dxa"/>
            <w:vAlign w:val="bottom"/>
          </w:tcPr>
          <w:p>
            <w:pPr>
              <w:jc w:val="right"/>
              <w:spacing w:after="0"/>
              <w:rPr>
                <w:sz w:val="20"/>
                <w:szCs w:val="20"/>
                <w:color w:val="auto"/>
              </w:rPr>
            </w:pPr>
            <w:r>
              <w:rPr>
                <w:rFonts w:ascii="Arial" w:cs="Arial" w:eastAsia="Arial" w:hAnsi="Arial"/>
                <w:sz w:val="13"/>
                <w:szCs w:val="13"/>
                <w:color w:val="auto"/>
              </w:rPr>
              <w:t>158,677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1,363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ESPP</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240" w:type="dxa"/>
            <w:vAlign w:val="bottom"/>
          </w:tcPr>
          <w:p>
            <w:pPr>
              <w:spacing w:after="0" w:line="134" w:lineRule="exact"/>
              <w:rPr>
                <w:sz w:val="20"/>
                <w:szCs w:val="20"/>
                <w:color w:val="auto"/>
              </w:rPr>
            </w:pPr>
            <w:r>
              <w:rPr>
                <w:rFonts w:ascii="Arial" w:cs="Arial" w:eastAsia="Arial" w:hAnsi="Arial"/>
                <w:sz w:val="13"/>
                <w:szCs w:val="13"/>
                <w:color w:val="auto"/>
                <w:w w:val="91"/>
              </w:rPr>
              <w:t>Issuance of common stock from public offering (net of underwriters discounts and issuance costs of</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3"/>
                <w:szCs w:val="13"/>
                <w:color w:val="auto"/>
              </w:rPr>
              <w:t>$4,100)</w:t>
            </w:r>
          </w:p>
        </w:tc>
        <w:tc>
          <w:tcPr>
            <w:tcW w:w="640" w:type="dxa"/>
            <w:vAlign w:val="bottom"/>
          </w:tcPr>
          <w:p>
            <w:pPr>
              <w:jc w:val="right"/>
              <w:spacing w:after="0"/>
              <w:rPr>
                <w:sz w:val="20"/>
                <w:szCs w:val="20"/>
                <w:color w:val="auto"/>
              </w:rPr>
            </w:pPr>
            <w:r>
              <w:rPr>
                <w:rFonts w:ascii="Arial" w:cs="Arial" w:eastAsia="Arial" w:hAnsi="Arial"/>
                <w:sz w:val="13"/>
                <w:szCs w:val="13"/>
                <w:color w:val="auto"/>
              </w:rPr>
              <w:t>5,175,000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57,989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57,994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20"/>
                <w:szCs w:val="20"/>
                <w:color w:val="auto"/>
              </w:rPr>
            </w:pPr>
            <w:r>
              <w:rPr>
                <w:rFonts w:ascii="Arial" w:cs="Arial" w:eastAsia="Arial" w:hAnsi="Arial"/>
                <w:sz w:val="13"/>
                <w:szCs w:val="13"/>
                <w:color w:val="auto"/>
              </w:rPr>
              <w:t>Unrealized loss on available-for-sale securities, net of tax</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(70,698)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(70,698)</w:t>
            </w:r>
          </w:p>
        </w:tc>
        <w:tc>
          <w:tcPr>
            <w:tcW w:w="0" w:type="dxa"/>
            <w:vAlign w:val="bottom"/>
          </w:tcPr>
          <w:p>
            <w:pPr>
              <w:spacing w:after="0"/>
              <w:rPr>
                <w:sz w:val="1"/>
                <w:szCs w:val="1"/>
                <w:color w:val="auto"/>
              </w:rPr>
            </w:pPr>
          </w:p>
        </w:tc>
      </w:tr>
      <w:tr>
        <w:trPr>
          <w:trHeight w:val="182"/>
        </w:trPr>
        <w:tc>
          <w:tcPr>
            <w:tcW w:w="524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b w:val="1"/>
                <w:bCs w:val="1"/>
                <w:color w:val="auto"/>
              </w:rPr>
              <w:t>Balance at December 31, 2017</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31,572,044</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295,019</w:t>
            </w: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(287)</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(160,713)</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134,051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Vesting of restricted stock</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319,891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20"/>
                <w:szCs w:val="20"/>
                <w:color w:val="auto"/>
              </w:rPr>
            </w:pPr>
            <w:r>
              <w:rPr>
                <w:rFonts w:ascii="Arial" w:cs="Arial" w:eastAsia="Arial" w:hAnsi="Arial"/>
                <w:sz w:val="13"/>
                <w:szCs w:val="13"/>
                <w:color w:val="auto"/>
              </w:rPr>
              <w:t>Exercises of vested stock options</w:t>
            </w:r>
          </w:p>
        </w:tc>
        <w:tc>
          <w:tcPr>
            <w:tcW w:w="640" w:type="dxa"/>
            <w:vAlign w:val="bottom"/>
          </w:tcPr>
          <w:p>
            <w:pPr>
              <w:jc w:val="right"/>
              <w:spacing w:after="0"/>
              <w:rPr>
                <w:sz w:val="20"/>
                <w:szCs w:val="20"/>
                <w:color w:val="auto"/>
              </w:rPr>
            </w:pPr>
            <w:r>
              <w:rPr>
                <w:rFonts w:ascii="Arial" w:cs="Arial" w:eastAsia="Arial" w:hAnsi="Arial"/>
                <w:sz w:val="13"/>
                <w:szCs w:val="13"/>
                <w:color w:val="auto"/>
              </w:rPr>
              <w:t>384,186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3,891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ESPP</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15,710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on available-for-sale securities, net of tax</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240" w:type="dxa"/>
            <w:vAlign w:val="bottom"/>
          </w:tcPr>
          <w:p>
            <w:pPr>
              <w:spacing w:after="0" w:line="134" w:lineRule="exact"/>
              <w:rPr>
                <w:sz w:val="20"/>
                <w:szCs w:val="20"/>
                <w:color w:val="auto"/>
              </w:rPr>
            </w:pPr>
            <w:r>
              <w:rPr>
                <w:rFonts w:ascii="Arial" w:cs="Arial" w:eastAsia="Arial" w:hAnsi="Arial"/>
                <w:sz w:val="13"/>
                <w:szCs w:val="13"/>
                <w:color w:val="auto"/>
                <w:w w:val="90"/>
              </w:rPr>
              <w:t>Cumulative-effect adjustment to beginning accumulated deficit and statement of operations resulting</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3"/>
                <w:szCs w:val="13"/>
                <w:color w:val="auto"/>
              </w:rPr>
              <w:t>from ASU No. 2016-01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(120)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52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w w:val="92"/>
              </w:rPr>
              <w:t>Modified retrospective adjustment to beginning accumulated deficit and deferred revenue resulting</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from ASU No. 2014-09</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(19,930)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(19,930)</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(88,288)</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(88,288)</w:t>
            </w:r>
          </w:p>
        </w:tc>
        <w:tc>
          <w:tcPr>
            <w:tcW w:w="0" w:type="dxa"/>
            <w:vAlign w:val="bottom"/>
          </w:tcPr>
          <w:p>
            <w:pPr>
              <w:spacing w:after="0"/>
              <w:rPr>
                <w:sz w:val="1"/>
                <w:szCs w:val="1"/>
                <w:color w:val="auto"/>
              </w:rPr>
            </w:pPr>
          </w:p>
        </w:tc>
      </w:tr>
      <w:tr>
        <w:trPr>
          <w:trHeight w:val="142"/>
        </w:trPr>
        <w:tc>
          <w:tcPr>
            <w:tcW w:w="52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at December 31, 2018</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9"/>
              </w:rPr>
              <w:t>32,364,895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315,598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(269,051)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46,446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3"/>
                <w:szCs w:val="13"/>
                <w:color w:val="auto"/>
              </w:rPr>
              <w:t>Exercises of vested stock options</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4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250,276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2,713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2,714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in connection with the Neurocrine Collaboration Agreement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4,179,728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77,613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20"/>
                <w:szCs w:val="20"/>
                <w:color w:val="auto"/>
              </w:rPr>
            </w:pPr>
            <w:r>
              <w:rPr>
                <w:rFonts w:ascii="Arial" w:cs="Arial" w:eastAsia="Arial" w:hAnsi="Arial"/>
                <w:sz w:val="13"/>
                <w:szCs w:val="13"/>
                <w:color w:val="auto"/>
              </w:rPr>
              <w:t>Issuance of common stock under ESPP</w:t>
            </w:r>
          </w:p>
        </w:tc>
        <w:tc>
          <w:tcPr>
            <w:tcW w:w="640" w:type="dxa"/>
            <w:vAlign w:val="bottom"/>
          </w:tcPr>
          <w:p>
            <w:pPr>
              <w:jc w:val="right"/>
              <w:spacing w:after="0"/>
              <w:rPr>
                <w:sz w:val="20"/>
                <w:szCs w:val="20"/>
                <w:color w:val="auto"/>
              </w:rPr>
            </w:pPr>
            <w:r>
              <w:rPr>
                <w:rFonts w:ascii="Arial" w:cs="Arial" w:eastAsia="Arial" w:hAnsi="Arial"/>
                <w:sz w:val="13"/>
                <w:szCs w:val="13"/>
                <w:color w:val="auto"/>
              </w:rPr>
              <w:t>70,217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20"/>
                <w:szCs w:val="20"/>
                <w:color w:val="auto"/>
              </w:rPr>
            </w:pPr>
            <w:r>
              <w:rPr>
                <w:rFonts w:ascii="Arial" w:cs="Arial" w:eastAsia="Arial" w:hAnsi="Arial"/>
                <w:sz w:val="13"/>
                <w:szCs w:val="13"/>
                <w:color w:val="auto"/>
              </w:rPr>
              <w:t>Unrealized gain on available-for-sale securities, net of tax</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(43,597)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(43,597)</w:t>
            </w:r>
          </w:p>
        </w:tc>
        <w:tc>
          <w:tcPr>
            <w:tcW w:w="0" w:type="dxa"/>
            <w:vAlign w:val="bottom"/>
          </w:tcPr>
          <w:p>
            <w:pPr>
              <w:spacing w:after="0"/>
              <w:rPr>
                <w:sz w:val="1"/>
                <w:szCs w:val="1"/>
                <w:color w:val="auto"/>
              </w:rPr>
            </w:pPr>
          </w:p>
        </w:tc>
      </w:tr>
      <w:tr>
        <w:trPr>
          <w:trHeight w:val="142"/>
        </w:trPr>
        <w:tc>
          <w:tcPr>
            <w:tcW w:w="5240" w:type="dxa"/>
            <w:vAlign w:val="bottom"/>
          </w:tcPr>
          <w:p>
            <w:pPr>
              <w:spacing w:after="0" w:line="143" w:lineRule="exact"/>
              <w:rPr>
                <w:sz w:val="20"/>
                <w:szCs w:val="20"/>
                <w:color w:val="auto"/>
              </w:rPr>
            </w:pPr>
            <w:r>
              <w:rPr>
                <w:rFonts w:ascii="Arial" w:cs="Arial" w:eastAsia="Arial" w:hAnsi="Arial"/>
                <w:sz w:val="13"/>
                <w:szCs w:val="13"/>
                <w:b w:val="1"/>
                <w:bCs w:val="1"/>
                <w:color w:val="auto"/>
              </w:rPr>
              <w:t>Balance at December 31, 2019</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36,865,116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412,227</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(312,648)</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99,512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349250</wp:posOffset>
            </wp:positionV>
            <wp:extent cx="65951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30" w:right="7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199"/>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r>
      <w:tr>
        <w:trPr>
          <w:trHeight w:val="156"/>
        </w:trPr>
        <w:tc>
          <w:tcPr>
            <w:tcW w:w="56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 from operating activities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Net loss</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(43,597)</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(88,288)</w:t>
            </w: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(70,698)</w:t>
            </w: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15,640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9,238</w:t>
            </w:r>
          </w:p>
        </w:tc>
        <w:tc>
          <w:tcPr>
            <w:tcW w:w="80" w:type="dxa"/>
            <w:vAlign w:val="bottom"/>
          </w:tcPr>
          <w:p>
            <w:pPr>
              <w:spacing w:after="0"/>
              <w:rPr>
                <w:sz w:val="14"/>
                <w:szCs w:val="14"/>
                <w:color w:val="auto"/>
              </w:rPr>
            </w:pP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Amortization of premiums and discounts on marketable securities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(3,584)</w:t>
            </w:r>
          </w:p>
        </w:tc>
        <w:tc>
          <w:tcPr>
            <w:tcW w:w="2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In-kind research and development expenses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Other non-cash items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(1,612)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ind w:left="220"/>
              <w:spacing w:after="0"/>
              <w:rPr>
                <w:sz w:val="20"/>
                <w:szCs w:val="20"/>
                <w:color w:val="auto"/>
              </w:rPr>
            </w:pPr>
            <w:r>
              <w:rPr>
                <w:rFonts w:ascii="Arial" w:cs="Arial" w:eastAsia="Arial" w:hAnsi="Arial"/>
                <w:sz w:val="14"/>
                <w:szCs w:val="14"/>
                <w:color w:val="auto"/>
              </w:rPr>
              <w:t>Related party collaboration receivable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(18,496)</w:t>
            </w:r>
          </w:p>
        </w:tc>
        <w:tc>
          <w:tcPr>
            <w:tcW w:w="2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ind w:left="220"/>
              <w:spacing w:after="0"/>
              <w:rPr>
                <w:sz w:val="20"/>
                <w:szCs w:val="20"/>
                <w:color w:val="auto"/>
              </w:rPr>
            </w:pPr>
            <w:r>
              <w:rPr>
                <w:rFonts w:ascii="Arial" w:cs="Arial" w:eastAsia="Arial" w:hAnsi="Arial"/>
                <w:sz w:val="14"/>
                <w:szCs w:val="14"/>
                <w:color w:val="auto"/>
              </w:rPr>
              <w:t>Operating lease, right-of-use asset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2,951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(343)</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2,598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4"/>
                <w:szCs w:val="14"/>
                <w:color w:val="auto"/>
              </w:rPr>
            </w:pPr>
          </w:p>
        </w:tc>
      </w:tr>
      <w:tr>
        <w:trPr>
          <w:trHeight w:val="162"/>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w:t>
            </w: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(2,506)</w:t>
            </w:r>
          </w:p>
        </w:tc>
        <w:tc>
          <w:tcPr>
            <w:tcW w:w="2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Lease incentive benefit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80" w:type="dxa"/>
            <w:vAlign w:val="bottom"/>
            <w:shd w:val="clear" w:color="auto" w:fill="CCEEFF"/>
          </w:tcPr>
          <w:p>
            <w:pPr>
              <w:spacing w:after="0"/>
              <w:rPr>
                <w:sz w:val="14"/>
                <w:szCs w:val="14"/>
                <w:color w:val="auto"/>
              </w:rPr>
            </w:pPr>
          </w:p>
        </w:tc>
      </w:tr>
      <w:tr>
        <w:trPr>
          <w:trHeight w:val="162"/>
        </w:trPr>
        <w:tc>
          <w:tcPr>
            <w:tcW w:w="56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80,831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61,380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(10,135)</w:t>
            </w:r>
          </w:p>
        </w:tc>
      </w:tr>
      <w:tr>
        <w:trPr>
          <w:trHeight w:val="156"/>
        </w:trPr>
        <w:tc>
          <w:tcPr>
            <w:tcW w:w="564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48,666</w:t>
            </w: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(15,887)</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(61,350)</w:t>
            </w:r>
          </w:p>
        </w:tc>
        <w:tc>
          <w:tcPr>
            <w:tcW w:w="80" w:type="dxa"/>
            <w:vAlign w:val="bottom"/>
            <w:tcBorders>
              <w:top w:val="single" w:sz="8" w:color="CCEEFF"/>
            </w:tcBorders>
            <w:shd w:val="clear" w:color="auto" w:fill="CCEEFF"/>
          </w:tcPr>
          <w:p>
            <w:pPr>
              <w:spacing w:after="0"/>
              <w:rPr>
                <w:sz w:val="13"/>
                <w:szCs w:val="13"/>
                <w:color w:val="auto"/>
              </w:rPr>
            </w:pPr>
          </w:p>
        </w:tc>
      </w:tr>
      <w:tr>
        <w:trPr>
          <w:trHeight w:val="156"/>
        </w:trPr>
        <w:tc>
          <w:tcPr>
            <w:tcW w:w="56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 from investing activities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(7,718)</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(3,985)</w:t>
            </w: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Purchases of marketable securities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(494,231)</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(333,228)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(147,296)</w:t>
            </w:r>
          </w:p>
        </w:tc>
      </w:tr>
      <w:tr>
        <w:trPr>
          <w:trHeight w:val="162"/>
        </w:trPr>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maturities or sales of marketable securities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411,300</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364,000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147,600</w:t>
            </w:r>
          </w:p>
        </w:tc>
        <w:tc>
          <w:tcPr>
            <w:tcW w:w="80" w:type="dxa"/>
            <w:vAlign w:val="bottom"/>
            <w:tcBorders>
              <w:bottom w:val="single" w:sz="8" w:color="CCEEFF"/>
            </w:tcBorders>
          </w:tcPr>
          <w:p>
            <w:pPr>
              <w:spacing w:after="0"/>
              <w:rPr>
                <w:sz w:val="14"/>
                <w:szCs w:val="14"/>
                <w:color w:val="auto"/>
              </w:rPr>
            </w:pPr>
          </w:p>
        </w:tc>
      </w:tr>
      <w:tr>
        <w:trPr>
          <w:trHeight w:val="156"/>
        </w:trPr>
        <w:tc>
          <w:tcPr>
            <w:tcW w:w="56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(90,477)</w:t>
            </w:r>
          </w:p>
        </w:tc>
        <w:tc>
          <w:tcPr>
            <w:tcW w:w="2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26,467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(3,681)</w:t>
            </w:r>
          </w:p>
        </w:tc>
        <w:tc>
          <w:tcPr>
            <w:tcW w:w="80" w:type="dxa"/>
            <w:vAlign w:val="bottom"/>
            <w:shd w:val="clear" w:color="auto" w:fill="CCEEFF"/>
          </w:tcPr>
          <w:p>
            <w:pPr>
              <w:spacing w:after="0"/>
              <w:rPr>
                <w:sz w:val="13"/>
                <w:szCs w:val="13"/>
                <w:color w:val="auto"/>
              </w:rPr>
            </w:pPr>
          </w:p>
        </w:tc>
      </w:tr>
      <w:tr>
        <w:trPr>
          <w:trHeight w:val="156"/>
        </w:trPr>
        <w:tc>
          <w:tcPr>
            <w:tcW w:w="56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 from financing activities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56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6"/>
              </w:rPr>
              <w:t>Proceeds from the issuance of common stock in connection with the Neurocrine Collaboration</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1"/>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Agreement, net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77,617</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Proceeds from the issuance of common stock net of discount and issuance costs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57,994</w:t>
            </w:r>
          </w:p>
        </w:tc>
        <w:tc>
          <w:tcPr>
            <w:tcW w:w="80" w:type="dxa"/>
            <w:vAlign w:val="bottom"/>
          </w:tcPr>
          <w:p>
            <w:pPr>
              <w:spacing w:after="0"/>
              <w:rPr>
                <w:sz w:val="14"/>
                <w:szCs w:val="14"/>
                <w:color w:val="auto"/>
              </w:rPr>
            </w:pP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the exercise of stock options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80" w:type="dxa"/>
            <w:vAlign w:val="bottom"/>
            <w:shd w:val="clear" w:color="auto" w:fill="CCEEFF"/>
          </w:tcPr>
          <w:p>
            <w:pPr>
              <w:spacing w:after="0"/>
              <w:rPr>
                <w:sz w:val="14"/>
                <w:szCs w:val="14"/>
                <w:color w:val="auto"/>
              </w:rPr>
            </w:pPr>
          </w:p>
        </w:tc>
      </w:tr>
      <w:tr>
        <w:trPr>
          <w:trHeight w:val="162"/>
        </w:trPr>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the purchase of common stock under ESPP</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80" w:type="dxa"/>
            <w:vAlign w:val="bottom"/>
            <w:tcBorders>
              <w:bottom w:val="single" w:sz="8" w:color="CCEEFF"/>
            </w:tcBorders>
          </w:tcPr>
          <w:p>
            <w:pPr>
              <w:spacing w:after="0"/>
              <w:rPr>
                <w:sz w:val="14"/>
                <w:szCs w:val="14"/>
                <w:color w:val="auto"/>
              </w:rPr>
            </w:pPr>
          </w:p>
        </w:tc>
      </w:tr>
      <w:tr>
        <w:trPr>
          <w:trHeight w:val="156"/>
        </w:trPr>
        <w:tc>
          <w:tcPr>
            <w:tcW w:w="56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80,994</w:t>
            </w:r>
          </w:p>
        </w:tc>
        <w:tc>
          <w:tcPr>
            <w:tcW w:w="2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4,749</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59,920</w:t>
            </w:r>
          </w:p>
        </w:tc>
        <w:tc>
          <w:tcPr>
            <w:tcW w:w="80" w:type="dxa"/>
            <w:vAlign w:val="bottom"/>
            <w:shd w:val="clear" w:color="auto" w:fill="CCEEFF"/>
          </w:tcPr>
          <w:p>
            <w:pPr>
              <w:spacing w:after="0"/>
              <w:rPr>
                <w:sz w:val="13"/>
                <w:szCs w:val="13"/>
                <w:color w:val="auto"/>
              </w:rPr>
            </w:pPr>
          </w:p>
        </w:tc>
      </w:tr>
      <w:tr>
        <w:trPr>
          <w:trHeight w:val="156"/>
        </w:trPr>
        <w:tc>
          <w:tcPr>
            <w:tcW w:w="5640" w:type="dxa"/>
            <w:vAlign w:val="bottom"/>
          </w:tcPr>
          <w:p>
            <w:pPr>
              <w:spacing w:after="0" w:line="155" w:lineRule="exact"/>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39,183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15,329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(5,111)</w:t>
            </w:r>
          </w:p>
        </w:tc>
        <w:tc>
          <w:tcPr>
            <w:tcW w:w="80" w:type="dxa"/>
            <w:vAlign w:val="bottom"/>
          </w:tcPr>
          <w:p>
            <w:pPr>
              <w:spacing w:after="0"/>
              <w:rPr>
                <w:sz w:val="13"/>
                <w:szCs w:val="13"/>
                <w:color w:val="auto"/>
              </w:rPr>
            </w:pP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47,594</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37,376</w:t>
            </w:r>
          </w:p>
        </w:tc>
        <w:tc>
          <w:tcPr>
            <w:tcW w:w="80" w:type="dxa"/>
            <w:vAlign w:val="bottom"/>
            <w:shd w:val="clear" w:color="auto" w:fill="CCEEFF"/>
          </w:tcPr>
          <w:p>
            <w:pPr>
              <w:spacing w:after="0"/>
              <w:rPr>
                <w:sz w:val="14"/>
                <w:szCs w:val="14"/>
                <w:color w:val="auto"/>
              </w:rPr>
            </w:pPr>
          </w:p>
        </w:tc>
      </w:tr>
      <w:tr>
        <w:trPr>
          <w:trHeight w:val="196"/>
        </w:trPr>
        <w:tc>
          <w:tcPr>
            <w:tcW w:w="56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86,777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47,594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32,265</w:t>
            </w:r>
          </w:p>
        </w:tc>
        <w:tc>
          <w:tcPr>
            <w:tcW w:w="80" w:type="dxa"/>
            <w:vAlign w:val="bottom"/>
            <w:tcBorders>
              <w:bottom w:val="single" w:sz="8" w:color="CCEEFF"/>
            </w:tcBorders>
          </w:tcPr>
          <w:p>
            <w:pPr>
              <w:spacing w:after="0"/>
              <w:rPr>
                <w:sz w:val="17"/>
                <w:szCs w:val="17"/>
                <w:color w:val="auto"/>
              </w:rPr>
            </w:pPr>
          </w:p>
        </w:tc>
      </w:tr>
      <w:tr>
        <w:trPr>
          <w:trHeight w:val="143"/>
        </w:trPr>
        <w:tc>
          <w:tcPr>
            <w:tcW w:w="56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and non-cash activities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Impact of adopting new accounting standards</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20,050</w:t>
            </w:r>
          </w:p>
        </w:tc>
        <w:tc>
          <w:tcPr>
            <w:tcW w:w="100" w:type="dxa"/>
            <w:vAlign w:val="bottom"/>
          </w:tcPr>
          <w:p>
            <w:pPr>
              <w:spacing w:after="0"/>
              <w:rPr>
                <w:sz w:val="14"/>
                <w:szCs w:val="14"/>
                <w:color w:val="auto"/>
              </w:rPr>
            </w:pP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 obtained in exchange for operating lease liabilities</w:t>
            </w:r>
          </w:p>
        </w:tc>
        <w:tc>
          <w:tcPr>
            <w:tcW w:w="3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82"/>
        </w:trPr>
        <w:tc>
          <w:tcPr>
            <w:tcW w:w="5640" w:type="dxa"/>
            <w:vAlign w:val="bottom"/>
          </w:tcPr>
          <w:p>
            <w:pPr>
              <w:spacing w:after="0"/>
              <w:rPr>
                <w:sz w:val="20"/>
                <w:szCs w:val="20"/>
                <w:color w:val="auto"/>
              </w:rPr>
            </w:pPr>
            <w:r>
              <w:rPr>
                <w:rFonts w:ascii="Arial" w:cs="Arial" w:eastAsia="Arial" w:hAnsi="Arial"/>
                <w:sz w:val="14"/>
                <w:szCs w:val="14"/>
                <w:color w:val="auto"/>
              </w:rPr>
              <w:t>Capital expenditures incurred but not yet paid</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434</w:t>
            </w: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5"/>
                <w:szCs w:val="15"/>
                <w:color w:val="auto"/>
              </w:rPr>
            </w:pP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Voyager Therapeutics, Inc. (the “Company”) is a clinical-stage gene therapy company focused on developing life-changing treatments for patients suffering from severe neurological diseases. The Company is focused on neurological diseases where it believes an adeno-associated virus (“AAV”) gene therapy approach that either increases or decreases the production of a specific protein can slow or reduce the symptoms experienced by patients, and therefore have a clinically meaningful impact. The Company has built a gene therapy platform that it believes positions itself to be a leading company at the intersection of AAV gene therapy and severe neurological disease. The Company’s gene therapy platform enables it to engineer, optimize, manufacture and deliver its AAV-based gene therapies that have the potential to provide durable efficacy following a single administration.</w:t>
      </w:r>
    </w:p>
    <w:p>
      <w:pPr>
        <w:spacing w:after="0" w:line="18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color w:val="auto"/>
        </w:rPr>
        <w:t>Additionally, the Company is working to identify novel AAV capsids, which are the outer viral protein shells that enclose the genetic material of the virus payload. The Company’s team of experts in the fields of AAV gene therapy and neuroscience first identifies and selects severe neurological diseases that are well-suited for treatment using AAV gene therapy. The Company then engineers and optimizes AAV vectors for delivery of the virus payload to the targeted tissue or cells. The Company’s manufacturing process employs an established system that it believes will enable production of high quality AAV vectors at commercial-scale. In addition to the Company’s capsid optimization efforts, it leverages novel delivery paradigms, established routes of administration, and advances in dosing techniques to optimize delivery of its AAV gene therapies to target tissues, regions and cell types that are critical to the disease of interest. The Company believes it can achieve this directly, with targeted infusions to discrete regions of the brain, the spinal cord, or systemically, in conjunction with its novel capsids.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Company’s business strategy focuses on discovering, developing, manufacturing and commercializing its gene therapy programs. As part of this strategy, the Company has developed core competencies specific to AAV gene therapy development and manufacturing and is beginning to build its commercial infrastructure. This business strategy also includes business development activities that may include in-licensing activities or partnering certain programs in certain geographies with collaborators, as the Company has demonstrated through its collaboration with Sanofi Genzyme Corporation (the “Sanofi Genzyme Collaboration”), its collaboration with AbbVie Biotechnology Ltd (the “AbbVie Tau Collaboration”), its collaboration with Neurocrine Biosciences, Inc. (the “Neurocrine Collaboration”), and its collaboration with AbbVie Ireland Unlimited Company (the “AbbVie Alpha-Synuclein Collaboration”). The Company is devoting substantially all of its efforts to product research and development, market development, and raising capital. The Company is subject to risks common to companies in the biotechnology and gene therapy industry, including but not limited to, the need to obtain sufficient capital to continue to fund its operations, risks of failure of preclinical studies and clinical trials, the need to obtain marketing approval for its product candidates, the need to successfully commercialize and gain market acceptance of its product candidates, dependence on key personnel, protection of proprietary information and technology, protection against data breaches and other cybersecurity threats, compliance with government regulations, development by competitors of technological innovations, and ability to transition from pilot-scale manufacturing to large-scale production of products.</w:t>
      </w:r>
    </w:p>
    <w:p>
      <w:pPr>
        <w:spacing w:after="0" w:line="173"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The Company has incurred annual net operating losses in every year since inception. As of December 31, 2019, the Company had an accumulated deficit of $312.6 million. The Company has not generated any product revenue and has financed its operations primarily through public offerings and private placements of its equity securities and funding from its collaborations with Sanofi Genzyme Corporation (“Sanofi Genzyme”), AbbVie Biotechnology Ltd and AbbVie Ireland Unlimited Company (collectively, “AbbVie”), and Neurocrine Biosciences, Inc. (“Neurocrine”). Based upon the current operating plan, the Company expects that its existing cash, cash equivalents, and marketable debt securities will enable the Company to fund its operating expenses and capital expenditure requirements into mid-2022. There can be no assurance that the Company will be able to obtain additional debt or equity financing or generate product revenue or revenue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ind w:right="640" w:firstLine="648"/>
        <w:spacing w:after="0" w:line="262" w:lineRule="auto"/>
        <w:rPr>
          <w:sz w:val="20"/>
          <w:szCs w:val="20"/>
          <w:color w:val="auto"/>
        </w:rPr>
      </w:pPr>
      <w:r>
        <w:rPr>
          <w:rFonts w:ascii="Arial" w:cs="Arial" w:eastAsia="Arial" w:hAnsi="Arial"/>
          <w:sz w:val="18"/>
          <w:szCs w:val="18"/>
          <w:color w:val="auto"/>
        </w:rPr>
        <w:t>The following is a summary of significant accounting policies followed in the preparation of these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Voyager Securities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accrued expenses, stock-based compensation expense, and income taxes. The Company bases its estimates on historical experience and other market specific or other relevant assumptions that it believes to be reasonable under the circumstances. Actual results may differ from those estimates or assumptions.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76"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202" w:lineRule="exact"/>
        <w:rPr>
          <w:sz w:val="20"/>
          <w:szCs w:val="20"/>
          <w:color w:val="auto"/>
        </w:rPr>
      </w:pPr>
    </w:p>
    <w:p>
      <w:pPr>
        <w:ind w:left="1000" w:hanging="323"/>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238" w:lineRule="exact"/>
        <w:rPr>
          <w:rFonts w:ascii="Arial" w:cs="Arial" w:eastAsia="Arial" w:hAnsi="Arial"/>
          <w:sz w:val="18"/>
          <w:szCs w:val="18"/>
          <w:color w:val="auto"/>
        </w:rPr>
      </w:pPr>
    </w:p>
    <w:p>
      <w:pPr>
        <w:ind w:left="1000" w:right="500" w:hanging="323"/>
        <w:spacing w:after="0" w:line="29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inputs that are either directly or indirectly observable,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interest rates, and yield curves.</w:t>
      </w:r>
    </w:p>
    <w:p>
      <w:pPr>
        <w:spacing w:after="0" w:line="169" w:lineRule="exact"/>
        <w:rPr>
          <w:rFonts w:ascii="Arial" w:cs="Arial" w:eastAsia="Arial" w:hAnsi="Arial"/>
          <w:sz w:val="18"/>
          <w:szCs w:val="18"/>
          <w:color w:val="auto"/>
        </w:rPr>
      </w:pPr>
    </w:p>
    <w:p>
      <w:pPr>
        <w:ind w:left="1000" w:right="240" w:hanging="323"/>
        <w:spacing w:after="0" w:line="29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developed using estimates of assumptions developed by the Company,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those that a market participant would use.</w:t>
      </w:r>
    </w:p>
    <w:p>
      <w:pPr>
        <w:spacing w:after="0" w:line="1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0" w:lineRule="exact"/>
        <w:rPr>
          <w:sz w:val="20"/>
          <w:szCs w:val="20"/>
          <w:color w:val="auto"/>
        </w:rPr>
      </w:pPr>
    </w:p>
    <w:p>
      <w:pPr>
        <w:ind w:right="400" w:firstLine="648"/>
        <w:spacing w:after="0" w:line="362" w:lineRule="auto"/>
        <w:rPr>
          <w:sz w:val="20"/>
          <w:szCs w:val="20"/>
          <w:color w:val="auto"/>
        </w:rPr>
      </w:pPr>
      <w:r>
        <w:rPr>
          <w:rFonts w:ascii="Arial" w:cs="Arial" w:eastAsia="Arial" w:hAnsi="Arial"/>
          <w:sz w:val="15"/>
          <w:szCs w:val="15"/>
          <w:color w:val="auto"/>
        </w:rPr>
        <w:t>The carrying amounts reflected in the balance sheets for cash and cash equivalents, prepaid expenses and other current assets, accounts payable and accrued expenses approximate their fair values, due to their short-term nature.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2"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6"/>
          <w:szCs w:val="16"/>
          <w:color w:val="auto"/>
        </w:rPr>
        <w:t>The Company classifies marketable debt securities with a remaining maturity of greater than three months when purchased as available-for-sale. Marketable debt securities with a remaining maturity date greater than one year and marketable equity securities are classified as non-current where the Company has the intent and ability to hold these securities for at least the next 12 months. During 2016, the Company invested in a supplier and received common stock and warrants to purchase common stock in that entity. The common stock is considered an available-for-sale marketable equity security and is included in non-current marketable securities, and the warrants are included in non-current assets.</w:t>
      </w:r>
    </w:p>
    <w:p>
      <w:pPr>
        <w:spacing w:after="0" w:line="1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All available for sale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 than temporary” and, if so, recognizes the loss through a charge to the Company’s statements of operations and comprehensive loss. No other than temporary losses have been recognized.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cash equivalents, and marketable securities as of December 31, 2019 and 2018 consist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5"/>
          </w:tcPr>
          <w:p>
            <w:pPr>
              <w:ind w:left="400"/>
              <w:spacing w:after="0" w:line="196" w:lineRule="exact"/>
              <w:rPr>
                <w:sz w:val="20"/>
                <w:szCs w:val="20"/>
                <w:color w:val="auto"/>
              </w:rPr>
            </w:pPr>
            <w:r>
              <w:rPr>
                <w:rFonts w:ascii="Arial" w:cs="Arial" w:eastAsia="Arial" w:hAnsi="Arial"/>
                <w:sz w:val="18"/>
                <w:szCs w:val="18"/>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w w:val="98"/>
              </w:rPr>
              <w:t>Money market funds included in 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195,467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195,491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196,687</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197,411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money market funds and marketable securities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274,990</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275,714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Money market funds included in 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46,173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110,171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597</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109,575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Total money market funds and marketable securities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156,344</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All of the Company’s marketable debt securities at December 31, 2019 and 2018 have a contractual maturity of one year or less.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2"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At December 31, 2019 and 2018, the Company maintained restricted cash totaling approximately $0.7 million held in the form of money market accounts as collateral for the Company’s facility lease obligation. The balance is included within deposits in other non-current assets in the accompanying consolidated balance sheets. The following table provides a reconciliation of cash, cash equivalents, and restricted cash within the consolidated balance sheets that sum to the total of the same such amounts shown in the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line="196" w:lineRule="exact"/>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46,859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31,530</w:t>
            </w:r>
          </w:p>
        </w:tc>
        <w:tc>
          <w:tcPr>
            <w:tcW w:w="60" w:type="dxa"/>
            <w:vAlign w:val="bottom"/>
            <w:shd w:val="clear" w:color="auto" w:fill="CCEEFF"/>
          </w:tcPr>
          <w:p>
            <w:pPr>
              <w:spacing w:after="0"/>
              <w:rPr>
                <w:sz w:val="17"/>
                <w:szCs w:val="17"/>
                <w:color w:val="auto"/>
              </w:rPr>
            </w:pPr>
          </w:p>
        </w:tc>
      </w:tr>
      <w:tr>
        <w:trPr>
          <w:trHeight w:val="203"/>
        </w:trPr>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w w:val="96"/>
              </w:rPr>
              <w:t>Restricted cash included in deposits and other noncurrent assets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w:t>
            </w:r>
          </w:p>
        </w:tc>
        <w:tc>
          <w:tcPr>
            <w:tcW w:w="60" w:type="dxa"/>
            <w:vAlign w:val="bottom"/>
            <w:tcBorders>
              <w:bottom w:val="single" w:sz="8" w:color="CCEEFF"/>
            </w:tcBorders>
          </w:tcPr>
          <w:p>
            <w:pPr>
              <w:spacing w:after="0"/>
              <w:rPr>
                <w:sz w:val="17"/>
                <w:szCs w:val="17"/>
                <w:color w:val="auto"/>
              </w:rPr>
            </w:pPr>
          </w:p>
        </w:tc>
      </w:tr>
      <w:tr>
        <w:trPr>
          <w:trHeight w:val="196"/>
        </w:trPr>
        <w:tc>
          <w:tcPr>
            <w:tcW w:w="5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86,777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47,594</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32,265</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straight-line method.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As of December 31, 2019, all of the Company’s revenue has been generated from its collaboration agreements with Sanofi Genzyme, AbbVie, and Neurocrine.</w:t>
      </w:r>
    </w:p>
    <w:p>
      <w:pPr>
        <w:spacing w:after="0" w:line="1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The Company enters into collaboration agreements which are within the scope of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(“ASC 606”), under which the Company licenses rights to certain of the Company’s product candidates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performs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67"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The promised goods or services in the Company’s arrangements typically consist of license rights to the Company’s intellectual property and research and development services. The Company provides options to additional</w:t>
      </w: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1" w:right="141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items in the contracts, which are accounted for as separate contracts when the customer elects to exercise such options, unless the option provides a material right to the customer.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payments and the likelihood that the payments will be received. The Company utilizes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Company’s contracts often include development and regulatory milestone payments which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in the period of adjustment. To date, the Company has not recognized any consideration related to the achievement of development, regulatory, or commercial milestone revenue resulting from any of the Company’s collaboration arrangements.</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arrangements that include sales-based royalties, including milestone payments based on the level of sales, and the license is deemed to be the predominant item to which the royalties relate, the Company recognizes revenue at the later of</w:t>
      </w:r>
    </w:p>
    <w:p>
      <w:pPr>
        <w:ind w:right="380" w:firstLine="2"/>
        <w:spacing w:after="0" w:line="302" w:lineRule="auto"/>
        <w:tabs>
          <w:tab w:leader="none" w:pos="215"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when the related sales occur, or (ii) when the performance obligation to which some or all of the royalty has been allocated has been satisfied (or partially satisfied). To date, the Company has not recognized any consideration related to sales-based royalty revenue resulting from any of the Company’s collaboration arrangements.</w:t>
      </w:r>
    </w:p>
    <w:p>
      <w:pPr>
        <w:spacing w:after="0" w:line="15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utilizes comparable transactions,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Upfront payments and fees are recorded as deferred revenue upon receipt or when due until the Company performs its obligations under these arrangements. Amounts are recorded as accounts receivable when the Company’s right to consideration is unconditional.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Research and development costs are charged to expense as incurred in performing research and development activities. The costs include employee compensation costs, external research, consultant costs, sponsored research, in-kind services provided under its collaboration agreement with Sanofi Genzyme (“Sanofi Genzyme Collaboration Agreement”), license fees, process development and facilities costs. Facilities costs primarily include the allocation of rent, utilities and depreciation.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Under ASC 842, which was adopted January 1, 2019, the Company determines if an arrangement is or contains a lease at inception. For leases with a term of 12 months or less, the Company does not recognize a right-of-use asset or lease liability. The Company's operating leases are recognized on its consolidated balance sheet as other long-term assets, other current liabilities, and other long-term liabilities. The Company does not have any finance leases.</w:t>
      </w:r>
    </w:p>
    <w:p>
      <w:pPr>
        <w:spacing w:after="0" w:line="1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6"/>
          <w:szCs w:val="16"/>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 Operating lease right-of-use assets also include the effect of any lease payments made and excludes lease incentives. The lease terms may include options to extend or terminate the lease when it is reasonably certain that the Company will exercise that option. Lease expense is recognized on a straight-line basis over the lease term.</w:t>
      </w:r>
    </w:p>
    <w:p>
      <w:pPr>
        <w:spacing w:after="0" w:line="169" w:lineRule="exact"/>
        <w:rPr>
          <w:sz w:val="20"/>
          <w:szCs w:val="20"/>
          <w:color w:val="auto"/>
        </w:rPr>
      </w:pPr>
    </w:p>
    <w:p>
      <w:pPr>
        <w:ind w:right="560" w:firstLine="648"/>
        <w:spacing w:after="0" w:line="248" w:lineRule="auto"/>
        <w:rPr>
          <w:sz w:val="20"/>
          <w:szCs w:val="20"/>
          <w:color w:val="auto"/>
        </w:rPr>
      </w:pPr>
      <w:r>
        <w:rPr>
          <w:rFonts w:ascii="Arial" w:cs="Arial" w:eastAsia="Arial" w:hAnsi="Arial"/>
          <w:sz w:val="18"/>
          <w:szCs w:val="18"/>
          <w:color w:val="auto"/>
        </w:rPr>
        <w:t>The Company has lease agreements with lease and non-lease components, which are generally accounted for separately. Non-lease components as it pertains to the Company's leased premises generally refer to common area maintenance charges related to the premises.</w:t>
      </w:r>
    </w:p>
    <w:p>
      <w:pPr>
        <w:spacing w:after="0" w:line="182"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Under prior guidance ASC 840, rent expense and lease incentives from operating leases were recognized on a straight-line basis over the lease term. The difference between rent expenses recognized and rental payments was recorded as deferred rent in the accompanying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12"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Company expenses patent application and related legal costs as incurred and classifies such costs as general and administrative expenses in the accompanying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(“ASC 718”). ASC 718 requires all stock-based payments to employees,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and other service providers, referred to as non-employees, including grants of restricted stock units and stock options, to be recognized as expense in the consolidated statements of operations based on their grant date fair values. The Company estimates the fair value of options granted using the Black-Scholes option pricing model. The Company uses the fair value of its common stock to determine the fair value of restricted stock awards and restricted stock units.</w:t>
      </w:r>
    </w:p>
    <w:p>
      <w:pPr>
        <w:spacing w:after="0" w:line="170" w:lineRule="exact"/>
        <w:rPr>
          <w:sz w:val="20"/>
          <w:szCs w:val="20"/>
          <w:color w:val="auto"/>
        </w:rPr>
      </w:pPr>
    </w:p>
    <w:p>
      <w:pPr>
        <w:ind w:right="200" w:firstLine="648"/>
        <w:spacing w:after="0" w:line="274" w:lineRule="auto"/>
        <w:rPr>
          <w:sz w:val="20"/>
          <w:szCs w:val="20"/>
          <w:color w:val="auto"/>
        </w:rPr>
      </w:pPr>
      <w:r>
        <w:rPr>
          <w:rFonts w:ascii="Arial" w:cs="Arial" w:eastAsia="Arial" w:hAnsi="Arial"/>
          <w:sz w:val="16"/>
          <w:szCs w:val="16"/>
          <w:color w:val="auto"/>
        </w:rPr>
        <w:t>The Black-Scholes option pricing model requires inputs based on certain subjective assumptions, including (i) the expected stock price volatility, (ii) the calculation of expected term of the award, (iii) the risk-free interest rate and</w:t>
      </w:r>
    </w:p>
    <w:p>
      <w:pPr>
        <w:spacing w:after="0" w:line="1" w:lineRule="exact"/>
        <w:rPr>
          <w:sz w:val="20"/>
          <w:szCs w:val="20"/>
          <w:color w:val="auto"/>
        </w:rPr>
      </w:pPr>
    </w:p>
    <w:p>
      <w:pPr>
        <w:ind w:firstLine="2"/>
        <w:spacing w:after="0" w:line="250" w:lineRule="auto"/>
        <w:tabs>
          <w:tab w:leader="none" w:pos="30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expected dividends. Due to a lack of company-specific historical and implied volatility data, the Company bases the estimate of expected volatility on the historical volatility of a group of similar companies that are publicly traded, blended with the most recent period of historic volatility of its common stock.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for stock options granted to employees as it does not have sufficient historical exercise data to provide a reasonable basis upon which to estimate the expected term. For stock options granted to non-employees, the Company utilizes the contractual term of the arrangement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88" w:lineRule="exact"/>
        <w:rPr>
          <w:sz w:val="20"/>
          <w:szCs w:val="20"/>
          <w:color w:val="auto"/>
        </w:rPr>
      </w:pPr>
    </w:p>
    <w:p>
      <w:pPr>
        <w:ind w:right="500" w:firstLine="648"/>
        <w:spacing w:after="0" w:line="248" w:lineRule="auto"/>
        <w:rPr>
          <w:sz w:val="20"/>
          <w:szCs w:val="20"/>
          <w:color w:val="auto"/>
        </w:rPr>
      </w:pPr>
      <w:r>
        <w:rPr>
          <w:rFonts w:ascii="Arial" w:cs="Arial" w:eastAsia="Arial" w:hAnsi="Arial"/>
          <w:sz w:val="18"/>
          <w:szCs w:val="18"/>
          <w:color w:val="auto"/>
        </w:rPr>
        <w:t>The Company expenses the fair value of its stock-based compensation awards on a straight-line basis over the associated service period, which is generally the period in which the related services are received, adjusted for actual forfeitures of unvested awards as they occur.</w:t>
      </w:r>
    </w:p>
    <w:p>
      <w:pPr>
        <w:spacing w:after="0" w:line="18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The Company records the expense for stock-based compensation awards subject to performance conditions over the remaining service period when management determines that achievement of the performance condition is probable. Management evaluates when the achievement of a performance condition is probable based on the expected satisfaction of the performance conditions as of the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7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2019, the Company does not have any significant uncertain tax positions.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2"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Comprehensive loss is comprised of net loss and other comprehensive income or loss. Other comprehensive income or loss consists of unrealized gains or losses on marketable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during the period, without consideration for potentially dilutive securities. Diluted net loss per share is computed by dividing the net loss by the weighted-average number of shares of common stock and potentially dilutive securities outstanding for the period determined using the treasury-stock and if-converted methods.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For purposes of the diluted net loss per share, unvested restricted common stock and outstanding stock options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48" w:lineRule="exact"/>
        <w:rPr>
          <w:sz w:val="20"/>
          <w:szCs w:val="20"/>
          <w:color w:val="auto"/>
        </w:rPr>
      </w:pPr>
    </w:p>
    <w:p>
      <w:pPr>
        <w:ind w:right="740" w:firstLine="648"/>
        <w:spacing w:after="0" w:line="262"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w:t>
      </w:r>
    </w:p>
    <w:p>
      <w:pPr>
        <w:spacing w:after="0" w:line="215" w:lineRule="exact"/>
        <w:rPr>
          <w:sz w:val="20"/>
          <w:szCs w:val="20"/>
          <w:color w:val="auto"/>
        </w:rPr>
      </w:pPr>
    </w:p>
    <w:tbl>
      <w:tblPr>
        <w:tblLayout w:type="fixed"/>
        <w:tblInd w:w="10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common stock awards</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176,471</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235,294</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557,979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Unvested restricted common stock units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455,404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stock options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5,317,326</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4,225,152</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3,143,566</w:t>
            </w:r>
          </w:p>
        </w:tc>
        <w:tc>
          <w:tcPr>
            <w:tcW w:w="12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9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5,949,201</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4,460,446</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3,701,545</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21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7"/>
          <w:szCs w:val="17"/>
          <w:color w:val="auto"/>
        </w:rPr>
        <w:t>The Company has no financial instruments with off-balance sheet risk such as foreign exchange contracts, option contracts or other foreign currency hedging arrangements. Financial instruments that potentially subject the Company to a concentration of credit risk are cash and cash equivalents. The Company’s cash is held in accounts at financial institutions that may exceed federally insured limits. The Company has not experienced any credit losses in such accounts and does not believe it is exposed to any significant credit risk on these funds.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212"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The Company is dependent on third-party manufacturers to supply certain products for research and development activities in its programs. In particular, the Company relies on a sole manufacturer to supply it with specific vectors related to the Company’s research and development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2"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views the Company’s operations and manages its business as a single operating segment, which is the business of developing and commercializing gene therapies.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 xml:space="preserve">In February 2016, the FASB issued ASU No. 2016-02, a comprehensive new lease accounting standard, which provides revised guidance on accounting for lease arrangements by both lessors and lessees and requires lessees to recognize a lease liability and a right-of-use (“ROU”) asset for most leases. In July 2018, the FASB issued ASU No. 2018-11, </w:t>
      </w:r>
      <w:r>
        <w:rPr>
          <w:rFonts w:ascii="Arial" w:cs="Arial" w:eastAsia="Arial" w:hAnsi="Arial"/>
          <w:sz w:val="16"/>
          <w:szCs w:val="16"/>
          <w:i w:val="1"/>
          <w:iCs w:val="1"/>
          <w:color w:val="auto"/>
        </w:rPr>
        <w:t xml:space="preserve">Leases-Targeted Improvements </w:t>
      </w:r>
      <w:r>
        <w:rPr>
          <w:rFonts w:ascii="Arial" w:cs="Arial" w:eastAsia="Arial" w:hAnsi="Arial"/>
          <w:sz w:val="16"/>
          <w:szCs w:val="16"/>
          <w:color w:val="auto"/>
        </w:rPr>
        <w:t>(“ASC 842”), which provides an additional transition method that allowed entities to initially apply</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lease requirements at the adoption date, not the earliest period presented, and recognize a cumulative effect adjustment to the opening balance of retained earnings in the period of adoption. The Company elected this transition method at the adoption date of January 1, 2019. The Company elected a package of practical expedients, under which an entity need not reassess whether any expired or existing contracts are or contain leases, the lease classification for any expired or existing leases, or initial direct costs for any existing leases. The impact of adopting ASC 842 was represented as a capitalization of a ROU asset of approximately $31.0 million with a corresponding lease liability of approximately $36.7 million to be recognized over the remaining life of the Company’s leases.</w:t>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(“ASU 2018-07”). The new standard largely aligns the accounting for share-based payment awards issued to employees and nonemployees by expanding the scope of ASC 718 to apply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nonemployee share-based transactions, as long as the transaction is not effectively a form of financing. The adoption of ASU 2018-07 on January 1, 2019 did not have a material impact on the Company's consolidated financial statements.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most industry-specific guidance. The new standard requires that an entity recognize revenue to depict the transfer of promised goods or services to customers in an amount that reflects the consideration to which the entity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Thereafter, a series of clarifying ASUs, narrow scope improvements and practical expedients were issued. This collective guidance resulted in the new revenue standard, ASC 606.</w:t>
      </w:r>
    </w:p>
    <w:p>
      <w:pPr>
        <w:spacing w:after="0" w:line="169"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The Company adopted the new standard effective January 1, 2018 using the modified retrospective approach. The Company had one open contract, relating to the Sanofi Genzyme Collaboration, on the adoption date and has assessed it under the new revenue standard. The adoption of ASC 606 resulted in the changes to (i) the allocation of arrangement consideration, including the determination of estimated selling price and the allocation of variable consideration to specific performance obligations and (ii) the application of proportional performance as a measure of progress on service-related deliverables.</w:t>
      </w:r>
    </w:p>
    <w:p>
      <w:pPr>
        <w:spacing w:after="0" w:line="190"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The Company has accounted for the impact of adopting ASC 606 as a cumulative catch-up under the modified retrospective approach, which is represented as an increase of $20.0 million to deferred revenue with an offset to accumulated deficit, effective January 1, 2018. The following financial statement line items have been shown to reflect comparative balances under ASC 606 and ASC 605 for the year ended December 31, 2018, for both of the Sanofi Genzyme Collaboration and AbbVie Tau Collaboration, collectively.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 2018</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293"/>
              <w:spacing w:after="0"/>
              <w:rPr>
                <w:sz w:val="20"/>
                <w:szCs w:val="20"/>
                <w:color w:val="auto"/>
              </w:rPr>
            </w:pPr>
            <w:r>
              <w:rPr>
                <w:rFonts w:ascii="Arial" w:cs="Arial" w:eastAsia="Arial" w:hAnsi="Arial"/>
                <w:sz w:val="14"/>
                <w:szCs w:val="14"/>
                <w:b w:val="1"/>
                <w:bCs w:val="1"/>
                <w:color w:val="auto"/>
              </w:rPr>
              <w:t>Under ASC 606</w:t>
            </w:r>
          </w:p>
        </w:tc>
        <w:tc>
          <w:tcPr>
            <w:tcW w:w="320" w:type="dxa"/>
            <w:vAlign w:val="bottom"/>
          </w:tcPr>
          <w:p>
            <w:pPr>
              <w:spacing w:after="0"/>
              <w:rPr>
                <w:sz w:val="17"/>
                <w:szCs w:val="17"/>
                <w:color w:val="auto"/>
              </w:rPr>
            </w:pPr>
          </w:p>
        </w:tc>
        <w:tc>
          <w:tcPr>
            <w:tcW w:w="1580" w:type="dxa"/>
            <w:vAlign w:val="bottom"/>
          </w:tcPr>
          <w:p>
            <w:pPr>
              <w:jc w:val="center"/>
              <w:ind w:right="254"/>
              <w:spacing w:after="0"/>
              <w:rPr>
                <w:sz w:val="20"/>
                <w:szCs w:val="20"/>
                <w:color w:val="auto"/>
              </w:rPr>
            </w:pPr>
            <w:r>
              <w:rPr>
                <w:rFonts w:ascii="Arial" w:cs="Arial" w:eastAsia="Arial" w:hAnsi="Arial"/>
                <w:sz w:val="14"/>
                <w:szCs w:val="14"/>
                <w:b w:val="1"/>
                <w:bCs w:val="1"/>
                <w:color w:val="auto"/>
                <w:w w:val="94"/>
              </w:rPr>
              <w:t>Under ASC 605</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Effect of change</w:t>
            </w:r>
          </w:p>
        </w:tc>
      </w:tr>
      <w:tr>
        <w:trPr>
          <w:trHeight w:val="196"/>
        </w:trPr>
        <w:tc>
          <w:tcPr>
            <w:tcW w:w="3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120" w:type="dxa"/>
            <w:vAlign w:val="bottom"/>
            <w:tcBorders>
              <w:top w:val="single" w:sz="8" w:color="auto"/>
            </w:tcBorders>
            <w:gridSpan w:val="5"/>
            <w:shd w:val="clear" w:color="auto" w:fill="CCEEFF"/>
          </w:tcPr>
          <w:p>
            <w:pPr>
              <w:jc w:val="center"/>
              <w:ind w:right="154"/>
              <w:spacing w:after="0" w:line="196" w:lineRule="exact"/>
              <w:rPr>
                <w:sz w:val="20"/>
                <w:szCs w:val="20"/>
                <w:color w:val="auto"/>
              </w:rPr>
            </w:pPr>
            <w:r>
              <w:rPr>
                <w:rFonts w:ascii="Arial" w:cs="Arial" w:eastAsia="Arial" w:hAnsi="Arial"/>
                <w:sz w:val="18"/>
                <w:szCs w:val="18"/>
                <w:i w:val="1"/>
                <w:iCs w:val="1"/>
                <w:color w:val="auto"/>
                <w:w w:val="89"/>
              </w:rPr>
              <w:t>(in thousands, except per share data)</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Collaboration revenue</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7,619</w:t>
            </w:r>
          </w:p>
        </w:tc>
        <w:tc>
          <w:tcPr>
            <w:tcW w:w="3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11,095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(3,476)</w:t>
            </w:r>
          </w:p>
        </w:tc>
        <w:tc>
          <w:tcPr>
            <w:tcW w:w="8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(88,468)</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(84,992)</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(3,476)</w:t>
            </w:r>
          </w:p>
        </w:tc>
        <w:tc>
          <w:tcPr>
            <w:tcW w:w="80" w:type="dxa"/>
            <w:vAlign w:val="bottom"/>
            <w:shd w:val="clear" w:color="auto" w:fill="CCEEFF"/>
          </w:tcPr>
          <w:p>
            <w:pPr>
              <w:spacing w:after="0"/>
              <w:rPr>
                <w:sz w:val="17"/>
                <w:szCs w:val="17"/>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(88,288)</w:t>
            </w:r>
          </w:p>
        </w:tc>
        <w:tc>
          <w:tcPr>
            <w:tcW w:w="320" w:type="dxa"/>
            <w:vAlign w:val="bottom"/>
          </w:tcPr>
          <w:p>
            <w:pPr>
              <w:spacing w:after="0"/>
              <w:rPr>
                <w:sz w:val="17"/>
                <w:szCs w:val="17"/>
                <w:color w:val="auto"/>
              </w:rPr>
            </w:pPr>
          </w:p>
        </w:tc>
        <w:tc>
          <w:tcPr>
            <w:tcW w:w="1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(84,812)</w:t>
            </w: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(3,476)</w:t>
            </w:r>
          </w:p>
        </w:tc>
        <w:tc>
          <w:tcPr>
            <w:tcW w:w="8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 2018</w:t>
            </w:r>
          </w:p>
        </w:tc>
        <w:tc>
          <w:tcPr>
            <w:tcW w:w="620" w:type="dxa"/>
            <w:vAlign w:val="bottom"/>
            <w:tcBorders>
              <w:bottom w:val="single" w:sz="8" w:color="auto"/>
            </w:tcBorders>
          </w:tcPr>
          <w:p>
            <w:pPr>
              <w:spacing w:after="0"/>
              <w:rPr>
                <w:sz w:val="16"/>
                <w:szCs w:val="16"/>
                <w:color w:val="auto"/>
              </w:rPr>
            </w:pPr>
          </w:p>
        </w:tc>
      </w:tr>
      <w:tr>
        <w:trPr>
          <w:trHeight w:val="196"/>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Under ASC 606</w:t>
            </w: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Under ASC 605 Effect of change</w:t>
            </w:r>
          </w:p>
        </w:tc>
      </w:tr>
      <w:tr>
        <w:trPr>
          <w:trHeight w:val="196"/>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gridSpan w:val="2"/>
          </w:tcPr>
          <w:p>
            <w:pPr>
              <w:jc w:val="right"/>
              <w:ind w:right="430"/>
              <w:spacing w:after="0" w:line="196" w:lineRule="exact"/>
              <w:rPr>
                <w:sz w:val="20"/>
                <w:szCs w:val="20"/>
                <w:color w:val="auto"/>
              </w:rPr>
            </w:pPr>
            <w:r>
              <w:rPr>
                <w:rFonts w:ascii="Arial" w:cs="Arial" w:eastAsia="Arial" w:hAnsi="Arial"/>
                <w:sz w:val="18"/>
                <w:szCs w:val="18"/>
                <w:i w:val="1"/>
                <w:iCs w:val="1"/>
                <w:color w:val="auto"/>
                <w:w w:val="91"/>
              </w:rPr>
              <w:t>(in thousands)</w:t>
            </w:r>
          </w:p>
        </w:tc>
        <w:tc>
          <w:tcPr>
            <w:tcW w:w="620" w:type="dxa"/>
            <w:vAlign w:val="bottom"/>
          </w:tcPr>
          <w:p>
            <w:pPr>
              <w:spacing w:after="0"/>
              <w:rPr>
                <w:sz w:val="17"/>
                <w:szCs w:val="17"/>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(88,288)$</w:t>
            </w:r>
          </w:p>
        </w:tc>
        <w:tc>
          <w:tcPr>
            <w:tcW w:w="1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(84,812)$</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(3,476)</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61,380</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57,904</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This standard eliminates, adds and modifies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fair value measurements as part of its disclosure framework project. ASU 2018-13 is effective for annual reporting periods beginning after December 15, 2019 and interim periods within those annual periods and early adoption is permitted. The Company is currently evaluating the potential impact that this guidance may have on its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1" w:right="141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(“ASU 2016-13”). ASU 2016-13 will change how companies account for credit losses for most financial assets and certain other instruments. For trade receivables, loans and held-to-maturity debt securities, companies will be required to recognize an allowance for credit losses rather than reducing the carrying value of the asset. ASU 2016-13 is effective for fiscal years beginning after December 15, 2022, including interim periods within those fiscal years. Early adoption is permitted. The Company is currently evaluating the potential impact that this guidance may have on its consolidated financial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and liabilities measured at fair value on a recurring basis as of December 31, 2019 and 2018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Quoted Prices</w:t>
            </w:r>
          </w:p>
        </w:tc>
        <w:tc>
          <w:tcPr>
            <w:tcW w:w="14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203"/>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Unobservable</w:t>
            </w:r>
          </w:p>
        </w:tc>
      </w:tr>
      <w:tr>
        <w:trPr>
          <w:trHeight w:val="178"/>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96"/>
        </w:trPr>
        <w:tc>
          <w:tcPr>
            <w:tcW w:w="4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5"/>
          </w:tcPr>
          <w:p>
            <w:pPr>
              <w:ind w:left="540"/>
              <w:spacing w:after="0" w:line="196"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w w:val="94"/>
              </w:rPr>
              <w:t>Money market funds included in cash and cash equivalents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195,491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195,491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196"/>
        </w:trPr>
        <w:tc>
          <w:tcPr>
            <w:tcW w:w="448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197,411</w:t>
            </w: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197,411</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ind w:left="66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equity securities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276,268</w:t>
            </w:r>
          </w:p>
        </w:tc>
        <w:tc>
          <w:tcPr>
            <w:tcW w:w="180" w:type="dxa"/>
            <w:vAlign w:val="bottom"/>
          </w:tcPr>
          <w:p>
            <w:pPr>
              <w:spacing w:after="0"/>
              <w:rPr>
                <w:sz w:val="21"/>
                <w:szCs w:val="21"/>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275,714</w:t>
            </w:r>
          </w:p>
        </w:tc>
        <w:tc>
          <w:tcPr>
            <w:tcW w:w="160" w:type="dxa"/>
            <w:vAlign w:val="bottom"/>
          </w:tcPr>
          <w:p>
            <w:pPr>
              <w:spacing w:after="0"/>
              <w:rPr>
                <w:sz w:val="21"/>
                <w:szCs w:val="21"/>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183"/>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w w:val="94"/>
              </w:rPr>
              <w:t>Money market funds included in cash and cash equivalents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46,173</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46,173</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108,947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108,947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196"/>
        </w:trPr>
        <w:tc>
          <w:tcPr>
            <w:tcW w:w="448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109,575</w:t>
            </w: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109,575</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ind w:left="66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equity securities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155,982</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155,748</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 Company measures the fair value of money market funds, U.S. Treasuries and equity securities based on quoted prices in active markets for identical securities. The Level 2 equity securities include warrants used to purchase equity securities that are valued using the Black-Scholes model. The Black-Scholes option pricing model requires inputs based on certain subjective assumptions, including (i) the expected stock price volatility, (ii) the calculation of expected term of the awards, (iii) the risk-free interest rate, and (iv) expected dividends. The assumptions utilized to value the warrants to purchase equity securities as of December 31, 2019, 2018, and 2017 are as follows: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5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96"/>
        </w:trPr>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5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5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5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 %</w:t>
            </w: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33" w:lineRule="exact"/>
        <w:rPr>
          <w:sz w:val="20"/>
          <w:szCs w:val="20"/>
          <w:color w:val="auto"/>
        </w:rPr>
      </w:pPr>
    </w:p>
    <w:p>
      <w:pPr>
        <w:ind w:right="280" w:firstLine="648"/>
        <w:spacing w:after="0" w:line="268" w:lineRule="auto"/>
        <w:rPr>
          <w:sz w:val="20"/>
          <w:szCs w:val="20"/>
          <w:color w:val="auto"/>
        </w:rPr>
      </w:pPr>
      <w:r>
        <w:rPr>
          <w:rFonts w:ascii="Arial" w:cs="Arial" w:eastAsia="Arial" w:hAnsi="Arial"/>
          <w:sz w:val="16"/>
          <w:szCs w:val="16"/>
          <w:color w:val="auto"/>
        </w:rPr>
        <w:t>The expected volatility is based on the historic volatility for the equity securities underlying the warrants and is calculated based on a period of time commensurate with the expected term assumption. The expected term is based on the remaining contractual life of the warrants on each measurement date. The risk-free interest rate is based on a treasury instrument whose term is consistent with the expected term of the warrants. The expected dividend yield is assumed to be zero as the entity that issued the warrants has never paid and has not indicated any intention to pay dividends.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6"/>
          </w:tcPr>
          <w:p>
            <w:pPr>
              <w:jc w:val="center"/>
              <w:ind w:right="240"/>
              <w:spacing w:after="0" w:line="196" w:lineRule="exact"/>
              <w:rPr>
                <w:sz w:val="20"/>
                <w:szCs w:val="20"/>
                <w:color w:val="auto"/>
              </w:rPr>
            </w:pPr>
            <w:r>
              <w:rPr>
                <w:rFonts w:ascii="Arial" w:cs="Arial" w:eastAsia="Arial" w:hAnsi="Arial"/>
                <w:sz w:val="18"/>
                <w:szCs w:val="18"/>
                <w:i w:val="1"/>
                <w:iCs w:val="1"/>
                <w:color w:val="auto"/>
                <w:w w:val="89"/>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research and development contracts</w:t>
            </w:r>
          </w:p>
        </w:tc>
        <w:tc>
          <w:tcPr>
            <w:tcW w:w="820" w:type="dxa"/>
            <w:vAlign w:val="bottom"/>
            <w:gridSpan w:val="3"/>
            <w:shd w:val="clear" w:color="auto" w:fill="CCEEFF"/>
          </w:tcPr>
          <w:p>
            <w:pPr>
              <w:jc w:val="right"/>
              <w:ind w:right="65"/>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1,999</w:t>
            </w:r>
          </w:p>
        </w:tc>
        <w:tc>
          <w:tcPr>
            <w:tcW w:w="440" w:type="dxa"/>
            <w:vAlign w:val="bottom"/>
            <w:gridSpan w:val="3"/>
            <w:shd w:val="clear" w:color="auto" w:fill="CCEEFF"/>
          </w:tcPr>
          <w:p>
            <w:pPr>
              <w:jc w:val="right"/>
              <w:ind w:right="65"/>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1,952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 receivable</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Prepaid insurance</w:t>
            </w: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4,630</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6,675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14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net consists of the following:</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jc w:val="center"/>
              <w:ind w:right="172"/>
              <w:spacing w:after="0" w:line="196" w:lineRule="exact"/>
              <w:rPr>
                <w:sz w:val="20"/>
                <w:szCs w:val="20"/>
                <w:color w:val="auto"/>
              </w:rPr>
            </w:pPr>
            <w:r>
              <w:rPr>
                <w:rFonts w:ascii="Arial" w:cs="Arial" w:eastAsia="Arial" w:hAnsi="Arial"/>
                <w:sz w:val="18"/>
                <w:szCs w:val="18"/>
                <w:i w:val="1"/>
                <w:iCs w:val="1"/>
                <w:color w:val="auto"/>
                <w:w w:val="89"/>
              </w:rPr>
              <w:t>(in thousands)</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820" w:type="dxa"/>
            <w:vAlign w:val="bottom"/>
            <w:gridSpan w:val="3"/>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13,748</w:t>
            </w:r>
          </w:p>
        </w:tc>
        <w:tc>
          <w:tcPr>
            <w:tcW w:w="440" w:type="dxa"/>
            <w:vAlign w:val="bottom"/>
            <w:gridSpan w:val="3"/>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7,129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20" w:type="dxa"/>
            <w:vAlign w:val="bottom"/>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25,643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17,878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(7,657)</w:t>
            </w:r>
          </w:p>
        </w:tc>
        <w:tc>
          <w:tcPr>
            <w:tcW w:w="1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(5,107)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422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17,986</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12,771</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9" w:firstLine="648"/>
        <w:spacing w:after="0" w:line="262" w:lineRule="auto"/>
        <w:rPr>
          <w:sz w:val="20"/>
          <w:szCs w:val="20"/>
          <w:color w:val="auto"/>
        </w:rPr>
      </w:pPr>
      <w:r>
        <w:rPr>
          <w:rFonts w:ascii="Arial" w:cs="Arial" w:eastAsia="Arial" w:hAnsi="Arial"/>
          <w:sz w:val="18"/>
          <w:szCs w:val="18"/>
          <w:color w:val="auto"/>
        </w:rPr>
        <w:t>The Company recorded $2.8 million, $2.1 million, and $1.6 million in depreciation expense during the years ended December 31, 2019, 2018, and 2017,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w:t>
      </w:r>
    </w:p>
    <w:p>
      <w:pPr>
        <w:spacing w:after="0" w:line="17" w:lineRule="exact"/>
        <w:rPr>
          <w:sz w:val="20"/>
          <w:szCs w:val="20"/>
          <w:color w:val="auto"/>
        </w:rPr>
      </w:pPr>
    </w:p>
    <w:tbl>
      <w:tblPr>
        <w:tblLayout w:type="fixed"/>
        <w:tblInd w:w="92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3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96"/>
        </w:trPr>
        <w:tc>
          <w:tcPr>
            <w:tcW w:w="3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right"/>
              <w:ind w:right="552"/>
              <w:spacing w:after="0" w:line="196" w:lineRule="exact"/>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44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13,248</w:t>
            </w:r>
          </w:p>
        </w:tc>
        <w:tc>
          <w:tcPr>
            <w:tcW w:w="44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3,555</w:t>
            </w:r>
          </w:p>
        </w:tc>
        <w:tc>
          <w:tcPr>
            <w:tcW w:w="180" w:type="dxa"/>
            <w:vAlign w:val="bottom"/>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Employee compensation costs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5,733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3,780</w:t>
            </w:r>
          </w:p>
        </w:tc>
        <w:tc>
          <w:tcPr>
            <w:tcW w:w="180" w:type="dxa"/>
            <w:vAlign w:val="bottom"/>
          </w:tcPr>
          <w:p>
            <w:pPr>
              <w:spacing w:after="0"/>
              <w:rPr>
                <w:sz w:val="17"/>
                <w:szCs w:val="17"/>
                <w:color w:val="auto"/>
              </w:rPr>
            </w:pP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goods and services</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1,448</w:t>
            </w:r>
          </w:p>
        </w:tc>
        <w:tc>
          <w:tcPr>
            <w:tcW w:w="180" w:type="dxa"/>
            <w:vAlign w:val="bottom"/>
          </w:tcPr>
          <w:p>
            <w:pPr>
              <w:spacing w:after="0"/>
              <w:rPr>
                <w:sz w:val="17"/>
                <w:szCs w:val="17"/>
                <w:color w:val="auto"/>
              </w:rPr>
            </w:pP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7"/>
                <w:szCs w:val="17"/>
                <w:color w:val="auto"/>
              </w:rPr>
            </w:pPr>
          </w:p>
        </w:tc>
      </w:tr>
      <w:tr>
        <w:trPr>
          <w:trHeight w:val="203"/>
        </w:trPr>
        <w:tc>
          <w:tcPr>
            <w:tcW w:w="3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Patent costs</w:t>
            </w:r>
          </w:p>
        </w:tc>
        <w:tc>
          <w:tcPr>
            <w:tcW w:w="1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w:t>
            </w:r>
          </w:p>
        </w:tc>
        <w:tc>
          <w:tcPr>
            <w:tcW w:w="180" w:type="dxa"/>
            <w:vAlign w:val="bottom"/>
            <w:tcBorders>
              <w:bottom w:val="single" w:sz="8" w:color="CCEEFF"/>
            </w:tcBorders>
          </w:tcPr>
          <w:p>
            <w:pPr>
              <w:spacing w:after="0"/>
              <w:rPr>
                <w:sz w:val="17"/>
                <w:szCs w:val="17"/>
                <w:color w:val="auto"/>
              </w:rPr>
            </w:pPr>
          </w:p>
        </w:tc>
      </w:tr>
      <w:tr>
        <w:trPr>
          <w:trHeight w:val="196"/>
        </w:trPr>
        <w:tc>
          <w:tcPr>
            <w:tcW w:w="35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21,516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9,788</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 obligation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ind w:right="119" w:firstLine="648"/>
        <w:spacing w:after="0" w:line="241" w:lineRule="auto"/>
        <w:rPr>
          <w:sz w:val="20"/>
          <w:szCs w:val="20"/>
          <w:color w:val="auto"/>
        </w:rPr>
      </w:pPr>
      <w:r>
        <w:rPr>
          <w:rFonts w:ascii="Arial" w:cs="Arial" w:eastAsia="Arial" w:hAnsi="Arial"/>
          <w:sz w:val="18"/>
          <w:szCs w:val="18"/>
          <w:color w:val="auto"/>
        </w:rPr>
        <w:t>In April 2014, the Company entered into an agreement to lease its 75 Sidney Street facility under a non-cancelable operating lease that would have expired, if not subsequently extended, on December 15, 2019. The lease includes two renewal options, each for five-year terms and at fair market value upon exercise. The lease contains escalating rent clauses which require higher rent payments in future years. The Company expenses rent on a straight-line basis over the term of the lease, including any rent-free periods.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31" w:right="1440"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40" w:firstLine="648"/>
        <w:spacing w:after="0" w:line="270" w:lineRule="auto"/>
        <w:rPr>
          <w:sz w:val="20"/>
          <w:szCs w:val="20"/>
          <w:color w:val="auto"/>
        </w:rPr>
      </w:pPr>
      <w:r>
        <w:rPr>
          <w:rFonts w:ascii="Arial" w:cs="Arial" w:eastAsia="Arial" w:hAnsi="Arial"/>
          <w:sz w:val="17"/>
          <w:szCs w:val="17"/>
          <w:color w:val="auto"/>
        </w:rPr>
        <w:t>In December 2015, the Company executed an amendment to extend the term of the 75 Sidney Street lease and also executed an agreement to lease an additional facility at 64 Sidney Street until December 31, 2024. The facility at 64 Sidney Street includes laboratory and office space and was ready for occupancy in early 2017.</w:t>
      </w:r>
    </w:p>
    <w:p>
      <w:pPr>
        <w:spacing w:after="0" w:line="124" w:lineRule="exact"/>
        <w:rPr>
          <w:sz w:val="20"/>
          <w:szCs w:val="20"/>
          <w:color w:val="auto"/>
        </w:rPr>
      </w:pPr>
    </w:p>
    <w:p>
      <w:pPr>
        <w:ind w:right="420" w:firstLine="648"/>
        <w:spacing w:after="0" w:line="248" w:lineRule="auto"/>
        <w:rPr>
          <w:sz w:val="20"/>
          <w:szCs w:val="20"/>
          <w:color w:val="auto"/>
        </w:rPr>
      </w:pPr>
      <w:r>
        <w:rPr>
          <w:rFonts w:ascii="Arial" w:cs="Arial" w:eastAsia="Arial" w:hAnsi="Arial"/>
          <w:sz w:val="18"/>
          <w:szCs w:val="18"/>
          <w:color w:val="auto"/>
        </w:rPr>
        <w:t>In February 2018, the Company executed a second amendment to the 75 Sidney Street lease to lease additional space to support its continued growth. The additional facility includes laboratory and office space and was ready for occupancy in mid-2018.</w:t>
      </w:r>
    </w:p>
    <w:p>
      <w:pPr>
        <w:spacing w:after="0" w:line="155"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In June 2018, the Company executed a third amendment to the 75 Sidney Street lease to lease additional space to further support its continued growth. The additional facility includes laboratory and office space, and was ready for occupancy in late 2018. The third amendment extended the term of the 75 Sidney Street lease to November 30, 2026. Additionally, the Company executed a second amendment to the 64 Sidney Street lease to extend that lease to November 30, 2026.</w:t>
      </w:r>
    </w:p>
    <w:p>
      <w:pPr>
        <w:spacing w:after="0" w:line="14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 has received leasehold improvement incentives from the landlord totaling $1.3 million and $3.5 million for 75 Sidney Street and 64 Sidney Street, respectively. The Company recorded these incentives as a component of its ROU asset and is amortizing these incentives as a reduction of rent expense over the life of the leases. The leasehold improvements have been capitalized as fixed assets. The Company is entitled to receive approximately $0.1 million of leasehold improvements for the additional space at 75 Sidney Street pursuant to the third amendment to the 75 Sidney Street lease.</w:t>
      </w:r>
    </w:p>
    <w:p>
      <w:pPr>
        <w:spacing w:after="0" w:line="149"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The Company’s lease agreements require the Company to maintain a cash deposit or irrevocable letter of credit of $0.7 million payable to the landlord as security for the performance of its obligations under the leases. These amounts are recorded as restricted cash and included in deposits and other non-current assets in the accompanying consolidated balance sheets.</w:t>
      </w:r>
    </w:p>
    <w:p>
      <w:pPr>
        <w:spacing w:after="0" w:line="161"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The following table summarizes the Company’s significant contractual obligations under operating leases as of payment due date by period at December 31, 2019:</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Total Minimum</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Lease Payments</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2"/>
              <w:spacing w:after="0" w:line="196" w:lineRule="exact"/>
              <w:rPr>
                <w:sz w:val="20"/>
                <w:szCs w:val="20"/>
                <w:color w:val="auto"/>
              </w:rPr>
            </w:pPr>
            <w:r>
              <w:rPr>
                <w:rFonts w:ascii="Arial" w:cs="Arial" w:eastAsia="Arial" w:hAnsi="Arial"/>
                <w:sz w:val="18"/>
                <w:szCs w:val="18"/>
                <w:i w:val="1"/>
                <w:iCs w:val="1"/>
                <w:color w:val="auto"/>
                <w:w w:val="91"/>
              </w:rPr>
              <w:t>(in thousands)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2020</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2021</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6,138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2022</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6,512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2024</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2025+</w:t>
            </w: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14,190</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45,830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(11,662)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lease liability</w:t>
            </w: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34,168</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Reported as:</w:t>
            </w: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30,975</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lease liability</w:t>
            </w: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34,168</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Rent expense for operating leases of approximately $5.7 million, $4.0 million, and $2.9 million was incurred during the years ended December 31, 2019, 2018, and 2017, respectively. As of December 31, 2019, the weighted average remaining lease term was 6.9 years and the weighted average incremental borrowing rate used to determine the operating lease liability was 8.5%.</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other current and non-current liabilities consisted of the following:</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w w:val="95"/>
              </w:rPr>
              <w:t>As of December 31,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85"/>
              <w:spacing w:after="0" w:line="196" w:lineRule="exact"/>
              <w:rPr>
                <w:sz w:val="20"/>
                <w:szCs w:val="20"/>
                <w:color w:val="auto"/>
              </w:rPr>
            </w:pPr>
            <w:r>
              <w:rPr>
                <w:rFonts w:ascii="Arial" w:cs="Arial" w:eastAsia="Arial" w:hAnsi="Arial"/>
                <w:sz w:val="18"/>
                <w:szCs w:val="18"/>
                <w:i w:val="1"/>
                <w:iCs w:val="1"/>
                <w:color w:val="auto"/>
              </w:rPr>
              <w:t>(in thousands)</w:t>
            </w: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3,193</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other current liabilities</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1520" w:type="dxa"/>
            <w:vAlign w:val="bottom"/>
            <w:gridSpan w:val="2"/>
          </w:tcPr>
          <w:p>
            <w:pPr>
              <w:jc w:val="right"/>
              <w:ind w:right="805"/>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30,975</w:t>
            </w:r>
          </w:p>
        </w:tc>
        <w:tc>
          <w:tcPr>
            <w:tcW w:w="740" w:type="dxa"/>
            <w:vAlign w:val="bottom"/>
            <w:gridSpan w:val="2"/>
          </w:tcPr>
          <w:p>
            <w:pPr>
              <w:jc w:val="right"/>
              <w:ind w:right="365"/>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rent</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1,001</w:t>
            </w: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other non-current liabilities</w:t>
            </w:r>
          </w:p>
        </w:tc>
        <w:tc>
          <w:tcPr>
            <w:tcW w:w="4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31,976</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 Genzyme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In February 2015, the Company entered into the Sanofi Genzyme Collaboration Agreement which included a non-refundable upfront payment of $65.0 million. In addition, contemporaneous with entering into the Sanofi Genzyme Collaboration Agreement, Sanofi Genzyme entered into a Series B Stock Purchase Agreement, under which Sanofi Genzyme purchased 10,000,000 shares of Series B Preferred Stock for $30.0 million. The fair value of the Series B Preferred Stock at the time of issuance was approximately $25.0 million. The $5.0 million premium over the fair value is accounted for as additional consideration under the Sanofi Genzyme Collaboration Agreement.</w:t>
      </w:r>
    </w:p>
    <w:p>
      <w:pPr>
        <w:spacing w:after="0" w:line="135"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Under the Sanofi Genzyme Collaboration Agreement, the Company granted Sanofi Genzyme an exclusive option to license, develop and commercialize (i) ex-U.S. rights to the following programs, which are referred to as Split Territory Programs; VY-AADC (NBIb-1817) for Parkinson’s disease (the “VY-AADC Program”), VY-FXN01 for Friedreich’s ataxia (the “FA Program”), a future program to be designated by Sanofi Genzyme (the “Future Program), and VY-HTT01 for Huntington’s disease (the “Huntington’s Program”), with an incremental option to co-commercialize VY-HTT01 in the United States and (ii) worldwide rights to VY-SMN101 (the “Spinal Muscular Atrophy Program”). Sanofi Genzyme’s option for the Split Territory Programs and the Spinal Muscular Atrophy Program is triggered following the completion of the first proof-of-principle human clinical study (“POP Study”), on a program by program basis.</w:t>
      </w:r>
    </w:p>
    <w:p>
      <w:pPr>
        <w:spacing w:after="0" w:line="14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Company was solely responsible for all costs incurred in connection with the development of the Split Territory Programs and the Spinal Muscular Atrophy Program products prior to the exercise of an option by Sanofi Genzyme with the exception of the following: (i) at the Company’s request and upon mutual agreement, Sanofi Genzyme would provide “in-kind” services valued at up to $5.0 million and (ii) Sanofi Genzyme would be responsible for the costs and expenses of activities under the Huntington’s Program development plan to the extent such activities were covered by financial support Sanofi Genzyme is entitled to receive from a patient advocacy group, collectively Sanofi Genzyme “in-kind” and other funding.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Agreement</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On June 14, 2019 (the “Termination Date”), the Company and Sanofi Genzyme executed a termination agreement to terminate the Sanofi Genzyme Collaboration Agreement (the “Sanofi Genzyme Termination Agreement”). Under the terms of the Sanofi Genzyme Termination Agreement, Sanofi Genzyme relinquished its rights to the exclusive license options to the Huntington’s Program, the FA Program and the Future Program. The Company has been relieved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of its obligations to perform the research and development services under those programs through completion of the respective POP Studies. As a result, the Company gained worldwide rights to the Huntington’s Program and ex-U.S. rights to the FA Program. The ex-U.S. rights to the FA Program have been, in turn, transferred from the Company to Neurocrine Biosciences pursuant to the collaboration and option agreement with Neurocrine Biosciences. Additionally, the Company and Sanofi Genzyme entered into an Amended and Restated Option and License Agreement related to AAV capsids (the “Amended Capsid Agreement”). Under the Amended Capsid Agreement, Sanofi Genzyme has obtained exclusive option rights to exclusively license up to two select novel AAV capsids owned or controlled by the Company for exclusive use for up to two non-central nervous system (“non-CNS”) indications.</w:t>
      </w:r>
    </w:p>
    <w:p>
      <w:pPr>
        <w:spacing w:after="0" w:line="182"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Sanofi Genzyme has granted the Company exclusive, irrevocable, perpetual, royalty-free, fully-paid sublicensable (through multiple tiers), non-transferable, worldwide licenses in Sanofi Genzyme’s interests in the collaboration technology generated under or used in the Huntington’s Program and the FA Program with respect to those programs pursuant to the Sanofi Genzyme Collaboration Agreement. In addition, Sanofi Genzyme has granted the Company non-exclusive, irrevocable, perpetual, royalty-free, fully-paid, sublicensable (through multiple tiers), non-transferable, worldwide licenses to the Sanofi Genzyme technology that was contributed to the Sanofi Genzyme Collaboration Agreement and was used in the development or manufacture of product candidates prior to the termination date.</w:t>
      </w:r>
    </w:p>
    <w:p>
      <w:pPr>
        <w:spacing w:after="0" w:line="150"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212529"/>
        </w:rPr>
        <w:t>Under the Sanofi Genzyme Termination Agreement, the Company made a $10.0 million upfront payment to Sanofi Genzyme and has agreed to make a $10.0 million milestone payment to Sanofi Genzyme within fifteen days of the filing of an investigational new drug (“IND”) application for a product candidate incorporating certain intellectual property rights developed under or substantially related to the Huntington’s Program (a “Post-Termination HD Product”). The Company has agreed to pay Sanofi Genzyme (i) 50% of any income received from sublicensing arrangements related to Post-Termination HD Products in excess of specified thresholds and entered into prior to (a) the filing of an IND application for a Post-Termination HD Product or (b) the dosing of the first patient in a clinical trial for a Post-Termination HD Product in the United States or certain European countries, respectively and (ii) a low-double digit percentage of any income received from sublicensing arrangements outside the United States related to products incorporating intellectual property rights developed under, or substantially related to, the FA Program (collectively, “Post-Termination FA Products”), that are in excess of a specified threshold and entered into prior to the dosing of the first patient in a clinical trial for a Post-Termination FA Product in the United States or certain European countries, in each case, subject to certain limitations. The Company has also agreed to pay low-single-digit royalties on net sales of Post-Termination HD Products. Under the Sanofi Genzyme Collaboration Agreement, the Company had rights to certain in-kind services. As of the effective date of the Sanofi Genzyme Termination Agreement, the Company waived its right to approximately $0.4 million in unused in-kind services, the Company has relinquished its rights to the Spinal Muscular Atrophy Program, and the Company no longer has the right to receive any option payments, regulatory or commercial milestone payments or royalties from Sanofi Genzyme under the Sanofi Genzyme Collaboration Agreement</w:t>
      </w:r>
      <w:r>
        <w:rPr>
          <w:rFonts w:ascii="Arial" w:cs="Arial" w:eastAsia="Arial" w:hAnsi="Arial"/>
          <w:sz w:val="16"/>
          <w:szCs w:val="16"/>
          <w:color w:val="000000"/>
        </w:rPr>
        <w:t>.</w:t>
      </w:r>
    </w:p>
    <w:p>
      <w:pPr>
        <w:spacing w:after="0" w:line="369"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The Company has granted Sanofi Genzyme an exclusive royalty-free, fully-paid, sublicensable (through multiple tiers), non-transferable, worldwide license under the Company’s interest in the collaboration technology generated under or used in the Spinal Muscular Atrophy Program pursuant to the Sanofi Genzyme Collaboration Agreement to manufacture, develop, and commercialize any Spinal Muscular Atrophy product. Under the Amended Capsid Agreement, the Company has granted Sanofi Genzyme an exclusive option to evaluate up to four capsids for no consideration. During the capsid evaluation period, the Company has granted Sanofi Genzyme a non-exclusive license to the capsid intellectual property to conduct evaluation studies. In addition, Sanofi Genzyme is able to evaluate up to two additional capsids for a low six-figure payment per additional capsid. The Company is not obligated to perform any additional research on the capsids. Sanofi Genzyme shall have the right to obtain an exclusive license for up to two capsids, each in a specified non-CNS indication. At its discretion, Sanofi Genzyme may exercise both its options for the same capsid for different specified non-CNS indications. Upon its exercise of each option, Sanofi Genzyme has agreed to pay the Company a $1.0 million option exercise fee. Under the Amended Capsid Agreement, the Company is also entitled to receive potential development and regulatory milestone payments upon the achievement of certain milestone events for products containing licensed capsids (“Sanofi Licensed Products”) of up to an aggregate of $15.0 million per Sanofi Licensed Product. In addition, for each specified indication, Sanofi Genzyme has agreed to pay to the Company a one-time sales milestone payment of $20.0 million, if aggregate worldwide net sales for all Sanofi Licensed Products for such specified indication surpass a specified amount, and low-to-mid single-digit tiered royalty payments on worldwide net sales of Sanofi Licensed Products, on a Sanofi Licensed Product-by-Sanofi Licensed Product basis.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1" w:right="14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212"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The Sanofi Genzyme Termination Agreement modifies both the pricing and scope of the Sanofi Genzyme Collaboration Agreement. As the modification does not add distinct goods or services to the Sanofi Genzyme Collaboration Agreement, the agreement is considered a modification of the original contract.</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The Sanofi Genzyme Termination Agreement includes the following performance obligations: (i) worldwide license to collaboration technology and Sanofi Genzyme technology for the development, manufacturing and commercialization of the Huntington’s Program and (ii) worldwide license to collaboration technology and Sanofi Genzyme technology for the development, manufacturing and commercialization for the FA Program. Such performance obligations were satisfied upon the Termination Date as control had transferred upon execution of the Sanofi Genzyme Termination Agreement. Therefore, the remainder of the transaction price under the Sanofi Genzyme Collaboration Agreement, which had not yet been recognized, was recognized as revenue upon the Termination Date.</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The Company has recognized $28.7 million of revenue upon the Termination Date. This amount consists of $48.7 million of deferred revenue related to the original agreement as of the Termination Date, offset by (x) $10.0 million related to the fee paid by the Company to Sanofi Genzyme on the Termination Date, and (y) $10.0 million related to the milestone payment which the Company expects to pay to Sanofi Genzyme upon the potential filing of an IND for a product candidate in connection with the Huntington’s Program. The Company is currently engaged in the ongoing conduct and review of preclinical studies for its Huntington’s disease program, VY-HTT01, and expects to provide an update on the program in the second quarter of 2020, including plans to file an investigational new drug, or IND, application. The Company has constrained $10.0 million of the remaining deferred revenue balance at the Termination Date as it expects to pay the milestone payment related to the potential filing of an IND for a product candidate in connection with the Huntington’s Program in 2020. As a result, the Company will maintain a $10.0 million deferred revenue balance associated with the potential milestone payment. This deferral will be reversed upon payment of the milestone to Sanofi Genzyme. If the Company decides not to file an IND for a product candidate in connection with the Huntington’s Program, the Company will recognize that amount as revenue upon determining that the IND filing is no longer likely. The $20.0 million payable by the Company to Sanofi Genzyme is treated as consideration payable to a customer and therefore accounted for as a reduction of the transaction price.</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During the year ended December 31, 2019, the Company recognized $0.8 million of revenue related to in-kind services performed by Sanofi Genzyme under the collaboration. During the year ended December 31, 2019, the Company recognized $31.8 million of revenue related to research and development services, committee obligations performed, and the subsequent termination of the Sanofi Genzyme Collaboration. During the year ended December 31, 2018, the Company recognized $0.7 million of revenue related to research and development services and committee obligations performed under the Sanofi Genzyme Collaboration. During the year ended December 31, 2017, the Company recognized $10.1 million of revenue related to research and development services and committee obligations performed under the Sanofi Genzyme Collaboration. As of December 31, 2019, $10.0 million remains in short term deferred revenue in the accompanying consolidated balance sheet.</w:t>
      </w:r>
    </w:p>
    <w:p>
      <w:pPr>
        <w:spacing w:after="0" w:line="177"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Costs incurred relating to the programs that Sanofi Genzyme had the option to license under the Sanofi Genzyme Collaboration Agreement consisted of internal and external research and development costs, which primarily included: salaries and benefits, lab supplies and preclinical research studies. These costs were included in research and development expenses in the Company’s consolidated statements of operations during the years ended December 31, 2019, 2018, and 2017.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Tau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98"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In February 2018, the Company entered into an exclusive collaboration and option agreement (the “AbbVie Tau Collaboration Agreement”) with AbbVie for the research, development and commercialization of AAV and other virus-based gene therapy products for the treatment of diseases of the central nervous system and other neurodegenerative diseases related to defective or excess aggregation of tau protein in the human brain, including Alzheimer’s disease. Under the AbbVie Tau Collaboration Agreement, the Company and AbbVie have agreed to collaborate on the research and development of specified vectorized antibody compounds comprised of an AAV or other viral capsid and a virus vector genome that encodes one or more antibodies that target and bind to a tau protein. The collaboration is comprised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of a research period (the “Research Period”), a development period (the “Development Period”), and an exclusive license option (the “License Option”). The AbbVie Tau Collaboration Agreement included a non-refundable upfront payment of $69.0 million to the Company for services during the Research Period.</w:t>
      </w:r>
    </w:p>
    <w:p>
      <w:pPr>
        <w:spacing w:after="0" w:line="16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During the Research Period, each party has agreed to identify up to five antibodies for inclusion in the collaboration. Subject to certain conditions and exceptions, the parties will select up to three antibodies (each, a “Research Antibody”) as candidates for creation of research compounds (each, a “Research Compound”), with AbbVie having the right to select two of the three Research Antibodies. The Company is required to use diligent efforts to conduct antibody engineering and other research activities to create Research Compounds and to develop product candidates containing or comprised of such Research Compounds (“Product Candidates”). The Company is solely responsible for its costs and expenses during the Research Period. During a specified portion of the Research Period, AbbVie may exercise one or more of its exclusive development options (each, a “Development Option”) to select up to a total of three Research Compounds (the “Selected Research Compounds”) and their corresponding Product Candidates (the “Selected Product Candidates”) to proceed to the Development Period.</w:t>
      </w:r>
    </w:p>
    <w:p>
      <w:pPr>
        <w:spacing w:after="0" w:line="168" w:lineRule="exact"/>
        <w:rPr>
          <w:sz w:val="20"/>
          <w:szCs w:val="20"/>
          <w:color w:val="auto"/>
        </w:rPr>
      </w:pPr>
    </w:p>
    <w:p>
      <w:pPr>
        <w:ind w:right="180" w:firstLine="648"/>
        <w:spacing w:after="0" w:line="252" w:lineRule="auto"/>
        <w:rPr>
          <w:sz w:val="20"/>
          <w:szCs w:val="20"/>
          <w:color w:val="auto"/>
        </w:rPr>
      </w:pPr>
      <w:r>
        <w:rPr>
          <w:rFonts w:ascii="Arial" w:cs="Arial" w:eastAsia="Arial" w:hAnsi="Arial"/>
          <w:sz w:val="17"/>
          <w:szCs w:val="17"/>
          <w:color w:val="auto"/>
        </w:rPr>
        <w:t>Upon AbbVie’s exercise of a Development Option, AbbVie will pay the Company $80.0 million for the first Selected Research Compound and $30.0 million each for up to two additional Selected Research Compounds. During the Development Period, the Company is obligated to use diligent efforts to conduct development activities, including IND application-enabling and Phase 1 clinical trial activities, for the Selected Research Compounds and corresponding Selected Product Candidates. The Company will be solely responsible for the costs and expenses during the Development Period. During a specified portion of the Development Period (the “License Option Period”), AbbVie may exercise its License Option to further develop and commercialize all of the Research Compounds (the “Licensed Compounds”), and corresponding product candidates (the “Licensed Products”). Upon AbbVie’s exercise of its License Option, AbbVie will provide a one-time payment of $75.0 million to the Company, and the Company will grant to AbbVie an exclusive, worldwide license, with the right to sublicense, under certain of the Company’s intellectual property rights to develop and commercialize the Licensed Compounds and the Licensed Products for all human diagnostic, prophylactic and therapeutic uses. In addition, after AbbVie’s exercise of the License Option, the Company has certain obligations to complete any remaining research and development activities that have not been completed for any Research Compounds and Product Candidates.</w:t>
      </w:r>
    </w:p>
    <w:p>
      <w:pPr>
        <w:spacing w:after="0" w:line="165"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The Company’s research and development activities will be conducted pursuant to the plans agreed to by the parties and overseen by a joint governance committee (“JGC”) as detailed in the AbbVie Tau Collaboration Agreement. Any material amendment to the research or development plans must be mutually agreed to by the Company and AbbVie, which may be through the JGC.</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Under the AbbVie Tau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the agreed-upon research and development plans. The Company may elect to share in AbbVie’s development costs relating to a Licensed Product on an indication-by-indication basis in exchange for a specified increase in royalties (a “Cost-Sharing Option”). If the Company exercises a Cost-Sharing Option, the Company may either reimburse AbbVie for AbbVie’s applicable development costs or, in the case of certain budget overruns, AbbVie may instead deduct applicable development costs, up to a specified cap, from milestone and royalty payments owed by AbbVie to the Company.</w:t>
      </w:r>
    </w:p>
    <w:p>
      <w:pPr>
        <w:spacing w:after="0" w:line="156" w:lineRule="exact"/>
        <w:rPr>
          <w:sz w:val="20"/>
          <w:szCs w:val="20"/>
          <w:color w:val="auto"/>
        </w:rPr>
      </w:pPr>
    </w:p>
    <w:p>
      <w:pPr>
        <w:ind w:right="100" w:firstLine="648"/>
        <w:spacing w:after="0" w:line="250" w:lineRule="auto"/>
        <w:rPr>
          <w:sz w:val="20"/>
          <w:szCs w:val="20"/>
          <w:color w:val="auto"/>
        </w:rPr>
      </w:pPr>
      <w:r>
        <w:rPr>
          <w:rFonts w:ascii="Arial" w:cs="Arial" w:eastAsia="Arial" w:hAnsi="Arial"/>
          <w:sz w:val="17"/>
          <w:szCs w:val="17"/>
          <w:color w:val="auto"/>
        </w:rPr>
        <w:t>Under the AbbVie Tau Collaboration Agreement, the Company is eligible to receive specified development and first-sale milestone payments for each Licensed Compound of up to an aggregate of $550.0 million in the case of an Alzheimer’s disease indication, up to $230.0 million in the case of the first indication other than Alzheimer’s disease and up to $115.0 million for a subsequent non-Alzheimer’s disease indication. Additionally, the Company is eligible to receive tiered, escalating royalties, in a range from a high-single digit to a mid-to-high teen (or, if the Company has exercised its Cost-Sharing Option, low-twenties) percentage of aggregate net sales of Licensed Products on a Licensed Compound by Licensed Compound basis, subject to potential reductions in certain circumstances. For each Licensed Product, AbbVie also has the right to decrease or eliminate its royalty payments on such Licensed Product in exchange for a one-time payment by AbbVie at a fair market value to be negotiated by the parties or determined pursuant to dispute resolution procedures specified in the AbbVie Tau Collaboration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Unless earlier terminated, the AbbVie Tau Collaboration Agreement will expire on the earliest to occur of the expiration of (i) the Development Option Period, without AbbVie’s exercise of a Development Option; (ii) the License Option Period, without AbbVie’s exercise of its License Option; and (iii) the last-to-expire royalty term with respect to all Licensed Products in all countries. The Company and AbbVie have customary termination rights including the right to terminate for an uncured material breach of the agreement committed by the other party, and AbbVie has the right to terminate for convenience.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Company assessed the promised goods and services under the AbbVie Tau Collaboration Agreement, in accordance with ASC 606, and determined that the AbbVie Tau Collaboration Agreement includes the following performance obligations: (i) research services during the Research Period (through the delivery of the final research report) including the identification of the Research Antibodies, conduct of research activities and provision of information to AbbVie to allow AbbVie to determine whether to exercise up to three development options to be rendered (collectively, the “Research Services”), and (ii) a material right associated with the Development Option on the first Research Compound and associated Product Candidates (“First Development Option Material Right”). The first Development Option provides AbbVie with (i) additional development services on a selected Research Compound and (ii) the ability to exercise the License Option. The Company has concluded the option provides a material right as the consideration paid by AbbVie upon exercise of the first Development Option is less than the amount that the Company would otherwise expect to receive outside the context of the contract.</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The Company has concluded that the First Development Option Material Right is a separate performance obligation under ASC 606 as AbbVie is provided additional services and a License Option for additional consideration that represents a significant discount from amounts that would otherwise be offered outside the context of the contract. The First Development Option Material Right is distinct from the other performance obligations in the arrangement as it is an option in the contract that is not required for AbbVie to obtain the benefit of the other promised goods or services in the arrangement. The First Development Option Material Right does not include the underlying goods or services that are delivered upon exercise of the option, but rather represents the value to the customer of having the right to obtain development services and the right to the License Option at an advantageous price.</w:t>
      </w:r>
    </w:p>
    <w:p>
      <w:pPr>
        <w:spacing w:after="0" w:line="18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color w:val="auto"/>
        </w:rPr>
        <w:t>The Company received a nonrefundable, upfront payment of $69.0 million as consideration under the AbbVie Tau Collaboration Agreement, which represents the transaction price at inception. Additional consideration to be paid to the Company upon the exercise of the Development and License Options by AbbVie or upon reaching certain milestones are excluded from the transaction price as they relate to option fees and milestones that can only be achieved subsequent to the option exercise or are outside of the initial contract term.</w:t>
      </w:r>
    </w:p>
    <w:p>
      <w:pPr>
        <w:spacing w:after="0" w:line="174"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The Company has allocated the transaction price to the separate performance obligations based on their relative standalone selling price. The Company determined the standalone selling price at contract inception based on each obligation’s ESP. The Company determined the ESP for the research services obligation based on internal estimates of the costs to perform the services, including expected internal expenses and expenses with third parties for services and supplies, inclusive of a reasonable profit margin. Significant inputs used to determine the total expense of the research services include the length of time required, the internal hours expected to be incurred on the services and the number and costs of various studies that will be performed to complete the Research Plan. The ESP for the First Development Option Material Right was determined based on the fees AbbVie would pay to exercise the Development and License Options, the estimated costs to perform the development services, inclusive of a reasonable profit margin, the estimated value of the License Option using comparable transactions, and the probability that the Development and License Options would be exercised by AbbVie.</w:t>
      </w:r>
    </w:p>
    <w:p>
      <w:pPr>
        <w:spacing w:after="0" w:line="172"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Based on the relative standalone selling price, the allocation of the transaction price to the separate performance obligations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gridSpan w:val="2"/>
          </w:tcPr>
          <w:p>
            <w:pPr>
              <w:ind w:left="920"/>
              <w:spacing w:after="0"/>
              <w:rPr>
                <w:sz w:val="20"/>
                <w:szCs w:val="20"/>
                <w:color w:val="auto"/>
              </w:rPr>
            </w:pPr>
            <w:r>
              <w:rPr>
                <w:rFonts w:ascii="Arial" w:cs="Arial" w:eastAsia="Arial" w:hAnsi="Arial"/>
                <w:sz w:val="14"/>
                <w:szCs w:val="14"/>
                <w:b w:val="1"/>
                <w:bCs w:val="1"/>
                <w:color w:val="auto"/>
              </w:rPr>
              <w:t>Performance Obligation</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3"/>
          </w:tcPr>
          <w:p>
            <w:pPr>
              <w:ind w:left="48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20" w:type="dxa"/>
            <w:vAlign w:val="bottom"/>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474"/>
              <w:spacing w:after="0" w:line="196" w:lineRule="exact"/>
              <w:rPr>
                <w:sz w:val="20"/>
                <w:szCs w:val="20"/>
                <w:color w:val="auto"/>
              </w:rPr>
            </w:pPr>
            <w:r>
              <w:rPr>
                <w:rFonts w:ascii="Arial" w:cs="Arial" w:eastAsia="Arial" w:hAnsi="Arial"/>
                <w:sz w:val="18"/>
                <w:szCs w:val="18"/>
                <w:i w:val="1"/>
                <w:iCs w:val="1"/>
                <w:color w:val="auto"/>
              </w:rPr>
              <w:t>(in thousands)</w:t>
            </w:r>
          </w:p>
        </w:tc>
        <w:tc>
          <w:tcPr>
            <w:tcW w:w="1080" w:type="dxa"/>
            <w:vAlign w:val="bottom"/>
            <w:gridSpan w:val="2"/>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Services</w:t>
            </w:r>
          </w:p>
        </w:tc>
        <w:tc>
          <w:tcPr>
            <w:tcW w:w="2020" w:type="dxa"/>
            <w:vAlign w:val="bottom"/>
            <w:gridSpan w:val="3"/>
            <w:shd w:val="clear" w:color="auto" w:fill="CCEEFF"/>
          </w:tcPr>
          <w:p>
            <w:pPr>
              <w:jc w:val="right"/>
              <w:ind w:right="165"/>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34,482</w:t>
            </w:r>
          </w:p>
        </w:tc>
        <w:tc>
          <w:tcPr>
            <w:tcW w:w="1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w w:val="99"/>
              </w:rPr>
              <w:t>First Development Option Material Right</w:t>
            </w:r>
          </w:p>
        </w:tc>
        <w:tc>
          <w:tcPr>
            <w:tcW w:w="15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34,518</w:t>
            </w:r>
          </w:p>
        </w:tc>
        <w:tc>
          <w:tcPr>
            <w:tcW w:w="180" w:type="dxa"/>
            <w:vAlign w:val="bottom"/>
            <w:tcBorders>
              <w:bottom w:val="single" w:sz="8" w:color="CCEEFF"/>
            </w:tcBorders>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2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69,000</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color w:val="auto"/>
              </w:rPr>
              <w:t>F-22</w:t>
            </w:r>
          </w:p>
        </w:tc>
        <w:tc>
          <w:tcPr>
            <w:tcW w:w="3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The Company recognizes the amounts associated with Research Services on a proportional performance basis over the period of service using input-based measurements of total cost of research incurred to estimate proportion performed and remeasures its progress towards completion at the end of each reporting period. The amount allocated to the First Development Option Material Right is recorded as deferred revenue and will be recognized either over the period in which goods and services underlying the option are transferred or upon expiry of the option.</w:t>
      </w:r>
    </w:p>
    <w:p>
      <w:pPr>
        <w:spacing w:after="0" w:line="174"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During the years ended December 31, 2019 and 2018, the Company recognized $11.3 million and $6.9 million of revenue, respectively, associated with the AbbVie Tau Collaboration related to the Research Services performed during the period. As of December 31, 2019, there is $50.8 million of deferred revenue related to the AbbVie Tau Collaboration Agreement, which is classified as either current or noncurrent in the accompanying consolidated balance sheet based on the period the goods or services are expected to be delivered.</w:t>
      </w:r>
    </w:p>
    <w:p>
      <w:pPr>
        <w:spacing w:after="0" w:line="190"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Costs incurred relating to the AbbVie Tau Collaboration Agreement consist of internal and external research and development costs, which primarily include salaries and benefits, lab supplies, and preclinical research studies. All of these costs are included in research and development expenses in the Company’s consolidated statements of operations during the years ended December 31,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Alpha Synuclein Collaboration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February 2019, the Company entered into an exclusive collaboration and option agreement (“the AbbVie Alpha-Synuclein Collaboration Agreement”) with AbbVie, for the research, development and commercialization of AAV and other virus-based gene therapy products directed against pathological species of alpha-synuclein for the potential treatment of Parkinson’s disease and other diseases characterized by the abnormal accumulation of misfolded alpha-synuclein protein (“synucleinopathies”). Under the AbbVie Alpha-Synuclein Collaboration Agreement, the Company and AbbVie have agreed to collaborate on the research and development of specified vectorized antibody compounds comprised of an AAV or other viral capsid and a virus vector genome that encodes one or more antibodies that target and bind to the alpha-synuclein protein. The collaboration is comprised of a research period (the “ASN Research Period”), an optional development period (the “ASN Development Period”), and an exclusive license option (the “ASN License Option”). The AbbVie Alpha-Synuclein Collaboration Agreement included a non-refundable upfront payment to the Company of $65.0 million for services during the ASN Research Period.</w:t>
      </w:r>
    </w:p>
    <w:p>
      <w:pPr>
        <w:spacing w:after="0" w:line="112" w:lineRule="exact"/>
        <w:rPr>
          <w:sz w:val="20"/>
          <w:szCs w:val="20"/>
          <w:color w:val="auto"/>
        </w:rPr>
      </w:pPr>
    </w:p>
    <w:p>
      <w:pPr>
        <w:ind w:right="80" w:firstLine="648"/>
        <w:spacing w:after="0" w:line="308" w:lineRule="auto"/>
        <w:rPr>
          <w:sz w:val="20"/>
          <w:szCs w:val="20"/>
          <w:color w:val="auto"/>
        </w:rPr>
      </w:pPr>
      <w:r>
        <w:rPr>
          <w:rFonts w:ascii="Arial" w:cs="Arial" w:eastAsia="Arial" w:hAnsi="Arial"/>
          <w:sz w:val="16"/>
          <w:szCs w:val="16"/>
          <w:color w:val="auto"/>
        </w:rPr>
        <w:t>During the ASN Research Period, the Company is obligated to conduct research activities directed to constructing one or more virus vectors that encode antibodies designated by AbbVie (the “AbbVie Designated Antibodies”) which initially are to be antibodies provided by AbbVie. The Company is obligated to use diligent efforts to conduct research activities to create research compounds (“ASN Research Compounds”) and to develop product candidates containing or comprised of the ASN Research Compounds (“ASN Product Candidates”). The Company is solely responsible for the costs and expenses during the ASN Research Period. During a specified portion of the ASN Research Period, AbbVie may exercise one or more of its exclusive development options to select up to a total of four ASN Research Compounds and their corresponding ASN Product Candidates to proceed to the ASN Development Period.</w:t>
      </w:r>
    </w:p>
    <w:p>
      <w:pPr>
        <w:spacing w:after="0" w:line="9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Upon AbbVie’s exercise of an option to proceed to the ASN Development Period (an “ASN Development Option”), AbbVie will pay the Company $80.0 million for the first ASN Research Compound and $30.0 million each for up to three additional ASN Research Compounds. During the ASN Development Period, the Company is obligated to use diligent efforts to conduct development activities, including IND application-enabling and Phase 1 clinical trial activities, for each selected ASN Research Compound and corresponding selected ASN Product Candidates. The Company is solely responsible for the costs and expenses during the ASN Development Period. During a specified portion of the ASN Development Period, AbbVie may exercise its ASN License Option to further develop and commercialize all of the ASN Research Compounds and corresponding ASN Product Candidates. Upon AbbVie’s exercise of its ASN License Option, the Company has agreed to grant to AbbVie an exclusive, worldwide license, with the right to sublicense, under certain of the Company’s intellectual property rights to develop and commercialize the licensed compounds and the licensed products for all human diagnostic, prophylactic and therapeutic uses. In addition, after AbbVie’s exercise of the ASN License Option, the Company has certain obligations to complete any remaining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57543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1" w:right="141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research and development activities that have not been completed for any ASN Research Compounds and ASN Product Candidates.</w:t>
      </w:r>
    </w:p>
    <w:p>
      <w:pPr>
        <w:spacing w:after="0" w:line="102"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The Company’s research and development activities are to be conducted pursuant to the plans agreed to by the parties and overseen by a joint governance committee (the “ASN JGC”) as detailed in the AbbVie Alpha-Synuclein Collaboration Agreement. Any material amendment to the research or development plans, however, must be mutually agreed to by the parties, which may be through the ASN JGC.</w:t>
      </w:r>
    </w:p>
    <w:p>
      <w:pPr>
        <w:spacing w:after="0" w:line="10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Under the AbbVie Alpha-Synuclein Collaboration Agreement, AbbVie is required to use commercially reasonable efforts to develop and commercialize at least one licensed product in each of the United States, Japan, the United Kingdom, Germany, France, Italy and Spain. After exercise of the ASN License Option, AbbVie is solely responsible for all development and commercialization activities relating to licensed compounds and licensed products at its sole cost and expense, subject to the Company’s obligation to complete any remaining research and development activities set forth in the agreed-upon research and development plans.</w:t>
      </w:r>
    </w:p>
    <w:p>
      <w:pPr>
        <w:spacing w:after="0" w:line="124" w:lineRule="exact"/>
        <w:rPr>
          <w:sz w:val="20"/>
          <w:szCs w:val="20"/>
          <w:color w:val="auto"/>
        </w:rPr>
      </w:pPr>
    </w:p>
    <w:p>
      <w:pPr>
        <w:ind w:right="20" w:firstLine="648"/>
        <w:spacing w:after="0" w:line="299" w:lineRule="auto"/>
        <w:rPr>
          <w:sz w:val="20"/>
          <w:szCs w:val="20"/>
          <w:color w:val="auto"/>
        </w:rPr>
      </w:pPr>
      <w:r>
        <w:rPr>
          <w:rFonts w:ascii="Arial" w:cs="Arial" w:eastAsia="Arial" w:hAnsi="Arial"/>
          <w:sz w:val="16"/>
          <w:szCs w:val="16"/>
          <w:color w:val="auto"/>
        </w:rPr>
        <w:t>Under the terms of the AbbVie Alpha-Synuclein Collaboration Agreement, the Company is eligible to receive (i) specified development and first-sale milestone payments for each licensed compound of up to an aggregate of $450.0 million in the case of a Parkinson’s disease indication and up to $185.0 million in the case of the first indication other than Parkinson’s disease and $92.5 million for a subsequent non-Parkinson’s disease indication; (ii) specified commercial milestone payments based on net sales for all licensed products and all indications up to an aggregate of $500.0 million; and</w:t>
      </w:r>
    </w:p>
    <w:p>
      <w:pPr>
        <w:spacing w:after="0" w:line="3" w:lineRule="exact"/>
        <w:rPr>
          <w:sz w:val="20"/>
          <w:szCs w:val="20"/>
          <w:color w:val="auto"/>
        </w:rPr>
      </w:pPr>
    </w:p>
    <w:p>
      <w:pPr>
        <w:ind w:right="380" w:firstLine="2"/>
        <w:spacing w:after="0" w:line="358" w:lineRule="auto"/>
        <w:tabs>
          <w:tab w:leader="none" w:pos="3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tiered, escalating royalties, in the mid-single digit percentage range for aggregate net sales of licensed products on a licensed compound by licensed compound basis, subject to potential reductions in certain circumstances.</w:t>
      </w:r>
    </w:p>
    <w:p>
      <w:pPr>
        <w:spacing w:after="0" w:line="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Unless earlier terminated, the AbbVie Alpha-Synuclein Collaboration Agreement expires on the earliest to occur of the expiration of (i) the ASN Development Period, without AbbVie’s exercise of an ASN Development Option; (ii) the license option period, without AbbVie’s exercise of its ASN License Option; and (iii) the last-to-expire royalty term with respect to all licensed products in all countries. The Company and AbbVie have customary termination rights including the right to terminate for an uncured material breach of the agreement committed by the other party, and AbbVie has the right to terminate for convenience.</w:t>
      </w:r>
    </w:p>
    <w:p>
      <w:pPr>
        <w:spacing w:after="0" w:line="11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8"/>
          <w:szCs w:val="18"/>
          <w:color w:val="auto"/>
        </w:rPr>
        <w:t>Upon termination in certain cases, the vectorized antibody exclusivity and AbbVie designated exclusivity survives until the third anniversary of the termination date. If the parties mutually agree to terminate for infeasibility or AbbVie terminates for the Company’s failure to deliver a final research or development report, neither the Company nor any of its affiliates may directly or indirectly exploit a vectorized antibody compound that targets or binds to the alpha-synuclein protein for 18 months after the termination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58"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color w:val="auto"/>
        </w:rPr>
        <w:t>The Company assessed the promised goods and services under the AbbVie Alpha-Synuclein Collaboration Agreement, in accordance with ASC 606, and determined that the AbbVie Alpha-Synuclein Collaboration Agreement includes the following performance obligations: (i) research services during the ASN Research Period (through the delivery of the final research report) including the conduct of research activities and provision of information to AbbVie to allow AbbVie to determine whether to exercise up to four ASN Development Options (collectively, the “ASN Research Services”), and (ii) a material right associated with the first ASN Development Option on the first ASN Research Compound and associated ASN Product Candidates (“ASN First Development Option Material Right”). The exercise of the first ASN Development Option provides AbbVie with (i) additional development services on a selected ASN Research Compound and</w:t>
      </w:r>
    </w:p>
    <w:p>
      <w:pPr>
        <w:spacing w:after="0" w:line="5" w:lineRule="exact"/>
        <w:rPr>
          <w:sz w:val="20"/>
          <w:szCs w:val="20"/>
          <w:color w:val="auto"/>
        </w:rPr>
      </w:pPr>
    </w:p>
    <w:p>
      <w:pPr>
        <w:ind w:right="80" w:firstLine="2"/>
        <w:spacing w:after="0" w:line="239" w:lineRule="auto"/>
        <w:tabs>
          <w:tab w:leader="none" w:pos="2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ability to exercise the ASN License Option. The Company has concluded the option provides a material right as the consideration paid by AbbVie upon exercise of the first ASN Development Option is less than the amount that the Company would otherwise expect to receive outside the context of the contract.</w:t>
      </w:r>
    </w:p>
    <w:p>
      <w:pPr>
        <w:spacing w:after="0" w:line="18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Company has concluded that the ASN First Development Option Material Right is a separate performance obligation under ASC 606 as AbbVie is provided additional services and an ASN License Option for additional consideration that represents a significant discount from amounts that would otherwise be offered outside the context of the contract. The ASN First Development Option Material Right is distinct from the other performance obligations in the arrangement as it is an option in the contract that is not required for AbbVie to obtain the benefit of the other promised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1" w:right="14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goods or services in the arrangement. The ASN First Development Option Material Right does not include the underlying goods or services that are delivered upon exercise of the option, but rather represents the value to the customer of having the right to obtain development services and the right to the ASN License Option at an advantageous price.</w:t>
      </w:r>
    </w:p>
    <w:p>
      <w:pPr>
        <w:spacing w:after="0" w:line="14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The Company received a nonrefundable, upfront payment of $65.0 million as consideration under the AbbVie Alpha-Synuclein Collaboration Agreement, which represents the transaction price at inception. Additional consideration to be paid to the Company upon the exercise of the ASN Development and ASN License Options by AbbVie or upon reaching certain milestones are excluded from the transaction price as they relate to option fees and milestones that can only be achieved subsequent to the option exercise or are outside of the initial contract term.</w:t>
      </w:r>
    </w:p>
    <w:p>
      <w:pPr>
        <w:spacing w:after="0" w:line="174"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Company has allocated the transaction price to the separate performance obligations based on their relative standalone selling price. The Company determined the standalone selling price at contract inception based on each obligation’s ESP. The Company determined the ESP for the research services obligation based on internal estimates of the costs to perform the services, including expected internal expenses and expenses with third parties for services and supplies, inclusive of a reasonable profit margin. Significant inputs used to determine the total expense of the research services include the length of time required, the internal hours expected to be incurred on the services and the number and costs of various studies that will be performed to complete the agreed upon ASN research plan. The ESP for the ASN First Development Option Material Right was determined based on the fees AbbVie would pay to exercise the ASN Development and ASN License Options, the estimated costs to perform the development services, inclusive of a reasonable profit margin, the estimated value of the ASN License Option using comparable transactions, and the probability that the ASN Development and License Options would be exercised by AbbVie.</w:t>
      </w:r>
    </w:p>
    <w:p>
      <w:pPr>
        <w:spacing w:after="0" w:line="178"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Based on the relative standalone selling price, the allocation of the transaction price to the separate performance obligations was as follows:</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720" w:type="dxa"/>
            <w:vAlign w:val="bottom"/>
          </w:tcPr>
          <w:p>
            <w:pPr>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2"/>
          </w:tcPr>
          <w:p>
            <w:pPr>
              <w:ind w:left="480"/>
              <w:spacing w:after="0"/>
              <w:rPr>
                <w:sz w:val="20"/>
                <w:szCs w:val="20"/>
                <w:color w:val="auto"/>
              </w:rPr>
            </w:pPr>
            <w:r>
              <w:rPr>
                <w:rFonts w:ascii="Arial" w:cs="Arial" w:eastAsia="Arial" w:hAnsi="Arial"/>
                <w:sz w:val="14"/>
                <w:szCs w:val="14"/>
                <w:b w:val="1"/>
                <w:bCs w:val="1"/>
                <w:color w:val="auto"/>
              </w:rPr>
              <w:t>Amount</w:t>
            </w:r>
          </w:p>
        </w:tc>
      </w:tr>
      <w:tr>
        <w:trPr>
          <w:trHeight w:val="196"/>
        </w:trPr>
        <w:tc>
          <w:tcPr>
            <w:tcW w:w="4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474"/>
              <w:spacing w:after="0" w:line="196" w:lineRule="exact"/>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ASN Research Services</w:t>
            </w:r>
          </w:p>
        </w:tc>
        <w:tc>
          <w:tcPr>
            <w:tcW w:w="520" w:type="dxa"/>
            <w:vAlign w:val="bottom"/>
            <w:gridSpan w:val="2"/>
            <w:shd w:val="clear" w:color="auto" w:fill="CCEEFF"/>
          </w:tcPr>
          <w:p>
            <w:pPr>
              <w:jc w:val="right"/>
              <w:ind w:right="165"/>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23,768</w:t>
            </w:r>
          </w:p>
        </w:tc>
        <w:tc>
          <w:tcPr>
            <w:tcW w:w="180" w:type="dxa"/>
            <w:vAlign w:val="bottom"/>
            <w:shd w:val="clear" w:color="auto" w:fill="CCEEFF"/>
          </w:tcPr>
          <w:p>
            <w:pPr>
              <w:spacing w:after="0"/>
              <w:rPr>
                <w:sz w:val="17"/>
                <w:szCs w:val="17"/>
                <w:color w:val="auto"/>
              </w:rPr>
            </w:pPr>
          </w:p>
        </w:tc>
      </w:tr>
      <w:tr>
        <w:trPr>
          <w:trHeight w:val="203"/>
        </w:trPr>
        <w:tc>
          <w:tcPr>
            <w:tcW w:w="4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ASN First Development Option Material Right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41,232</w:t>
            </w:r>
          </w:p>
        </w:tc>
        <w:tc>
          <w:tcPr>
            <w:tcW w:w="180" w:type="dxa"/>
            <w:vAlign w:val="bottom"/>
            <w:tcBorders>
              <w:bottom w:val="single" w:sz="8" w:color="CCEEFF"/>
            </w:tcBorders>
          </w:tcPr>
          <w:p>
            <w:pPr>
              <w:spacing w:after="0"/>
              <w:rPr>
                <w:sz w:val="17"/>
                <w:szCs w:val="17"/>
                <w:color w:val="auto"/>
              </w:rPr>
            </w:pPr>
          </w:p>
        </w:tc>
      </w:tr>
      <w:tr>
        <w:trPr>
          <w:trHeight w:val="196"/>
        </w:trPr>
        <w:tc>
          <w:tcPr>
            <w:tcW w:w="47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65,000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The Company recognizes the amounts associated with the ASN Research Services on a proportional performance basis over the period of service using input-based measurements of total cost of research incurred to estimate proportion performed and remeasures its progress towards completion at the end of each reporting period. The amount allocated to the ASN First Development Option Material Right is recorded as deferred revenue and will be recognized either over the period in which goods and services underlying the option are transferred or upon expiry of the option.</w:t>
      </w:r>
    </w:p>
    <w:p>
      <w:pPr>
        <w:spacing w:after="0" w:line="160"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During the year ended December 31, 2019, the Company recognized $1.3 million of revenue associated with the AbbVie Alpha-Synuclein Collaboration related to the ASN Research Services performed during the period then ended. As of December 31, 2019, there was $63.7 million of deferred revenue related to the AbbVie Alpha-Synuclein Collaboration Agreement, which is classified as either current or non-current in the accompanying consolidated balance sheet based on the period the goods or services are expected to be delivered.</w:t>
      </w:r>
    </w:p>
    <w:p>
      <w:pPr>
        <w:spacing w:after="0" w:line="174"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Costs incurred relating to the AbbVie Alpha-Synuclein Collaboration Agreement consist of internal and external research and development costs, which primarily include salaries and benefits, lab supplies, and preclinical research studies. All of these costs are included in research and development expenses in the Company’s consolidated statements of operations during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Neurocrine Collaboration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212" w:lineRule="exact"/>
        <w:rPr>
          <w:sz w:val="20"/>
          <w:szCs w:val="20"/>
          <w:color w:val="auto"/>
        </w:rPr>
      </w:pPr>
    </w:p>
    <w:p>
      <w:pPr>
        <w:ind w:right="180" w:firstLine="648"/>
        <w:spacing w:after="0" w:line="258" w:lineRule="auto"/>
        <w:rPr>
          <w:sz w:val="20"/>
          <w:szCs w:val="20"/>
          <w:color w:val="auto"/>
        </w:rPr>
      </w:pPr>
      <w:r>
        <w:rPr>
          <w:rFonts w:ascii="Arial" w:cs="Arial" w:eastAsia="Arial" w:hAnsi="Arial"/>
          <w:sz w:val="17"/>
          <w:szCs w:val="17"/>
          <w:color w:val="auto"/>
        </w:rPr>
        <w:t>In March 2019, the Company entered into the Neurocrine Collaboration Agreement for the research, development and commercialization of certain of its AAV gene therapy products. Under the Neurocrine Collaboration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Agreement, the Company has agreed to collaborate on the conduct of four collaboration programs (the “Neurocrine Programs”) which include: (i) the VY-AADC Program, (ii) the FA Program (collectively, the “Existing Programs”); and (iii) two programs to be determined by the Company and Neurocrine at a later date (the “Discovery Programs”).</w:t>
      </w:r>
    </w:p>
    <w:p>
      <w:pPr>
        <w:spacing w:after="0" w:line="164"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In June 2019, in conjunction with the termination of the Sanofi Genzyme Collaboration Agreement, the Company gained ex-U.S. rights to the FA Program. The Company’s ex-U.S. rights to the FA Program were subsequently transferred to Neurocrine under the terms of the Neurocrine Collaboration Agreement. To facilitate the transfer of the ex-U.S. rights to the FA Program to Neurocrine, the Company and Neurocrine executed an amendment to the Neurocrine Collaboration Agreement (the “June 2019 Modification”), and Neurocrine paid $5.0 million to the Company. There were no other changes in pricing or scope of the obligations required to be performed under the Neurocrine Collaboration Agreement.</w:t>
      </w:r>
    </w:p>
    <w:p>
      <w:pPr>
        <w:spacing w:after="0" w:line="162"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Under the terms of the Neurocrine Collaboration Agreement, the Company has agreed to collaborate with Neurocrine on, and to grant, exclusive, royalty-bearing, non-transferable, sublicensable licenses to certain of its intellectual property rights, for all human and veterinary diagnostic, prophylactic, and therapeutic uses, for the research, development, and commercialization of gene therapy products (the “Collaboration Products”) on a worldwide basis under (i) the VY-AADC Program; (ii) the FA Program; and (iii) each Discovery Program.</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Pursuant to development plans to be agreed by the parties, which will be overseen by a joint steering committee (“JSC”), the Company has operational responsibility, subject to certain exceptions, for the conduct of each Neurocrine Program prior to the occurrence of a specified event for such Neurocrine Program (a “Transition Event”), as described below, and is required to use commercially reasonable efforts to develop the corresponding Collaboration Products. Neurocrine has agreed to be responsible for all costs incurred by the Company in conducting these activities for each Neurocrine Program, in accordance with an agreed budget for each Neurocrine Program. If the Company breaches its development responsibilities or in certain circumstances upon a change in control, Neurocrine has the right but not the obligation to assume the activities under such Neurocrine Program.</w:t>
      </w:r>
    </w:p>
    <w:p>
      <w:pPr>
        <w:spacing w:after="0" w:line="18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6"/>
          <w:szCs w:val="16"/>
          <w:color w:val="auto"/>
        </w:rPr>
        <w:t>Upon the occurrence of a Transition Event for each Neurocrine Program, Neurocrine has agreed to assume responsibility for development, manufacturing and commercialization activities for such Neurocrine Program from the Company and to pay milestones and royalties on future net sales as described further below. The Transition Events are</w:t>
      </w:r>
    </w:p>
    <w:p>
      <w:pPr>
        <w:ind w:firstLine="2"/>
        <w:spacing w:after="0" w:line="250" w:lineRule="auto"/>
        <w:tabs>
          <w:tab w:leader="none" w:pos="215" w:val="left"/>
        </w:tabs>
        <w:numPr>
          <w:ilvl w:val="0"/>
          <w:numId w:val="86"/>
        </w:numPr>
        <w:rPr>
          <w:rFonts w:ascii="Arial" w:cs="Arial" w:eastAsia="Arial" w:hAnsi="Arial"/>
          <w:sz w:val="17"/>
          <w:szCs w:val="17"/>
          <w:color w:val="auto"/>
        </w:rPr>
      </w:pPr>
      <w:r>
        <w:rPr>
          <w:rFonts w:ascii="Arial" w:cs="Arial" w:eastAsia="Arial" w:hAnsi="Arial"/>
          <w:sz w:val="17"/>
          <w:szCs w:val="17"/>
          <w:color w:val="auto"/>
        </w:rPr>
        <w:t>with respect to the VY-AADC Program, the Company’s receipt of topline data for the RESTORE-1 Phase 2 clinical trial for VY-AADC (NBIb-1817); (ii) with respect to the FA Program, the Company’s receipt of topline data for the initial Phase 1 clinical trial for an FA Program product candidate; and (iii) with respect to each Discovery Program, the preparation by the Company and the approval by Neurocrine of an IND application to be filed with the Food and Drug Administration (the “FDA”) by Neurocrine for the first development candidate in such Discovery Program. For each Existing Program, the Company has the option (the “Co-Co Option”) to co-develop and co-commercialize such Neurocrine Program upon the occurrence of a specified event (a “Co-Co Trigger Event”). Should the Company elect to exercise its Co-Co Option, the Company has agreed to enter into a cost- and profit-sharing arrangement with Neurocrine (a “Co-Co Agreement”), whereby it has agreed to jointly develop and commercialize Collaboration Products for such Existing Program (“Co-Co Products”) and share in its costs, profits and losses, and the Company agrees to forfeit certain milestones and royalties on net sales in the United States during the effective period of the applicable Co-Co Agreement. The Co-Co Trigger Events are (i) with respect to the VY-AADC Program, the Company’s receipt of topline data for the ongoing RESTORE-1 Phase 2 clinical trial for VY-AADC (NBIb-1817) and (ii) with respect to the FA Program, the receipt of topline data for the initial Phase 1 clinical trial for an FA Program product candidate.</w:t>
      </w:r>
    </w:p>
    <w:p>
      <w:pPr>
        <w:spacing w:after="0" w:line="186"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Subject to exceptions specified in the Neurocrine Collaboration Agreement, profits and losses under the Company’s Co-Co Option are agreed to be allocated (i) 50% to Neurocrine and 50% to the Company for a Collaboration Product from the VY-AADC Program and (ii) 60% to Neurocrine and 40% to the Company for a Collaboration Product from the FA Program; provided, however, that Neurocrine may elect, within a specified period following the acceptance for filing of a biologics license application (“BLA”) from the FDA, to pay a $35.0 million rate-shifting fee to the Company to change the allocation for the VY-AADC Program to 55% to Neurocrine and 45% to the Company. The parties have agreed that each Co-Co Agreement will provide the Company the right to terminate for any reason upon prior written notice to Neurocrine and Neurocrine the right to terminate in certain circumstances upon change of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Company’s research and development activities under the Neurocrine Collaboration Agreement are to be conducted pursuant to plans agreed to by the parties, on a program-by-program basis, and overseen by the JSC, as detailed in the Neurocrine Collaboration Agreement.</w:t>
      </w:r>
    </w:p>
    <w:p>
      <w:pPr>
        <w:spacing w:after="0" w:line="223"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The parties have committed to agree on a list of up to eight target genes (the “Targets”) from which Neurocrine has the right to nominate Targets for the two Discovery Programs. The Targets nominated for the Discovery Programs must be approved by a consensus of the JSC or the executive officers.</w:t>
      </w:r>
    </w:p>
    <w:p>
      <w:pPr>
        <w:spacing w:after="0" w:line="20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Neurocrine Collaboration Agreement provides for an upfront non-refundable payment of $115.0 million, as well as for aggregate development and regulatory milestone payments from Neurocrine to the Company for Collaboration Products under (i) the VY-AADC Program of up to $170.0 million; (ii) the FA Program of up to $195.0 million, and (iii) each of the two Discovery Programs of up to $130.0 million per Discovery Program. The Company may be entitled to receive aggregate commercial milestone payments for each Collaboration Product of up to $275.0 million, subject to an aggregate cap on commercial milestone payments across all Neurocrine Programs of $1.1 billion. Furthermore, in connection with the Neurocrine Collaboration Agreement, Neurocrine has purchased 4,179,728 shares of the Company’s common stock at a price of $11.9625 per share, for an aggregate purchase price of $50.0 million.</w:t>
      </w:r>
    </w:p>
    <w:p>
      <w:pPr>
        <w:spacing w:after="0" w:line="222"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Neurocrine has also agreed to pay the Company royalties, based on future net sales of the Collaboration Products. Such royalty percentages, for net sales in and outside the United States, as applicable, range (i) for the VY-AADC Program, from the mid-teens to low thirties and the low-teens to low twenties, respectively; (ii) for the FA Program, from the low-teens to high-teens and high-single digits to mid-teens, respectively; and (iii) for each Discovery Program, from the high-single digits to mid-teens and mid-single digits to low-teens, respectively. On a country-by-country and program-by-program basis, royalty payments would commence on the first commercial sale of a Collaboration Product and terminate on the later of</w:t>
      </w:r>
    </w:p>
    <w:p>
      <w:pPr>
        <w:spacing w:after="0" w:line="3" w:lineRule="exact"/>
        <w:rPr>
          <w:sz w:val="20"/>
          <w:szCs w:val="20"/>
          <w:color w:val="auto"/>
        </w:rPr>
      </w:pPr>
    </w:p>
    <w:p>
      <w:pPr>
        <w:ind w:firstLine="2"/>
        <w:spacing w:after="0" w:line="252" w:lineRule="auto"/>
        <w:tabs>
          <w:tab w:leader="none" w:pos="24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expiration of the last patent covering the Collaboration Product or its method of use in such country, (b) ten years from the first commercial sale of the Collaboration Product in such country and (c) the expiration of regulatory exclusivity in such country, or the Royalty Term. Royalty payments may be reduced by up to 50% in specified circumstances, including expiration of patents rights related to a Collaboration Product, approval of biosimilar products in a given country or required payment of licensing fees to third parties related to the development and commercialization of any Collaboration Product. Additionally, the licenses granted to Neurocrine shall automatically convert to fully paid-up, non-royalty bearing, perpetual, irrevocable, exclusive licenses on a country-by-country and product-by-product basis upon the expiration of the Royalty Term applicable to such Collaboration Product in such country.</w:t>
      </w:r>
    </w:p>
    <w:p>
      <w:pPr>
        <w:spacing w:after="0" w:line="219" w:lineRule="exact"/>
        <w:rPr>
          <w:sz w:val="20"/>
          <w:szCs w:val="20"/>
          <w:color w:val="auto"/>
        </w:rPr>
      </w:pPr>
    </w:p>
    <w:p>
      <w:pPr>
        <w:jc w:val="both"/>
        <w:ind w:right="120" w:firstLine="648"/>
        <w:spacing w:after="0" w:line="243" w:lineRule="auto"/>
        <w:rPr>
          <w:sz w:val="20"/>
          <w:szCs w:val="20"/>
          <w:color w:val="auto"/>
        </w:rPr>
      </w:pPr>
      <w:r>
        <w:rPr>
          <w:rFonts w:ascii="Arial" w:cs="Arial" w:eastAsia="Arial" w:hAnsi="Arial"/>
          <w:sz w:val="18"/>
          <w:szCs w:val="18"/>
          <w:color w:val="auto"/>
        </w:rPr>
        <w:t>Under the terms of the Neurocrine Collaboration Agreement and subject to specified exceptions therein, each party owns the entire right, title and interest in and to all intellectual property rights made solely by its employees or agents in the course of the collaboration. The parties jointly own all rights, title and interest in and to all intellectual property rights made or invented jointly by employees or agents of both parties.</w:t>
      </w:r>
    </w:p>
    <w:p>
      <w:pPr>
        <w:spacing w:after="0" w:line="21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the term of the Neurocrine Collaboration Agreement, neither party nor any of its respective affiliates is permitted to directly or indirectly exploit any AAV-based gene therapy products directed to a Target to which a Collaboration Product is directed, subject to specified exceptions including the parties’ conduct of basic research.</w:t>
      </w:r>
    </w:p>
    <w:p>
      <w:pPr>
        <w:spacing w:after="0" w:line="205"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Unless earlier terminated, the Neurocrine Collaboration Agreement expires on the later of (i) the expiration of the last to expire royalty term with respect to a Collaboration Product in all countries in the relevant territory or (ii) the expiration or termination of all Co-Co Agreements. Neurocrine may terminate the Neurocrine Collaboration Agreement in its entirety or on a program-by-program or country-by-country basis by providing at least (a) 180-day advance notice if such notice is provided prior to the first commercial sale of the Collaboration Product to which the termination applies or (b) one-year advance notice if such notice is provided after the first commercial sale of the Collaboration Product to which the termination applies. The Company may terminate the Neurocrine Collaboration Agreement, subject to specified conditions, if Neurocrine challenges the validity or enforceability of certain of the Company’s intellectual property rights. Subject to a cure period, either party may terminate the Neurocrine Collaboration Agreement in the event of a material breach by the other party in whole or in part, subject to specified conditions.</w:t>
      </w:r>
    </w:p>
    <w:p>
      <w:pPr>
        <w:spacing w:after="0" w:line="181" w:lineRule="exact"/>
        <w:rPr>
          <w:sz w:val="20"/>
          <w:szCs w:val="20"/>
          <w:color w:val="auto"/>
        </w:rPr>
      </w:pPr>
    </w:p>
    <w:p>
      <w:pPr>
        <w:ind w:right="300" w:firstLine="648"/>
        <w:spacing w:after="0" w:line="274" w:lineRule="auto"/>
        <w:rPr>
          <w:sz w:val="20"/>
          <w:szCs w:val="20"/>
          <w:color w:val="auto"/>
        </w:rPr>
      </w:pPr>
      <w:r>
        <w:rPr>
          <w:rFonts w:ascii="Arial" w:cs="Arial" w:eastAsia="Arial" w:hAnsi="Arial"/>
          <w:sz w:val="16"/>
          <w:szCs w:val="16"/>
          <w:color w:val="auto"/>
        </w:rPr>
        <w:t>Upon termination in certain cases, Neurocrine has agreed to grant to the Company licenses to certain Neurocrine intellectual property, subject to a negotiation between the parties to establish royalty rates for use of such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intellectual property. In the event of a breach by the Company with respect to a Neurocrine Program, if such termination were to occur after a Transition Event, then (i) if a Co-Co Agreement is in effect with respect to such program, Neurocrine can terminate the Co-Co Agreement for such program and the Company would no longer have co-development and co-commercialization rights with respect to the Collaboration Product and (ii) subject to any license agreements, Neurocrine would no longer have any obligations with respect to any Collaboration Products resulting from such program.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At inception, the Neurocrine Collaboration Agreement included the following performance obligations: (i) research and development services for each Existing Program combined with a development and commercialization license for each such program and (ii) research and development services for each Discovery Program combined with a development and commercialization license for each program. The research services and license on a program by program basis are not distinct as Neurocrine cannot benefit from such license on its own or from other resources commonly available in the industry, without the corresponding research services due to the unique and specialized expertise of the Company that is not readily available in the marketplace.</w:t>
      </w:r>
    </w:p>
    <w:p>
      <w:pPr>
        <w:spacing w:after="0" w:line="191"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The Company has identified $92.4 million of fixed transaction price consisting of the $115.0 million upfront fee and $5.0 million payment from the June 2019 Modification, offset by a discount of $27.6 million related to the $50.0 million equity investment of 4,179,728 shares when measured at fair value on the date of issuance. The Company is also entitled to reimbursement of costs incurred by the Company prior to the Transition Events associated with each Neurocrine Program. These amounts are determinable based on program plans and budgets, and the Company has a contractual right to the payment of cost incurred under the agreed upon program plans. The Company has utilized the most likely amount approach and estimated the expected cost reimbursement to be $431.1 million and has concluded that these amounts do not require a constraint and are included in the transaction price at inception. The Company considers this estimate at each reporting date and updates the estimate based on information available. During the fourth quarter of 2019, the Company changed the estimate of the expected reimbursement to $365.8 million based on current expectations. Additional consideration to be paid to the Company upon reaching certain milestones are excluded from the transaction price at inception due to the uncertainty of achieving the development and regulatory milestones.</w:t>
      </w:r>
    </w:p>
    <w:p>
      <w:pPr>
        <w:spacing w:after="0" w:line="13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color w:val="auto"/>
        </w:rPr>
        <w:t>The Company has allocated the fixed transaction price to the separate performance obligations based on the relative standalone selling price of each performance obligation or in the case of certain variable consideration to one or more performance obligations. The estimated standalone selling prices for performance obligations, that include a license and research services, were developed using the estimated selling price of the license, using comparable and market data, and an estimate of the overall effort to perform the research services along with a reasonable profit for research services.</w:t>
      </w:r>
    </w:p>
    <w:p>
      <w:pPr>
        <w:spacing w:after="0" w:line="16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Company has concluded that the variable consideration related to the cost reimbursement of each program will be allocated to each respective program as the cost reimbursement relates specifically to the respective program services being performed under the Neurocrine Collaboration. The reimbursement of research services is considered to be at a market rate and the allocation of the fixed consideration to all of the performance obligations depicts the estimated amounts in which it would expect to receive for these obligations, absent the variable consideration related to the research reimbursement. The total variable consideration allocated to each program related to the expected cost reimbursement was as follows at December 31,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gridSpan w:val="2"/>
          </w:tcPr>
          <w:p>
            <w:pPr>
              <w:ind w:left="920"/>
              <w:spacing w:after="0"/>
              <w:rPr>
                <w:sz w:val="20"/>
                <w:szCs w:val="20"/>
                <w:color w:val="auto"/>
              </w:rPr>
            </w:pPr>
            <w:r>
              <w:rPr>
                <w:rFonts w:ascii="Arial" w:cs="Arial" w:eastAsia="Arial" w:hAnsi="Arial"/>
                <w:sz w:val="14"/>
                <w:szCs w:val="14"/>
                <w:b w:val="1"/>
                <w:bCs w:val="1"/>
                <w:color w:val="auto"/>
              </w:rPr>
              <w:t>Performance Obligation</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3"/>
          </w:tcPr>
          <w:p>
            <w:pPr>
              <w:ind w:left="4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gridSpan w:val="2"/>
            <w:vMerge w:val="restart"/>
          </w:tcPr>
          <w:p>
            <w:pPr>
              <w:ind w:left="920"/>
              <w:spacing w:after="0"/>
              <w:rPr>
                <w:sz w:val="20"/>
                <w:szCs w:val="20"/>
                <w:color w:val="auto"/>
              </w:rPr>
            </w:pPr>
            <w:r>
              <w:rPr>
                <w:rFonts w:ascii="Arial" w:cs="Arial" w:eastAsia="Arial" w:hAnsi="Arial"/>
                <w:sz w:val="18"/>
                <w:szCs w:val="18"/>
                <w:color w:val="auto"/>
              </w:rPr>
              <w:t>Variable Consideration</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ind w:right="453"/>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VY-AADC Program</w:t>
            </w:r>
          </w:p>
        </w:tc>
        <w:tc>
          <w:tcPr>
            <w:tcW w:w="2680" w:type="dxa"/>
            <w:vAlign w:val="bottom"/>
            <w:gridSpan w:val="3"/>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111,098</w:t>
            </w:r>
          </w:p>
        </w:tc>
        <w:tc>
          <w:tcPr>
            <w:tcW w:w="1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FA Program</w:t>
            </w: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112,417</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Discovery Program 1</w:t>
            </w:r>
          </w:p>
        </w:tc>
        <w:tc>
          <w:tcPr>
            <w:tcW w:w="2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71,206</w:t>
            </w:r>
          </w:p>
        </w:tc>
        <w:tc>
          <w:tcPr>
            <w:tcW w:w="1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6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Discovery Program 2</w:t>
            </w:r>
          </w:p>
        </w:tc>
        <w:tc>
          <w:tcPr>
            <w:tcW w:w="2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71,081</w:t>
            </w:r>
          </w:p>
        </w:tc>
        <w:tc>
          <w:tcPr>
            <w:tcW w:w="180" w:type="dxa"/>
            <w:vAlign w:val="bottom"/>
            <w:tcBorders>
              <w:bottom w:val="single" w:sz="8" w:color="CCEEFF"/>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600" w:type="dxa"/>
            <w:vAlign w:val="bottom"/>
            <w:tcBorders>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365,802</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80" w:type="dxa"/>
            <w:vAlign w:val="bottom"/>
            <w:gridSpan w:val="2"/>
            <w:vMerge w:val="restart"/>
          </w:tcPr>
          <w:p>
            <w:pPr>
              <w:ind w:left="840"/>
              <w:spacing w:after="0"/>
              <w:rPr>
                <w:sz w:val="20"/>
                <w:szCs w:val="20"/>
                <w:color w:val="auto"/>
              </w:rPr>
            </w:pPr>
            <w:r>
              <w:rPr>
                <w:rFonts w:ascii="Arial" w:cs="Arial" w:eastAsia="Arial" w:hAnsi="Arial"/>
                <w:sz w:val="18"/>
                <w:szCs w:val="18"/>
                <w:color w:val="auto"/>
              </w:rPr>
              <w:t>F-28</w:t>
            </w: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20" w:top="531" w:right="13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79" w:firstLine="648"/>
        <w:spacing w:after="0" w:line="248" w:lineRule="auto"/>
        <w:rPr>
          <w:sz w:val="20"/>
          <w:szCs w:val="20"/>
          <w:color w:val="auto"/>
        </w:rPr>
      </w:pPr>
      <w:r>
        <w:rPr>
          <w:rFonts w:ascii="Arial" w:cs="Arial" w:eastAsia="Arial" w:hAnsi="Arial"/>
          <w:sz w:val="18"/>
          <w:szCs w:val="18"/>
          <w:color w:val="auto"/>
        </w:rPr>
        <w:t>Based on the relative standalone selling price allocation, the allocation of the transaction price, exclusive of the variable consideration allocated to the individual performance obligations, to the separate performance obligations was 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212"/>
        </w:trPr>
        <w:tc>
          <w:tcPr>
            <w:tcW w:w="4780" w:type="dxa"/>
            <w:vAlign w:val="bottom"/>
          </w:tcPr>
          <w:p>
            <w:pPr>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4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47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Fixed Consideration</w:t>
            </w: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453"/>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VY-AADC Program</w:t>
            </w:r>
          </w:p>
        </w:tc>
        <w:tc>
          <w:tcPr>
            <w:tcW w:w="500" w:type="dxa"/>
            <w:vAlign w:val="bottom"/>
            <w:gridSpan w:val="2"/>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80,373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FA Program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6,005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Discovery Program 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Discovery Program 2</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92,382</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419" w:firstLine="648"/>
        <w:spacing w:after="0" w:line="294" w:lineRule="auto"/>
        <w:rPr>
          <w:sz w:val="20"/>
          <w:szCs w:val="20"/>
          <w:color w:val="auto"/>
        </w:rPr>
      </w:pPr>
      <w:r>
        <w:rPr>
          <w:rFonts w:ascii="Arial" w:cs="Arial" w:eastAsia="Arial" w:hAnsi="Arial"/>
          <w:sz w:val="16"/>
          <w:szCs w:val="16"/>
          <w:color w:val="auto"/>
        </w:rPr>
        <w:t>The Company recognizes the transaction price associated with each performance obligation on a proportional performance basis over the period of service using input-based measurements such as costs incurred to date, to estimate proportion performed, and remeasures its progress towards completion at the end of each reporting period.</w:t>
      </w:r>
    </w:p>
    <w:p>
      <w:pPr>
        <w:spacing w:after="0" w:line="148" w:lineRule="exact"/>
        <w:rPr>
          <w:sz w:val="20"/>
          <w:szCs w:val="20"/>
          <w:color w:val="auto"/>
        </w:rPr>
      </w:pPr>
    </w:p>
    <w:p>
      <w:pPr>
        <w:ind w:right="39" w:firstLine="648"/>
        <w:spacing w:after="0" w:line="268" w:lineRule="auto"/>
        <w:rPr>
          <w:sz w:val="20"/>
          <w:szCs w:val="20"/>
          <w:color w:val="auto"/>
        </w:rPr>
      </w:pPr>
      <w:r>
        <w:rPr>
          <w:rFonts w:ascii="Arial" w:cs="Arial" w:eastAsia="Arial" w:hAnsi="Arial"/>
          <w:sz w:val="16"/>
          <w:szCs w:val="16"/>
          <w:color w:val="auto"/>
        </w:rPr>
        <w:t>During the year ended December 31, 2019, the Company recognized $60.0 million of revenue associated with its collaboration with Neurocrine related to research and development services performed during the period and the corresponding cost reimbursement receivable. As of December 31, 2019, there was $70.0 million of deferred revenue related to the Neurocrine Collaboration Agreement, which is classified as either current or non-current in the accompanying consolidated balance sheet based on the period the services are expected to be delivered. Additionally, as of</w:t>
      </w:r>
    </w:p>
    <w:p>
      <w:pPr>
        <w:spacing w:after="0" w:line="2" w:lineRule="exact"/>
        <w:rPr>
          <w:sz w:val="20"/>
          <w:szCs w:val="20"/>
          <w:color w:val="auto"/>
        </w:rPr>
      </w:pPr>
    </w:p>
    <w:p>
      <w:pPr>
        <w:ind w:right="599"/>
        <w:spacing w:after="0" w:line="243" w:lineRule="auto"/>
        <w:rPr>
          <w:sz w:val="20"/>
          <w:szCs w:val="20"/>
          <w:color w:val="auto"/>
        </w:rPr>
      </w:pPr>
      <w:r>
        <w:rPr>
          <w:rFonts w:ascii="Arial" w:cs="Arial" w:eastAsia="Arial" w:hAnsi="Arial"/>
          <w:sz w:val="18"/>
          <w:szCs w:val="18"/>
          <w:color w:val="auto"/>
        </w:rPr>
        <w:t>December 31, 2019, there was $18.5 million of collaboration receivables related to reimbursable costs expected to be received from Neurocrine for research and development services performed.</w:t>
      </w:r>
    </w:p>
    <w:p>
      <w:pPr>
        <w:spacing w:after="0" w:line="186" w:lineRule="exact"/>
        <w:rPr>
          <w:sz w:val="20"/>
          <w:szCs w:val="20"/>
          <w:color w:val="auto"/>
        </w:rPr>
      </w:pPr>
    </w:p>
    <w:p>
      <w:pPr>
        <w:jc w:val="both"/>
        <w:ind w:right="259" w:firstLine="648"/>
        <w:spacing w:after="0" w:line="263" w:lineRule="auto"/>
        <w:rPr>
          <w:sz w:val="20"/>
          <w:szCs w:val="20"/>
          <w:color w:val="auto"/>
        </w:rPr>
      </w:pPr>
      <w:r>
        <w:rPr>
          <w:rFonts w:ascii="Arial" w:cs="Arial" w:eastAsia="Arial" w:hAnsi="Arial"/>
          <w:sz w:val="17"/>
          <w:szCs w:val="17"/>
          <w:color w:val="auto"/>
        </w:rPr>
        <w:t>Costs incurred relating to the Collaboration Programs consist of internal and external research and development costs, which primarily include: salaries and benefits, lab supplies, preclinical research studies, clinical studies, consulting services, and commercial development. These costs are included in research and development expenses in the Company’s consolidated statements of operations during the year ended December 31, 2019.</w:t>
      </w:r>
    </w:p>
    <w:p>
      <w:pPr>
        <w:spacing w:after="0" w:line="170" w:lineRule="exact"/>
        <w:rPr>
          <w:sz w:val="20"/>
          <w:szCs w:val="20"/>
          <w:color w:val="auto"/>
        </w:rPr>
      </w:pPr>
    </w:p>
    <w:p>
      <w:pPr>
        <w:ind w:right="59" w:firstLine="648"/>
        <w:spacing w:after="0" w:line="243" w:lineRule="auto"/>
        <w:rPr>
          <w:sz w:val="20"/>
          <w:szCs w:val="20"/>
          <w:color w:val="auto"/>
        </w:rPr>
      </w:pPr>
      <w:r>
        <w:rPr>
          <w:rFonts w:ascii="Arial" w:cs="Arial" w:eastAsia="Arial" w:hAnsi="Arial"/>
          <w:sz w:val="18"/>
          <w:szCs w:val="18"/>
          <w:color w:val="auto"/>
        </w:rPr>
        <w:t>The Company incurred approximately $0.8 million of costs to obtain the Neurocrine Collaboration Agreement which were payable only upon the close of the deal and therefore considered incremental costs of obtaining a contract with a customer and capitalized. The costs are recorded in prepaid expenses and other non-current assets and are being amortized over the period in which the research services will be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ClearPoint Neuro, Inc. License and Securities Purchase Agreements</w:t>
      </w:r>
    </w:p>
    <w:p>
      <w:pPr>
        <w:spacing w:after="0" w:line="216" w:lineRule="exact"/>
        <w:rPr>
          <w:sz w:val="20"/>
          <w:szCs w:val="20"/>
          <w:color w:val="auto"/>
        </w:rPr>
      </w:pPr>
    </w:p>
    <w:p>
      <w:pPr>
        <w:ind w:right="19" w:firstLine="648"/>
        <w:spacing w:after="0" w:line="239" w:lineRule="auto"/>
        <w:rPr>
          <w:sz w:val="20"/>
          <w:szCs w:val="20"/>
          <w:color w:val="auto"/>
        </w:rPr>
      </w:pPr>
      <w:r>
        <w:rPr>
          <w:rFonts w:ascii="Arial" w:cs="Arial" w:eastAsia="Arial" w:hAnsi="Arial"/>
          <w:sz w:val="17"/>
          <w:szCs w:val="17"/>
          <w:color w:val="auto"/>
        </w:rPr>
        <w:t>In September 2016, the Company entered into a securities purchase agreement (the “Securities Purchase Agreement”) and a license agreement (the “CLPT License Agreement”) with ClearPoint Neuro, Inc. (formerly known as MRI Interventions, Inc.) (“CLPT”), formerly known as MRI Interventions, Inc. CLPT is the only supplier of the ClearPoint</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System, which is being used by the Company in ongoing development and clinical trials. Under the Securities Purchase Agreement, the Company paid $2.0 million for shares of CLPT common stock and a warrant to purchase additional shares of CLPT common stock. The Company also entered into the CLPT License Agreement, which provided for certain rights to CLPT technology and for CLPT to transfer the rights and know-how to manufacture the ClearPoint System to enable the Company to utilize an alternative supplier for the ClearPoint System for use in the Company’s development and clinical trials. During 2017, the Company terminated the CLPT License Agreement and all prior and future commitments and obligations under such agreement became null and void.</w:t>
      </w:r>
    </w:p>
    <w:p>
      <w:pPr>
        <w:spacing w:after="0" w:line="192" w:lineRule="exact"/>
        <w:rPr>
          <w:sz w:val="20"/>
          <w:szCs w:val="20"/>
          <w:color w:val="auto"/>
        </w:rPr>
      </w:pPr>
    </w:p>
    <w:p>
      <w:pPr>
        <w:ind w:right="59" w:firstLine="648"/>
        <w:spacing w:after="0" w:line="241" w:lineRule="auto"/>
        <w:rPr>
          <w:sz w:val="20"/>
          <w:szCs w:val="20"/>
          <w:color w:val="auto"/>
        </w:rPr>
      </w:pPr>
      <w:r>
        <w:rPr>
          <w:rFonts w:ascii="Arial" w:cs="Arial" w:eastAsia="Arial" w:hAnsi="Arial"/>
          <w:sz w:val="18"/>
          <w:szCs w:val="18"/>
          <w:color w:val="auto"/>
        </w:rPr>
        <w:t>In May 2018, the Company entered into a master services and supply agreement with CLPT (the “CLPT Supply Agreement”) which provides for CLPT to perform certain manufacturing, supply, development and services as requested by the Company, including the supply of the ClearPoint System and cannula devices. In March 2019, the Company transferred its premarket notification (510(k)) clearance for the V-TAG device to CLPT, and will work with CLPT on the manufacturing and clinical supply of the device.</w:t>
      </w:r>
    </w:p>
    <w:p>
      <w:pPr>
        <w:spacing w:after="0" w:line="190" w:lineRule="exact"/>
        <w:rPr>
          <w:sz w:val="20"/>
          <w:szCs w:val="20"/>
          <w:color w:val="auto"/>
        </w:rPr>
      </w:pPr>
    </w:p>
    <w:p>
      <w:pPr>
        <w:ind w:right="199" w:firstLine="648"/>
        <w:spacing w:after="0" w:line="262" w:lineRule="auto"/>
        <w:rPr>
          <w:sz w:val="20"/>
          <w:szCs w:val="20"/>
          <w:color w:val="auto"/>
        </w:rPr>
      </w:pPr>
      <w:r>
        <w:rPr>
          <w:rFonts w:ascii="Arial" w:cs="Arial" w:eastAsia="Arial" w:hAnsi="Arial"/>
          <w:sz w:val="18"/>
          <w:szCs w:val="18"/>
          <w:color w:val="auto"/>
        </w:rPr>
        <w:t>As of December 31, 2019, the Company continued to hold the common stock and warrants to purchase additional shares of common stock as a non-current asset.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1" w:right="1440"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Company has entered into various agreements with contract research organizations and institutions to license intellectual property. In consideration for the licensed rights the Company generally made upfront payments, which were recorded as research and development expense as the acquired technologies were considered in-process research and development. The license agreements obligate the Company to make additional payments that are contingent upon specific clinical trial and regulatory approval milestones being achieved as well as royalties on future product sales. The agreements to license intellectual property include potential milestone payments that are dependent upon the development of products licensed under the agreements and contingent upon the achievement of clinical trial or regulatory approval milestones. As of December 31, 2019, the Company reached a milestone related to first patient dosing on the RESTORE-1 Phase 2 clinical trial which resulted in a $0.1 million milestone payment to one of its licensors. The Company can generally terminate the license agreements upon 30-90 days prior written notice.</w:t>
      </w:r>
    </w:p>
    <w:p>
      <w:pPr>
        <w:spacing w:after="0" w:line="181"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Additionally, certain license agreements require the Company to reimburse the licensor for certain past and ongoing patent related expenses. During the year ended December 31, 2019, 2018, and 2017, the Company incurred $0.5 million, $0.6 million, and $0.8 million of expense, respectively, related to these reimbursable patent costs which are recorded as general and administrative expense</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During the year ended December 31, 2016, the Company entered into a research and development funding arrangement with a non-profit organization that provides up to $4.0 million in funding to the Company upon the achievement of clinical and development milestones. The agreement provides that the Company repay amounts received under certain circumstances including termination of the agreement, and to pay an amount up to 2.6 times the funding received upon successful development and commercialization of any products developed. During the year ended December 31, 2017, the Company earned a milestone payment of $1.0 million. The Company has evaluated the arrangement and has concluded that it represents a research and development financing arrangement as it is probable that the Company will repay amounts received under the arrangement. As a result, the $1.0 million earned through the year ended December 31, 2017 is recorded as a non-current liability in the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12" w:lineRule="exact"/>
        <w:rPr>
          <w:sz w:val="20"/>
          <w:szCs w:val="20"/>
          <w:color w:val="auto"/>
        </w:rPr>
      </w:pPr>
    </w:p>
    <w:p>
      <w:pPr>
        <w:ind w:right="700" w:firstLine="648"/>
        <w:spacing w:after="0" w:line="262" w:lineRule="auto"/>
        <w:rPr>
          <w:sz w:val="20"/>
          <w:szCs w:val="20"/>
          <w:color w:val="auto"/>
        </w:rPr>
      </w:pPr>
      <w:r>
        <w:rPr>
          <w:rFonts w:ascii="Arial" w:cs="Arial" w:eastAsia="Arial" w:hAnsi="Arial"/>
          <w:sz w:val="18"/>
          <w:szCs w:val="18"/>
          <w:color w:val="auto"/>
        </w:rPr>
        <w:t>The Company is not a party to any material legal matters or claims and does not have contingency reserves established for any litigation liabilities as of December 31, 2019 or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authorized preferred stock amounting to 5,000,000 shares as of December 31, 2019 and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authorized preferred stock was classified under stockholders’ equity at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16"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As of December 31, 2019 and 2018, the Company had authorized 120,000,000 shares of common stock, at $0.001 par value per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240" w:firstLine="648"/>
        <w:spacing w:after="0" w:line="324" w:lineRule="auto"/>
        <w:rPr>
          <w:sz w:val="20"/>
          <w:szCs w:val="20"/>
          <w:color w:val="auto"/>
        </w:rPr>
      </w:pPr>
      <w:r>
        <w:rPr>
          <w:rFonts w:ascii="Arial" w:cs="Arial" w:eastAsia="Arial" w:hAnsi="Arial"/>
          <w:sz w:val="16"/>
          <w:szCs w:val="16"/>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1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1" w:right="141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color w:val="auto"/>
        </w:rPr>
        <w:t>The holders of shares of common stock are entitled to receive dividends, if and when declared by the Board of Directors. No dividends have been declared or paid by the Company since its inception.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12"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8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December 31,</w:t>
            </w:r>
          </w:p>
        </w:tc>
      </w:tr>
      <w:tr>
        <w:trPr>
          <w:trHeight w:val="169"/>
        </w:trPr>
        <w:tc>
          <w:tcPr>
            <w:tcW w:w="326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68"/>
        </w:trPr>
        <w:tc>
          <w:tcPr>
            <w:tcW w:w="628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Shares reserved for vesting of restricted stock awards under the Founder</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7"/>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Agreements</w:t>
            </w:r>
          </w:p>
        </w:tc>
        <w:tc>
          <w:tcPr>
            <w:tcW w:w="30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235,294</w:t>
            </w:r>
          </w:p>
        </w:tc>
        <w:tc>
          <w:tcPr>
            <w:tcW w:w="80" w:type="dxa"/>
            <w:vAlign w:val="bottom"/>
            <w:shd w:val="clear" w:color="auto" w:fill="CCEEFF"/>
          </w:tcPr>
          <w:p>
            <w:pPr>
              <w:spacing w:after="0"/>
              <w:rPr>
                <w:sz w:val="18"/>
                <w:szCs w:val="18"/>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Shares reserved for exercise of outstanding stock options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5,317,326</w:t>
            </w: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4,225,152</w:t>
            </w:r>
          </w:p>
        </w:tc>
        <w:tc>
          <w:tcPr>
            <w:tcW w:w="80" w:type="dxa"/>
            <w:vAlign w:val="bottom"/>
          </w:tcPr>
          <w:p>
            <w:pPr>
              <w:spacing w:after="0"/>
              <w:rPr>
                <w:sz w:val="17"/>
                <w:szCs w:val="17"/>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vesting of outstanding restricted stock units</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455,404</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w w:val="87"/>
              </w:rPr>
              <w:t>Shares reserved for issuances under the 2015</w:t>
            </w:r>
          </w:p>
        </w:tc>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Stock Option Plan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1,875,078</w:t>
            </w: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1,973,227</w:t>
            </w:r>
          </w:p>
        </w:tc>
        <w:tc>
          <w:tcPr>
            <w:tcW w:w="8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7"/>
              </w:rPr>
              <w:t>Shares reserved for issuances under the 2015</w:t>
            </w:r>
          </w:p>
        </w:tc>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1,218,876</w:t>
            </w:r>
          </w:p>
        </w:tc>
        <w:tc>
          <w:tcPr>
            <w:tcW w:w="18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963,386</w:t>
            </w:r>
          </w:p>
        </w:tc>
        <w:tc>
          <w:tcPr>
            <w:tcW w:w="80" w:type="dxa"/>
            <w:vAlign w:val="bottom"/>
            <w:shd w:val="clear" w:color="auto" w:fill="CCEEFF"/>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9,043,155</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7,397,059</w:t>
            </w:r>
          </w:p>
        </w:tc>
        <w:tc>
          <w:tcPr>
            <w:tcW w:w="8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Grant Plan</w:t>
      </w:r>
    </w:p>
    <w:p>
      <w:pPr>
        <w:spacing w:after="0" w:line="131"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In January 2014, the Company adopted the 2014 Stock Option and Grant Plan (the “2014 Plan”), under which it could grant incentive stock options, non-qualified stock options, restricted stock awards, unrestricted stock awards, or restricted stock units to purchase up to 823,529 shares of common stock to employees, officers, directors and consultants of the Company.</w:t>
      </w:r>
    </w:p>
    <w:p>
      <w:pPr>
        <w:spacing w:after="0" w:line="12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In April 2014, the Company amended the Plan to allow for the issuance of up to 1,411,764 shares of common stock. In August 2014, April 2015, August 2015 and October 2015 the Company further amended the Plan to allow for the issuance of up to 2,000,000, 2,047,058, 2,669,411 and 2,998,823 shares of common stock, respectively. During 2014 the Company issued only restricted stock awards under the Plan and during 2015 the Company only granted stock options.</w:t>
      </w:r>
    </w:p>
    <w:p>
      <w:pPr>
        <w:spacing w:after="0" w:line="88"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terms of stock option agreements, including vesting requirements, were determined by the Board of Directors and were subject to the provisions of the 2014 Plan. Restricted stock awards granted by the Company generally vest based on each grantee’s continued service with the Company during a specified period following grant. Stock options granted to employees generally vest over four years, with 25% vesting on the one year anniversary and 75% vesting ratably, on a monthly basis, over the remaining three years. Stock options granted to non-employee consultants generally vest monthly over a period of one to four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Awards</w:t>
      </w:r>
    </w:p>
    <w:p>
      <w:pPr>
        <w:spacing w:after="0" w:line="144"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In January 2014, the Company issued 1,188,233 shares of restricted stock to its founders (each, a “Founder”)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w:t>
      </w:r>
    </w:p>
    <w:p>
      <w:pPr>
        <w:spacing w:after="0" w:line="122"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The remaining 352,941 of the shares issued begin vesting upon the achievement of certain performance objectives as well as continued service to the Company, as set forth in the agreements. These performance conditions are tied to certain milestone events specific to the Company’s corporate goals, including but not limited to preclinical and clinical development milestones related to the Company’s product candidates. Stock-based compensation expense associated with these performance-based awards is recognized when the achievement of the performance condition is considered probable, using management’s best estimates. Management concluded that the achievement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performance milestone for one of the three performance-based awards had been met during 2016. Accordingly, stock-based compensation expense in the amount of $0.3 million and $1.4 million was recorded in the years ended December 31, 2018 and 2017, respectively, related to this award. In December 2019, the Company modified one of the remaining performance awards, repurchasing 58,823 shares of common stock previously issued to one of the Company’s founders. Additionally, the Company modified the award to vest solely based on time rather than on performance. The Company revalued the award at the modification date and is recognizing expense on a straight-line basis over the three-year vesting period. Stock-based compensation related to this award was de minimis in the year ended December 31, 2019. The performance-based milestone of the remaining performance-based award has not been met as of December 31, 2019.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Plan</w:t>
      </w:r>
    </w:p>
    <w:p>
      <w:pPr>
        <w:spacing w:after="0" w:line="104"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October 2015, the Company’s board of directors and stockholders approved the 2015 Stock Option and Incentive Plan “(2015 Stock Option Plan”), which became effective upon the completion of the IPO. The 2015 Stock Option Plan provides the Company with the flexibility to use various equity-based incentive and other awards as compensation tools to motivate its workforce. These tools include stock options, stock appreciation rights, restricted stock, restricted stock units, unrestricted stock, performance share awards and cash-based awards. The 2015 Stock Option Plan replaced the 2014 Plan. Any options or awards outstanding under the 2014 Plan remained outstanding and effective. The number of shares initially reserved for issuance under the 2015 Stock Option Plan is the sum of (i) 1,311,812 shares of common stock and (ii) the number of shares under the 2014 Plan that are not needed to 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7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6"/>
          <w:szCs w:val="16"/>
          <w:color w:val="auto"/>
        </w:rPr>
        <w:t>Effective January 1, 2016, 2017, 2018, 2019, and 2020, an additional 1,069,971, 1,070,635, 1,285,200, 1,302,830, and 1,480,621 shares of common stock, respectively, were added to the Company’s 2015 Stock Option Plan pursuant to its “evergreen” provision, for future issuance. During the year ended December 31, 2019, the Company granted options to purchase 1,365,130 shares of common stock to employees and directors under the 2015 Stock Option Plan. As of December 31, 2019, there were 1,875,078 shares available for future issuance under the 2015 Stock Option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In October 2015, the Company’s board of directors and stockholders approved the 2015 Employee Stock Purchase Plan (the “2015 ESPP”). Under the 2015 ESPP, all full-time employees of the Company are eligible to purchase common stock of the Company twice per year, at the end of each six-month payment period. During each payment period, eligible employees who so elect, may authorize payroll deductions in an amount of 1% to 10% (whole percentages only) of the employee’s base pay for each payroll period. At the end of each payment period, the accumulated deductions are used to purchase shares of common stock from the Company at a discount. A total of 262,362 shares of common stock were initially authorized for issuance under this plan. The 2015 ESPP became effective upon the completion of the IPO. Effective January 1, 2016, 2017, 2018, 2019, and 2020, a total of 267,492, 267,658, 321,300, 325,707, and 370,155 shares of common stock, respectively, were added to the 2015 ESPP, pursuant to its evergreen provision, for future issuance. The Company issued 70,217 shares of common stock under the 2015 ESPP in the year ended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Awards</w:t>
      </w:r>
    </w:p>
    <w:p>
      <w:pPr>
        <w:spacing w:after="0" w:line="131"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In the year ended December 31, 2019, the Company issued non-statutory stock options to purchase an aggregate of 338,750 shares of the Company’s common stock and restricted stock unit awards for an aggregate of 58,125 units of the Company’s common stock, respectively, to two executives in each case outside of the Company’s 2015 Stock Option Plan as an inducement material to such executive’s acceptance of an offer of employment with the Company in accordance with Nasdaq Listing Rule 5635(c)(4). The stock options will vest over a four-year period, with 25% of the shares underlying the option award vesting on the first anniversary of the award and the remaining 75% of the shares underlying the award vesting monthly thereafter over the subsequent 36-month period. The restricted stock units vest over a three-year period, with 33% of the restricted stock units vesting on the first anniversary, 33% of the restricted stock units vesting on the second anniversary, and the remaining restricted stock units vesting on the third anniversary.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Total compensation cost recognized for all stock-based compensation awards in the statements of operations and comprehensive loss is as follows:</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center"/>
              <w:ind w:left="317"/>
              <w:spacing w:after="0"/>
              <w:rPr>
                <w:sz w:val="20"/>
                <w:szCs w:val="20"/>
                <w:color w:val="auto"/>
              </w:rPr>
            </w:pPr>
            <w:r>
              <w:rPr>
                <w:rFonts w:ascii="Arial" w:cs="Arial" w:eastAsia="Arial" w:hAnsi="Arial"/>
                <w:sz w:val="14"/>
                <w:szCs w:val="14"/>
                <w:b w:val="1"/>
                <w:bCs w:val="1"/>
                <w:color w:val="auto"/>
                <w:w w:val="92"/>
              </w:rPr>
              <w:t>Year ended December 31,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96"/>
        </w:trPr>
        <w:tc>
          <w:tcPr>
            <w:tcW w:w="3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89"/>
              </w:rPr>
              <w:t>(in thousands)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7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7,383</w:t>
            </w:r>
          </w:p>
        </w:tc>
        <w:tc>
          <w:tcPr>
            <w:tcW w:w="320" w:type="dxa"/>
            <w:vAlign w:val="bottom"/>
            <w:gridSpan w:val="2"/>
            <w:shd w:val="clear" w:color="auto" w:fill="CCEEFF"/>
          </w:tcPr>
          <w:p>
            <w:pPr>
              <w:jc w:val="right"/>
              <w:ind w:right="25"/>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5"/>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5,367</w:t>
            </w:r>
          </w:p>
        </w:tc>
        <w:tc>
          <w:tcPr>
            <w:tcW w:w="120" w:type="dxa"/>
            <w:vAlign w:val="bottom"/>
            <w:shd w:val="clear" w:color="auto" w:fill="CCEEFF"/>
          </w:tcPr>
          <w:p>
            <w:pPr>
              <w:spacing w:after="0"/>
              <w:rPr>
                <w:sz w:val="17"/>
                <w:szCs w:val="17"/>
                <w:color w:val="auto"/>
              </w:rPr>
            </w:pPr>
          </w:p>
        </w:tc>
      </w:tr>
      <w:tr>
        <w:trPr>
          <w:trHeight w:val="203"/>
        </w:trPr>
        <w:tc>
          <w:tcPr>
            <w:tcW w:w="3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8,257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10,993</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tcPr>
          <w:p>
            <w:pPr>
              <w:spacing w:after="0"/>
              <w:rPr>
                <w:sz w:val="17"/>
                <w:szCs w:val="17"/>
                <w:color w:val="auto"/>
              </w:rPr>
            </w:pPr>
          </w:p>
        </w:tc>
      </w:tr>
      <w:tr>
        <w:trPr>
          <w:trHeight w:val="196"/>
        </w:trPr>
        <w:tc>
          <w:tcPr>
            <w:tcW w:w="36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stock-based compensation expense</w:t>
            </w: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15,640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15,710</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9,238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Stock-based compensation expense by type of award included within the consolidated statements of operations and comprehensive loss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3"/>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r>
      <w:tr>
        <w:trPr>
          <w:trHeight w:val="182"/>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40"/>
              <w:spacing w:after="0" w:line="182" w:lineRule="exact"/>
              <w:rPr>
                <w:sz w:val="20"/>
                <w:szCs w:val="20"/>
                <w:color w:val="auto"/>
              </w:rPr>
            </w:pPr>
            <w:r>
              <w:rPr>
                <w:rFonts w:ascii="Arial" w:cs="Arial" w:eastAsia="Arial" w:hAnsi="Arial"/>
                <w:sz w:val="18"/>
                <w:szCs w:val="18"/>
                <w:i w:val="1"/>
                <w:iCs w:val="1"/>
                <w:color w:val="auto"/>
                <w:w w:val="89"/>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Stock options</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14,956</w:t>
            </w:r>
          </w:p>
        </w:tc>
        <w:tc>
          <w:tcPr>
            <w:tcW w:w="16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5,787</w:t>
            </w:r>
          </w:p>
        </w:tc>
        <w:tc>
          <w:tcPr>
            <w:tcW w:w="20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and units</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3,244</w:t>
            </w:r>
          </w:p>
        </w:tc>
        <w:tc>
          <w:tcPr>
            <w:tcW w:w="200" w:type="dxa"/>
            <w:vAlign w:val="bottom"/>
            <w:shd w:val="clear" w:color="auto" w:fill="CCEEFF"/>
          </w:tcPr>
          <w:p>
            <w:pPr>
              <w:spacing w:after="0"/>
              <w:rPr>
                <w:sz w:val="17"/>
                <w:szCs w:val="17"/>
                <w:color w:val="auto"/>
              </w:rPr>
            </w:pPr>
          </w:p>
        </w:tc>
      </w:tr>
      <w:tr>
        <w:trPr>
          <w:trHeight w:val="203"/>
        </w:trPr>
        <w:tc>
          <w:tcPr>
            <w:tcW w:w="39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Employee stock purchase plan awards</w:t>
            </w:r>
          </w:p>
        </w:tc>
        <w:tc>
          <w:tcPr>
            <w:tcW w:w="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200" w:type="dxa"/>
            <w:vAlign w:val="bottom"/>
            <w:tcBorders>
              <w:bottom w:val="single" w:sz="8" w:color="CCEEFF"/>
            </w:tcBorders>
          </w:tcPr>
          <w:p>
            <w:pPr>
              <w:spacing w:after="0"/>
              <w:rPr>
                <w:sz w:val="17"/>
                <w:szCs w:val="17"/>
                <w:color w:val="auto"/>
              </w:rPr>
            </w:pPr>
          </w:p>
        </w:tc>
      </w:tr>
      <w:tr>
        <w:trPr>
          <w:trHeight w:val="196"/>
        </w:trPr>
        <w:tc>
          <w:tcPr>
            <w:tcW w:w="39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stock-based compensation expense</w:t>
            </w: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15,640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15,710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9,238</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7"/>
          <w:szCs w:val="17"/>
          <w:color w:val="auto"/>
        </w:rPr>
        <w:t>In June 2019, the Company entered into a consulting agreement (the “Sah Agreement”) with Dr. Dinah Sah, Ph.D., the Company’s former Chief Scientific Officer, pursuant to which Dr. Sah has agreed to provide consulting and advisory services, including but not limited to scientific guidance in connection with certain of the Company’s collaborations and research and development programs for a three-year period which commenced on June 28, 2019. In accordance with its terms, the Sah Agreement triggered an equity modification resulting in the recognition of $2.2 million of stock-based compensation expense related to the non-substantive service period of the Sah Agreement.</w:t>
      </w:r>
    </w:p>
    <w:p>
      <w:pPr>
        <w:spacing w:after="0" w:line="176"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In August 2018, the Company entered into a consulting agreement (the “Paul Agreement”) with Dr. Steven M. Paul, M.D., the Company’s former President and Chief Executive Officer, pursuant to which Dr. Paul has agreed to provide consulting and advisory services, including but not limited to scientific guidance in connection with certain of the Company’s collaborations and research and development programs for a three-year period which commenced on August 2, 2018. In accordance with its terms, the Paul Agreement triggered an equity modification resulting in the recognition of $5.4 million of stock-based compensation expense related to the non-substantive service period of the Paul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A summary of the status of and changes in unvested restricted stock unit activity under the Company’s equity award plans for the year ended December 31, 2019 was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4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4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r>
      <w:tr>
        <w:trPr>
          <w:trHeight w:val="162"/>
        </w:trPr>
        <w:tc>
          <w:tcPr>
            <w:tcW w:w="4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185"/>
        </w:trPr>
        <w:tc>
          <w:tcPr>
            <w:tcW w:w="4880" w:type="dxa"/>
            <w:vAlign w:val="bottom"/>
          </w:tcPr>
          <w:p>
            <w:pPr>
              <w:spacing w:after="0"/>
              <w:rPr>
                <w:sz w:val="16"/>
                <w:szCs w:val="16"/>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 Unit</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units as of December 31, 2018</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r>
      <w:tr>
        <w:trPr>
          <w:trHeight w:val="183"/>
        </w:trPr>
        <w:tc>
          <w:tcPr>
            <w:tcW w:w="4880" w:type="dxa"/>
            <w:vAlign w:val="bottom"/>
          </w:tcPr>
          <w:p>
            <w:pPr>
              <w:ind w:left="220"/>
              <w:spacing w:after="0" w:line="176" w:lineRule="exact"/>
              <w:rPr>
                <w:sz w:val="20"/>
                <w:szCs w:val="20"/>
                <w:color w:val="auto"/>
              </w:rPr>
            </w:pPr>
            <w:r>
              <w:rPr>
                <w:rFonts w:ascii="Arial" w:cs="Arial" w:eastAsia="Arial" w:hAnsi="Arial"/>
                <w:sz w:val="18"/>
                <w:szCs w:val="18"/>
                <w:color w:val="auto"/>
              </w:rPr>
              <w:t>Awarded</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484,514</w:t>
            </w:r>
          </w:p>
        </w:tc>
        <w:tc>
          <w:tcPr>
            <w:tcW w:w="28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12.00</w:t>
            </w:r>
          </w:p>
        </w:tc>
        <w:tc>
          <w:tcPr>
            <w:tcW w:w="140" w:type="dxa"/>
            <w:vAlign w:val="bottom"/>
          </w:tcPr>
          <w:p>
            <w:pPr>
              <w:spacing w:after="0"/>
              <w:rPr>
                <w:sz w:val="15"/>
                <w:szCs w:val="15"/>
                <w:color w:val="auto"/>
              </w:rPr>
            </w:pPr>
          </w:p>
        </w:tc>
      </w:tr>
      <w:tr>
        <w:trPr>
          <w:trHeight w:val="203"/>
        </w:trPr>
        <w:tc>
          <w:tcPr>
            <w:tcW w:w="4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(29,110)</w:t>
            </w:r>
          </w:p>
        </w:tc>
        <w:tc>
          <w:tcPr>
            <w:tcW w:w="280" w:type="dxa"/>
            <w:vAlign w:val="bottom"/>
            <w:tcBorders>
              <w:bottom w:val="single" w:sz="8" w:color="CCEEFF"/>
            </w:tcBorders>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9.47</w:t>
            </w:r>
          </w:p>
        </w:tc>
        <w:tc>
          <w:tcPr>
            <w:tcW w:w="140" w:type="dxa"/>
            <w:vAlign w:val="bottom"/>
            <w:tcBorders>
              <w:bottom w:val="single" w:sz="8" w:color="CCEEFF"/>
            </w:tcBorders>
          </w:tcPr>
          <w:p>
            <w:pPr>
              <w:spacing w:after="0"/>
              <w:rPr>
                <w:sz w:val="17"/>
                <w:szCs w:val="17"/>
                <w:color w:val="auto"/>
              </w:rPr>
            </w:pPr>
          </w:p>
        </w:tc>
      </w:tr>
      <w:tr>
        <w:trPr>
          <w:trHeight w:val="196"/>
        </w:trPr>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units as of December 31, 2019</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455,404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Stock-based compensation of restricted stock units is based on the fair value of the Company’s common stock on the date of grant and recognized over the vesting period. The weighted average fair value of restricted stock units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1" w:right="141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granted to employees during the year ended December 31, 2019 was $12.00 per share. The restricted stock units granted in the year ended December 31, 2019 vest in equal amounts, annually over three years. The expense related to awards granted to employees was $1.9 million for the year ended December 31, 2019.</w:t>
      </w:r>
    </w:p>
    <w:p>
      <w:pPr>
        <w:spacing w:after="0" w:line="182" w:lineRule="exact"/>
        <w:rPr>
          <w:sz w:val="20"/>
          <w:szCs w:val="20"/>
          <w:color w:val="auto"/>
        </w:rPr>
      </w:pPr>
    </w:p>
    <w:p>
      <w:pPr>
        <w:ind w:right="220" w:firstLine="648"/>
        <w:spacing w:after="0" w:line="291" w:lineRule="auto"/>
        <w:rPr>
          <w:sz w:val="20"/>
          <w:szCs w:val="20"/>
          <w:color w:val="auto"/>
        </w:rPr>
      </w:pPr>
      <w:r>
        <w:rPr>
          <w:rFonts w:ascii="Arial" w:cs="Arial" w:eastAsia="Arial" w:hAnsi="Arial"/>
          <w:sz w:val="17"/>
          <w:szCs w:val="17"/>
          <w:color w:val="auto"/>
        </w:rPr>
        <w:t>The expense related to awards granted to employees was $0.1 million for the year ended December 31, 2018. The expense related to awards granted to employees was $0.5 million for the year ended December 31, 2017.</w:t>
      </w:r>
    </w:p>
    <w:p>
      <w:pPr>
        <w:spacing w:after="0" w:line="147"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As of December 31, 2019, the Company had unrecognized stock-based compensation expense related to its unvested restricted stock units of $4.9 million which is expected to be recognized over the remaining weighted average vesting period of 3.0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status of, and changes in, stock options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2018</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4,225,152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15.48</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1,703,880</w:t>
            </w:r>
          </w:p>
        </w:tc>
        <w:tc>
          <w:tcPr>
            <w:tcW w:w="8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15.42</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(250,276)</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Cancelled or forfeited</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(361,430)</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12.12</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5,317,326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Exercisable at December 31, 2019</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CEEFF"/>
            </w:tcBorders>
            <w:vMerge w:val="continue"/>
          </w:tcPr>
          <w:p>
            <w:pPr>
              <w:spacing w:after="0"/>
              <w:rPr>
                <w:sz w:val="19"/>
                <w:szCs w:val="19"/>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2,482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gridSpan w:val="2"/>
            <w:vMerge w:val="continue"/>
          </w:tcPr>
          <w:p>
            <w:pPr>
              <w:spacing w:after="0"/>
              <w:rPr>
                <w:sz w:val="19"/>
                <w:szCs w:val="19"/>
                <w:color w:val="auto"/>
              </w:rPr>
            </w:pPr>
          </w:p>
        </w:tc>
        <w:tc>
          <w:tcPr>
            <w:tcW w:w="7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86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Vested and expected to vest at December 31, 2019</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5,317,326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15.98</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8,469</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Using the Black-Scholes option pricing model, the weighted average fair value of options granted to employees and directors during the year ended December 31, 2019 was $10.22. The stock-based compensation expense related to stock option awards granted to employees and directors was $13.3 million, $14.6 million, and $5.4 million for the years ended December 31, 2019, 2018, and 2017,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each option issued to employees and directors was estimated at the date of grant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weighted-average assumptions:</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Year ended 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820" w:type="dxa"/>
            <w:vAlign w:val="bottom"/>
          </w:tcPr>
          <w:p>
            <w:pPr>
              <w:spacing w:after="0"/>
              <w:rPr>
                <w:sz w:val="15"/>
                <w:szCs w:val="15"/>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50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320" w:type="dxa"/>
            <w:vAlign w:val="bottom"/>
            <w:tcBorders>
              <w:top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2.2 %</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2.8 %</w:t>
            </w: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3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1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1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 %</w:t>
            </w: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32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74.7 %</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74.4 %</w:t>
            </w:r>
          </w:p>
        </w:tc>
        <w:tc>
          <w:tcPr>
            <w:tcW w:w="1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73.7 %</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240" w:firstLine="648"/>
        <w:spacing w:after="0" w:line="294" w:lineRule="auto"/>
        <w:rPr>
          <w:sz w:val="20"/>
          <w:szCs w:val="20"/>
          <w:color w:val="auto"/>
        </w:rPr>
      </w:pPr>
      <w:r>
        <w:rPr>
          <w:rFonts w:ascii="Arial" w:cs="Arial" w:eastAsia="Arial" w:hAnsi="Arial"/>
          <w:sz w:val="16"/>
          <w:szCs w:val="16"/>
          <w:color w:val="auto"/>
        </w:rPr>
        <w:t>There were no new options granted to non-employees other than members of the Company’s board of directors during the year ended December 31, 2019. The expense related to stock option awards granted to non-employees was $0.1 million, $0.3 million, and $0.4 million for the years ended December 31, 2019, 2018, and 2017, respectively.</w:t>
      </w:r>
    </w:p>
    <w:p>
      <w:pPr>
        <w:spacing w:after="0" w:line="148"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As of December 31, 2019, the Company had unrecognized stock-based compensation expense related to its unvested stock options of $27.4 million which is expected to be recognized over the remaining weighted average vesting period of 2.6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Savings plan</w:t>
      </w:r>
    </w:p>
    <w:p>
      <w:pPr>
        <w:spacing w:after="0" w:line="21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Company expensed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approximately $1.0 million, $0.8 million, and $0.5 million related to employer contributions made during the years ended December 31, 2019, 2018, and 2017,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The Company accounts for income taxes using the asset and liability method. Under the asset and liability method, deferred tax assets and liabilities are recognized for the future tax consequences attributable to temporary differences between the financial statement carrying amounts of existing assets and liabilities and their respective tax bases and for tax carryforwards, such as net operating losses.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provision for income taxes in the period that includes the enactment date. The Company records a valuation allowance to reduce the carrying amount of deferred tax assets if it is more likely than not that such asset will not be realized.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The Company evaluates its tax positions on a quarterly basis.</w:t>
      </w:r>
    </w:p>
    <w:p>
      <w:pPr>
        <w:spacing w:after="0" w:line="16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On December 22, 2017, the U.S. federal government enacted comprehensive tax legislation with the U.S. Tax Cuts and Jobs Act (“Tax Act”) that made changes to the U.S. tax code impacting the year ended December 31, 2017 and future years. Effective January 1, 2018, the Tax Act reduced the U.S. federal corporate tax rate from 35% to 21%.</w:t>
      </w:r>
    </w:p>
    <w:p>
      <w:pPr>
        <w:spacing w:after="0" w:line="164" w:lineRule="exact"/>
        <w:rPr>
          <w:sz w:val="20"/>
          <w:szCs w:val="20"/>
          <w:color w:val="auto"/>
        </w:rPr>
      </w:pPr>
    </w:p>
    <w:p>
      <w:pPr>
        <w:jc w:val="both"/>
        <w:ind w:right="400" w:firstLine="648"/>
        <w:spacing w:after="0" w:line="270" w:lineRule="auto"/>
        <w:rPr>
          <w:sz w:val="20"/>
          <w:szCs w:val="20"/>
          <w:color w:val="auto"/>
        </w:rPr>
      </w:pPr>
      <w:r>
        <w:rPr>
          <w:rFonts w:ascii="Arial" w:cs="Arial" w:eastAsia="Arial" w:hAnsi="Arial"/>
          <w:sz w:val="17"/>
          <w:szCs w:val="17"/>
          <w:color w:val="auto"/>
        </w:rPr>
        <w:t>For the year ended December 31, 2017, the Tax Act required a one-time transition tax on certain unrepatriated earnings of foreign subsidiaries that is payable over eight years. At December 31, 2018, the Company does not have any foreign subsidiaries and the international aspects of the Tax Act are not applicable.</w:t>
      </w:r>
    </w:p>
    <w:p>
      <w:pPr>
        <w:spacing w:after="0" w:line="16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 December 2017, the SEC staff issued Staff Accounting Bulletin No. 118 (“SAB 118”), which provided guidance on accounting for the tax effects of the Tax Act. SAB 118 provided a measurement period that should not extend beyond one year from the date of the Tax Act enactment for companies to complete the accounting under Accounting Standards Codification 740—Income Taxes. In accordance with SAB 118, to the extent that a company’s accounting for certain income tax effects of the Tax Act is incomplete, but the company is able to determine a reasonable estimate, it must record a provisional estimate in its financial statements. The Company’s accounting for the Tax Act was completed in the fourth quarter of 2018 and resulted in no adjustments to the Company’s prior provisional estimates recorded in the period ended December 31, 2017.</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benefit for incomes taxes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3"/>
          </w:tcPr>
          <w:p>
            <w:pPr>
              <w:ind w:left="320"/>
              <w:spacing w:after="0" w:line="196" w:lineRule="exact"/>
              <w:rPr>
                <w:sz w:val="20"/>
                <w:szCs w:val="20"/>
                <w:color w:val="auto"/>
              </w:rPr>
            </w:pPr>
            <w:r>
              <w:rPr>
                <w:rFonts w:ascii="Arial" w:cs="Arial" w:eastAsia="Arial" w:hAnsi="Arial"/>
                <w:sz w:val="18"/>
                <w:szCs w:val="18"/>
                <w:i w:val="1"/>
                <w:iCs w:val="1"/>
                <w:color w:val="auto"/>
              </w:rPr>
              <w:t>(in thousands)</w:t>
            </w: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22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2040" w:type="dxa"/>
            <w:vAlign w:val="bottom"/>
            <w:gridSpan w:val="2"/>
          </w:tcPr>
          <w:p>
            <w:pPr>
              <w:jc w:val="right"/>
              <w:ind w:right="89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20" w:type="dxa"/>
            <w:vAlign w:val="bottom"/>
          </w:tcPr>
          <w:p>
            <w:pPr>
              <w:spacing w:after="0" w:line="196" w:lineRule="exact"/>
              <w:rPr>
                <w:sz w:val="20"/>
                <w:szCs w:val="20"/>
                <w:color w:val="auto"/>
              </w:rPr>
            </w:pPr>
            <w:r>
              <w:rPr>
                <w:rFonts w:ascii="Arial" w:cs="Arial" w:eastAsia="Arial" w:hAnsi="Arial"/>
                <w:sz w:val="18"/>
                <w:szCs w:val="18"/>
                <w:color w:val="auto"/>
              </w:rPr>
              <w:t>Total current</w:t>
            </w:r>
          </w:p>
        </w:tc>
        <w:tc>
          <w:tcPr>
            <w:tcW w:w="9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vMerge w:val="continue"/>
          </w:tcPr>
          <w:p>
            <w:pPr>
              <w:spacing w:after="0"/>
              <w:rPr>
                <w:sz w:val="17"/>
                <w:szCs w:val="17"/>
                <w:color w:val="auto"/>
              </w:rPr>
            </w:pPr>
          </w:p>
        </w:tc>
        <w:tc>
          <w:tcPr>
            <w:tcW w:w="222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22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deferred</w:t>
            </w:r>
          </w:p>
        </w:tc>
        <w:tc>
          <w:tcPr>
            <w:tcW w:w="9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gridSpan w:val="2"/>
          </w:tcPr>
          <w:p>
            <w:pPr>
              <w:ind w:left="920"/>
              <w:spacing w:after="0" w:line="196" w:lineRule="exact"/>
              <w:rPr>
                <w:sz w:val="20"/>
                <w:szCs w:val="20"/>
                <w:color w:val="auto"/>
              </w:rPr>
            </w:pPr>
            <w:r>
              <w:rPr>
                <w:rFonts w:ascii="Arial" w:cs="Arial" w:eastAsia="Arial" w:hAnsi="Arial"/>
                <w:sz w:val="18"/>
                <w:szCs w:val="18"/>
                <w:color w:val="auto"/>
              </w:rPr>
              <w:t>Total tax expense</w:t>
            </w:r>
          </w:p>
        </w:tc>
        <w:tc>
          <w:tcPr>
            <w:tcW w:w="980" w:type="dxa"/>
            <w:vAlign w:val="bottom"/>
          </w:tcPr>
          <w:p>
            <w:pPr>
              <w:spacing w:after="0"/>
              <w:rPr>
                <w:sz w:val="17"/>
                <w:szCs w:val="17"/>
                <w:color w:val="auto"/>
              </w:rPr>
            </w:pPr>
          </w:p>
        </w:tc>
        <w:tc>
          <w:tcPr>
            <w:tcW w:w="1060" w:type="dxa"/>
            <w:vAlign w:val="bottom"/>
            <w:tcBorders>
              <w:bottom w:val="single" w:sz="8" w:color="auto"/>
            </w:tcBorders>
          </w:tcPr>
          <w:p>
            <w:pPr>
              <w:jc w:val="right"/>
              <w:ind w:right="89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jc w:val="right"/>
              <w:ind w:right="397"/>
              <w:spacing w:after="0"/>
              <w:rPr>
                <w:sz w:val="20"/>
                <w:szCs w:val="20"/>
                <w:color w:val="auto"/>
              </w:rPr>
            </w:pPr>
            <w:r>
              <w:rPr>
                <w:rFonts w:ascii="Arial" w:cs="Arial" w:eastAsia="Arial" w:hAnsi="Arial"/>
                <w:sz w:val="18"/>
                <w:szCs w:val="18"/>
                <w:color w:val="auto"/>
              </w:rPr>
              <w:t>F-35</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1" w:right="141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expected income tax (benefit) computed using the federal statutory income tax rate at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effective tax rate is as follows:</w:t>
      </w: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15240</wp:posOffset>
            </wp:positionV>
            <wp:extent cx="26670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gridSpan w:val="3"/>
          </w:tcPr>
          <w:p>
            <w:pPr>
              <w:ind w:left="4880"/>
              <w:spacing w:after="0"/>
              <w:rPr>
                <w:sz w:val="20"/>
                <w:szCs w:val="20"/>
                <w:color w:val="auto"/>
              </w:rPr>
            </w:pPr>
            <w:r>
              <w:rPr>
                <w:rFonts w:ascii="Arial" w:cs="Arial" w:eastAsia="Arial" w:hAnsi="Arial"/>
                <w:sz w:val="14"/>
                <w:szCs w:val="14"/>
                <w:b w:val="1"/>
                <w:bCs w:val="1"/>
                <w:color w:val="auto"/>
                <w:w w:val="89"/>
              </w:rPr>
              <w:t>2019</w:t>
            </w:r>
          </w:p>
        </w:tc>
        <w:tc>
          <w:tcPr>
            <w:tcW w:w="14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6"/>
                <w:szCs w:val="16"/>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tax computed at federal statutory tax rate</w:t>
            </w:r>
          </w:p>
        </w:tc>
        <w:tc>
          <w:tcPr>
            <w:tcW w:w="780" w:type="dxa"/>
            <w:vAlign w:val="bottom"/>
            <w:tcBorders>
              <w:top w:val="single" w:sz="8" w:color="auto"/>
            </w:tcBorders>
            <w:gridSpan w:val="2"/>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460" w:type="dxa"/>
            <w:vAlign w:val="bottom"/>
            <w:tcBorders>
              <w:top w:val="single" w:sz="8" w:color="CCEEFF"/>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General business credit carryovers</w:t>
            </w:r>
          </w:p>
        </w:tc>
        <w:tc>
          <w:tcPr>
            <w:tcW w:w="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9.4 %</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c>
          <w:tcPr>
            <w:tcW w:w="80" w:type="dxa"/>
            <w:vAlign w:val="bottom"/>
          </w:tcPr>
          <w:p>
            <w:pPr>
              <w:spacing w:after="0"/>
              <w:rPr>
                <w:sz w:val="17"/>
                <w:szCs w:val="17"/>
                <w:color w:val="auto"/>
              </w:rPr>
            </w:pPr>
          </w:p>
        </w:tc>
        <w:tc>
          <w:tcPr>
            <w:tcW w:w="16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5.0 %</w:t>
            </w:r>
          </w:p>
        </w:tc>
      </w:tr>
      <w:tr>
        <w:trPr>
          <w:trHeight w:val="203"/>
        </w:trPr>
        <w:tc>
          <w:tcPr>
            <w:tcW w:w="51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7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8.0 %</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6.1 %</w:t>
            </w: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Deferred rate change</w:t>
            </w:r>
          </w:p>
        </w:tc>
        <w:tc>
          <w:tcPr>
            <w:tcW w:w="1480" w:type="dxa"/>
            <w:vAlign w:val="bottom"/>
            <w:gridSpan w:val="4"/>
          </w:tcPr>
          <w:p>
            <w:pPr>
              <w:jc w:val="right"/>
              <w:ind w:right="880"/>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16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(21.8)%</w:t>
            </w:r>
          </w:p>
        </w:tc>
      </w:tr>
      <w:tr>
        <w:trPr>
          <w:trHeight w:val="203"/>
        </w:trPr>
        <w:tc>
          <w:tcPr>
            <w:tcW w:w="51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Non-deductible expenses</w:t>
            </w:r>
          </w:p>
        </w:tc>
        <w:tc>
          <w:tcPr>
            <w:tcW w:w="7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(4.1)%</w:t>
            </w: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1"/>
              </w:rPr>
              <w:t>(36.2)%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(28.1)%</w:t>
            </w:r>
          </w:p>
        </w:tc>
        <w:tc>
          <w:tcPr>
            <w:tcW w:w="80" w:type="dxa"/>
            <w:vAlign w:val="bottom"/>
          </w:tcPr>
          <w:p>
            <w:pPr>
              <w:spacing w:after="0"/>
              <w:rPr>
                <w:sz w:val="17"/>
                <w:szCs w:val="17"/>
                <w:color w:val="auto"/>
              </w:rPr>
            </w:pPr>
          </w:p>
        </w:tc>
        <w:tc>
          <w:tcPr>
            <w:tcW w:w="16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(19.2)%</w:t>
            </w:r>
          </w:p>
        </w:tc>
      </w:tr>
      <w:tr>
        <w:trPr>
          <w:trHeight w:val="196"/>
        </w:trPr>
        <w:tc>
          <w:tcPr>
            <w:tcW w:w="44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bottom w:val="single" w:sz="8" w:color="CCEEFF"/>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Company has incurred net operating losses (“NOLs”) since June 2013. At December 31, 2019, the Company had federal and state net operating loss carryforwards of $182.4 million and $180.4 million, respectively. During 2019, the company generated federal and state NOLs carryforwards of $19.1 million and $16.1million, respectively. The federal pre-2017 NOL will begin to expire in 2033. The post-2017 NOL are limited to 80% of taxable income and with an indefinite carryforward period. The state NOL carryforwards will begin to expire in 2033. As of December 31, 2019, the Company also had federal and state research and development tax credit carryforwards of $13.4 million and $4.3 million, respectively, which expire beginning in 2028. As of December 31, 2019, the Company had state investment credits of $0.6 million, which expire beginning in 2019.</w:t>
      </w:r>
    </w:p>
    <w:p>
      <w:pPr>
        <w:spacing w:after="0" w:line="195"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Under the provisions of the Internal Revenue Code, certain substantial changes in the Company’s ownership may result in a limitation on the amount of NOL carryforwards and research and development credit carryforwards that may be utilized annually to offset future taxable income and taxes payable. In general, an ownership change, as defined by Section 382, results from transactions that increase the ownership of 5% stockholders or public groups in the stock of a corporation by more than 50 percent in the aggregate over a three-year period. During 2016, the Company completed a study through June 30, 2016, to determine whether any ownership change had occurred since the Company’s formation and determined that its transactions had resulted in three ownership changes, as defined by Section 382. An updated study was completed through May 3, 2019 and there were no additional ownership changes. There could be additional ownership changes in the future that could further limit the amount of NOLs and tax credit carryforwards that the Company can utilize.</w:t>
      </w:r>
    </w:p>
    <w:p>
      <w:pPr>
        <w:spacing w:after="0" w:line="170"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significant components of the Company’s deferred tax assets and (liabilities) as of December 31, 2019 and 2018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right"/>
              <w:spacing w:after="0" w:line="196" w:lineRule="exact"/>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62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49,713</w:t>
            </w:r>
          </w:p>
        </w:tc>
        <w:tc>
          <w:tcPr>
            <w:tcW w:w="640" w:type="dxa"/>
            <w:vAlign w:val="bottom"/>
            <w:gridSpan w:val="2"/>
          </w:tcPr>
          <w:p>
            <w:pPr>
              <w:jc w:val="right"/>
              <w:ind w:right="245"/>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44,556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Tax credit carryforwards</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12,021</w:t>
            </w: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1,560</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Lease liability</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9,335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16,805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13,926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Non-deductible accruals and reserves</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w:t>
            </w: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Intangibles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 compensation</w:t>
            </w:r>
          </w:p>
        </w:tc>
        <w:tc>
          <w:tcPr>
            <w:tcW w:w="3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5,157</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2,802</w:t>
            </w: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120" w:type="dxa"/>
            <w:vAlign w:val="bottom"/>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100,585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76,900</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valuation allowance</w:t>
            </w:r>
          </w:p>
        </w:tc>
        <w:tc>
          <w:tcPr>
            <w:tcW w:w="3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(90,920)</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(75,213)</w:t>
            </w: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120" w:type="dxa"/>
            <w:vAlign w:val="bottom"/>
          </w:tcPr>
          <w:p>
            <w:pPr>
              <w:ind w:left="220"/>
              <w:spacing w:after="0" w:line="196" w:lineRule="exact"/>
              <w:rPr>
                <w:sz w:val="20"/>
                <w:szCs w:val="20"/>
                <w:color w:val="auto"/>
              </w:rPr>
            </w:pPr>
            <w:r>
              <w:rPr>
                <w:rFonts w:ascii="Arial" w:cs="Arial" w:eastAsia="Arial" w:hAnsi="Arial"/>
                <w:sz w:val="18"/>
                <w:szCs w:val="18"/>
                <w:color w:val="auto"/>
              </w:rPr>
              <w:t>Net deferred tax assets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9,665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1,687</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Unrealized gain on available-for-sale securities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w:t>
            </w: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Right of use asset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(7,779)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taxes</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20" w:type="dxa"/>
            <w:vAlign w:val="bottom"/>
            <w:vMerge w:val="restart"/>
          </w:tcPr>
          <w:p>
            <w:pPr>
              <w:ind w:left="3440"/>
              <w:spacing w:after="0"/>
              <w:rPr>
                <w:sz w:val="20"/>
                <w:szCs w:val="20"/>
                <w:color w:val="auto"/>
              </w:rPr>
            </w:pPr>
            <w:r>
              <w:rPr>
                <w:rFonts w:ascii="Arial" w:cs="Arial" w:eastAsia="Arial" w:hAnsi="Arial"/>
                <w:sz w:val="18"/>
                <w:szCs w:val="18"/>
                <w:color w:val="auto"/>
              </w:rPr>
              <w:t>F-36</w:t>
            </w: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4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As required by ASC 740, management has evaluated the positive and negative evidence bearing upon the realizability of its deferred tax assets, which principally comprise NOL carryforwards, research and development credit carryforwards, and collaboration revenue that has been recognized as taxable but remains deferred for book reporting purposes at year end. . Management has determined that it is more likely than not that the Company will not recognize the benefits of its federal and state deferred tax assets, and as a result, a valuation allowance of $90.9 million and $75.2 million has been established at December 31, 2019 and 2018, respectively. The change in valuation allowance was $15.7 million for the year ended December 31, 2019, primarily due to additional operating losses incurred by the Company for the year ended December 31, 2019 and current year increase in stock compensation deferred tax asset. The primary reason for the difference between the income tax expense recorded by the Company and the amount of income tax expense at statutory income tax rates was the change in the valuation allowance.</w:t>
      </w:r>
    </w:p>
    <w:p>
      <w:pPr>
        <w:spacing w:after="0" w:line="18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At December 31, 2019 and 2018, the Company had no unrecognized tax benefits. The Company has not 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91"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statements of operations. As of December 31, 2019 and 2018, the Company has no accrued interest related to uncertain tax positions. Since the Company is in a loss carryforward position, it is generally subject to examination by the U.S. federal, state, and local income tax authorities for all tax years in which a loss carryforward is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7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6"/>
          <w:szCs w:val="16"/>
          <w:color w:val="auto"/>
        </w:rPr>
        <w:t>Since inception, the Company received consulting and management services from one of its investors. The total amount of consulting and management services provided by this investor was de minimis during the years ended December 31, 2019 and 2018. Additionally, during the years ended December 31, 2019 and 2018, the Company received board and scientific advisory services from two of its prior executives. The total amounts of these services provided by the former executives totaled $0.4 million and $0.1 million, for the years ended December 31, 2019 and 2018, respectively.</w:t>
      </w:r>
    </w:p>
    <w:p>
      <w:pPr>
        <w:spacing w:after="0" w:line="133"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Under the collaboration agreement, the Company and Neurocrine have agreed to conduct research, development and commercialization of certain of the Company’s AAV gene therapy products (Note 9). Amounts due from Neurocrine are reflected as related party collaboration receivables. As of December 31, 2019, the Company had approximately $18.5 million in related party collaboration receivable associated with Neurocrine.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121" w:lineRule="exact"/>
        <w:rPr>
          <w:sz w:val="20"/>
          <w:szCs w:val="20"/>
          <w:color w:val="auto"/>
        </w:rPr>
      </w:pPr>
    </w:p>
    <w:p>
      <w:pPr>
        <w:jc w:val="both"/>
        <w:ind w:right="380" w:firstLine="648"/>
        <w:spacing w:after="0" w:line="294" w:lineRule="auto"/>
        <w:rPr>
          <w:sz w:val="20"/>
          <w:szCs w:val="20"/>
          <w:color w:val="auto"/>
        </w:rPr>
      </w:pPr>
      <w:r>
        <w:rPr>
          <w:rFonts w:ascii="Arial" w:cs="Arial" w:eastAsia="Arial" w:hAnsi="Arial"/>
          <w:sz w:val="16"/>
          <w:szCs w:val="16"/>
          <w:color w:val="auto"/>
        </w:rPr>
        <w:t>The following table contains quarterly financial information for 2019 and 2018.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3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Second</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Fourth</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3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gridSpan w:val="15"/>
          </w:tcPr>
          <w:p>
            <w:pPr>
              <w:jc w:val="center"/>
              <w:ind w:left="434"/>
              <w:spacing w:after="0" w:line="196" w:lineRule="exact"/>
              <w:rPr>
                <w:sz w:val="20"/>
                <w:szCs w:val="20"/>
                <w:color w:val="auto"/>
              </w:rPr>
            </w:pPr>
            <w:r>
              <w:rPr>
                <w:rFonts w:ascii="Arial" w:cs="Arial" w:eastAsia="Arial" w:hAnsi="Arial"/>
                <w:sz w:val="18"/>
                <w:szCs w:val="18"/>
                <w:i w:val="1"/>
                <w:iCs w:val="1"/>
                <w:color w:val="auto"/>
                <w:w w:val="89"/>
              </w:rPr>
              <w:t>(amounts in thousands, except per share data)</w:t>
            </w: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46,087</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104,391</w:t>
            </w:r>
          </w:p>
        </w:tc>
        <w:tc>
          <w:tcPr>
            <w:tcW w:w="40" w:type="dxa"/>
            <w:vAlign w:val="bottom"/>
            <w:shd w:val="clear" w:color="auto" w:fill="CCEEFF"/>
          </w:tcPr>
          <w:p>
            <w:pPr>
              <w:spacing w:after="0"/>
              <w:rPr>
                <w:sz w:val="17"/>
                <w:szCs w:val="17"/>
                <w:color w:val="auto"/>
              </w:rPr>
            </w:pPr>
          </w:p>
        </w:tc>
      </w:tr>
      <w:tr>
        <w:trPr>
          <w:trHeight w:val="203"/>
        </w:trPr>
        <w:tc>
          <w:tcPr>
            <w:tcW w:w="3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34,490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36,898</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38,240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46,442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2"/>
              </w:rPr>
              <w:t>156,070</w:t>
            </w:r>
          </w:p>
        </w:tc>
        <w:tc>
          <w:tcPr>
            <w:tcW w:w="40" w:type="dxa"/>
            <w:vAlign w:val="bottom"/>
            <w:tcBorders>
              <w:bottom w:val="single" w:sz="8" w:color="CCEEFF"/>
            </w:tcBorders>
          </w:tcPr>
          <w:p>
            <w:pPr>
              <w:spacing w:after="0"/>
              <w:rPr>
                <w:sz w:val="17"/>
                <w:szCs w:val="17"/>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(29,293)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9,189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(17,807)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(51,679)</w:t>
            </w:r>
          </w:p>
        </w:tc>
        <w:tc>
          <w:tcPr>
            <w:tcW w:w="40" w:type="dxa"/>
            <w:vAlign w:val="bottom"/>
            <w:shd w:val="clear" w:color="auto" w:fill="CCEEFF"/>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(27,170)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11,153</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(15,006)</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(12,574)</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5"/>
              </w:rPr>
              <w:t>(43,597)</w:t>
            </w: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per share</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(0.34)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w:t>
            </w:r>
          </w:p>
        </w:tc>
      </w:tr>
      <w:tr>
        <w:trPr>
          <w:trHeight w:val="432"/>
        </w:trPr>
        <w:tc>
          <w:tcPr>
            <w:tcW w:w="3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gridSpan w:val="4"/>
          </w:tcPr>
          <w:p>
            <w:pPr>
              <w:jc w:val="right"/>
              <w:ind w:right="500"/>
              <w:spacing w:after="0"/>
              <w:rPr>
                <w:sz w:val="20"/>
                <w:szCs w:val="20"/>
                <w:color w:val="auto"/>
              </w:rPr>
            </w:pPr>
            <w:r>
              <w:rPr>
                <w:rFonts w:ascii="Arial" w:cs="Arial" w:eastAsia="Arial" w:hAnsi="Arial"/>
                <w:sz w:val="18"/>
                <w:szCs w:val="18"/>
                <w:color w:val="auto"/>
              </w:rPr>
              <w:t>F-37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3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3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Fourth</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3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gridSpan w:val="16"/>
          </w:tcPr>
          <w:p>
            <w:pPr>
              <w:jc w:val="center"/>
              <w:ind w:left="434"/>
              <w:spacing w:after="0" w:line="196" w:lineRule="exact"/>
              <w:rPr>
                <w:sz w:val="20"/>
                <w:szCs w:val="20"/>
                <w:color w:val="auto"/>
              </w:rPr>
            </w:pPr>
            <w:r>
              <w:rPr>
                <w:rFonts w:ascii="Arial" w:cs="Arial" w:eastAsia="Arial" w:hAnsi="Arial"/>
                <w:sz w:val="18"/>
                <w:szCs w:val="18"/>
                <w:i w:val="1"/>
                <w:iCs w:val="1"/>
                <w:color w:val="auto"/>
                <w:w w:val="89"/>
              </w:rPr>
              <w:t>(amounts in thousands, except per share data)</w:t>
            </w: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7,619</w:t>
            </w:r>
          </w:p>
        </w:tc>
        <w:tc>
          <w:tcPr>
            <w:tcW w:w="40" w:type="dxa"/>
            <w:vAlign w:val="bottom"/>
            <w:shd w:val="clear" w:color="auto" w:fill="CCEEFF"/>
          </w:tcPr>
          <w:p>
            <w:pPr>
              <w:spacing w:after="0"/>
              <w:rPr>
                <w:sz w:val="17"/>
                <w:szCs w:val="17"/>
                <w:color w:val="auto"/>
              </w:rPr>
            </w:pPr>
          </w:p>
        </w:tc>
      </w:tr>
      <w:tr>
        <w:trPr>
          <w:trHeight w:val="203"/>
        </w:trPr>
        <w:tc>
          <w:tcPr>
            <w:tcW w:w="3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22,035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28,269</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23,241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25,169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98,714</w:t>
            </w:r>
          </w:p>
        </w:tc>
        <w:tc>
          <w:tcPr>
            <w:tcW w:w="40" w:type="dxa"/>
            <w:vAlign w:val="bottom"/>
            <w:tcBorders>
              <w:bottom w:val="single" w:sz="8" w:color="CCEEFF"/>
            </w:tcBorders>
          </w:tcPr>
          <w:p>
            <w:pPr>
              <w:spacing w:after="0"/>
              <w:rPr>
                <w:sz w:val="17"/>
                <w:szCs w:val="17"/>
                <w:color w:val="auto"/>
              </w:rPr>
            </w:pPr>
          </w:p>
        </w:tc>
      </w:tr>
      <w:tr>
        <w:trPr>
          <w:trHeight w:val="196"/>
        </w:trPr>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(21,093)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(25,694)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(21,147)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(91,095)</w:t>
            </w:r>
          </w:p>
        </w:tc>
        <w:tc>
          <w:tcPr>
            <w:tcW w:w="4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(19,926)</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(25,541)</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(20,289)</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(22,532)</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5"/>
              </w:rPr>
              <w:t>(88,288)</w:t>
            </w: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(0.63)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(0.63)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(2.75)</w:t>
            </w:r>
          </w:p>
        </w:tc>
      </w:tr>
      <w:tr>
        <w:trPr>
          <w:trHeight w:val="743"/>
        </w:trPr>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gridSpan w:val="4"/>
          </w:tcPr>
          <w:p>
            <w:pPr>
              <w:jc w:val="right"/>
              <w:ind w:right="500"/>
              <w:spacing w:after="0"/>
              <w:rPr>
                <w:sz w:val="20"/>
                <w:szCs w:val="20"/>
                <w:color w:val="auto"/>
              </w:rPr>
            </w:pPr>
            <w:r>
              <w:rPr>
                <w:rFonts w:ascii="Arial" w:cs="Arial" w:eastAsia="Arial" w:hAnsi="Arial"/>
                <w:sz w:val="18"/>
                <w:szCs w:val="18"/>
                <w:color w:val="auto"/>
              </w:rPr>
              <w:t>F-38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1" w:right="141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2"/>
              </w:rPr>
              <w:t>Incorporated by Reference to:</w:t>
            </w:r>
          </w:p>
        </w:tc>
        <w:tc>
          <w:tcPr>
            <w:tcW w:w="840" w:type="dxa"/>
            <w:vAlign w:val="bottom"/>
            <w:tcBorders>
              <w:bottom w:val="single" w:sz="8" w:color="auto"/>
            </w:tcBorders>
          </w:tcPr>
          <w:p>
            <w:pPr>
              <w:spacing w:after="0"/>
              <w:rPr>
                <w:sz w:val="16"/>
                <w:szCs w:val="16"/>
                <w:color w:val="auto"/>
              </w:rPr>
            </w:pPr>
          </w:p>
        </w:tc>
      </w:tr>
      <w:tr>
        <w:trPr>
          <w:trHeight w:val="160"/>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6"/>
              </w:rPr>
              <w:t>Filing</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6"/>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Form or</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Date with</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 File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85"/>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1"/>
          </w:tcPr>
          <w:p>
            <w:pPr>
              <w:ind w:left="4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w:t>
            </w:r>
          </w:p>
        </w:tc>
        <w:tc>
          <w:tcPr>
            <w:tcW w:w="160" w:type="dxa"/>
            <w:vAlign w:val="bottom"/>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372"/>
        </w:trPr>
        <w:tc>
          <w:tcPr>
            <w:tcW w:w="780" w:type="dxa"/>
            <w:vAlign w:val="bottom"/>
          </w:tcPr>
          <w:p>
            <w:pPr>
              <w:jc w:val="right"/>
              <w:ind w:right="195"/>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340" w:type="dxa"/>
            <w:vAlign w:val="bottom"/>
            <w:gridSpan w:val="13"/>
          </w:tcPr>
          <w:p>
            <w:pPr>
              <w:spacing w:after="0"/>
              <w:rPr>
                <w:rFonts w:ascii="Arial" w:cs="Arial" w:eastAsia="Arial" w:hAnsi="Arial"/>
                <w:sz w:val="18"/>
                <w:szCs w:val="18"/>
                <w:color w:val="0000EE"/>
              </w:rPr>
            </w:pPr>
            <w:hyperlink r:id="rId208">
              <w:r>
                <w:rPr>
                  <w:rFonts w:ascii="Arial" w:cs="Arial" w:eastAsia="Arial" w:hAnsi="Arial"/>
                  <w:sz w:val="18"/>
                  <w:szCs w:val="18"/>
                  <w:color w:val="0000EE"/>
                </w:rPr>
                <w:t>Amended and Restated Certificate of</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Incorporation of the Registrant.</w:t>
              </w:r>
            </w:hyperlink>
          </w:p>
        </w:tc>
        <w:tc>
          <w:tcPr>
            <w:tcW w:w="6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87"/>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9"/>
        </w:trPr>
        <w:tc>
          <w:tcPr>
            <w:tcW w:w="780" w:type="dxa"/>
            <w:vAlign w:val="bottom"/>
          </w:tcPr>
          <w:p>
            <w:pPr>
              <w:jc w:val="right"/>
              <w:ind w:right="195"/>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840" w:type="dxa"/>
            <w:vAlign w:val="bottom"/>
            <w:tcBorders>
              <w:bottom w:val="single" w:sz="8" w:color="0000EE"/>
            </w:tcBorders>
            <w:gridSpan w:val="8"/>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 xml:space="preserve">Amended and Restated By-Laws </w:t>
              </w:r>
              <w:r>
                <w:rPr>
                  <w:rFonts w:ascii="Arial" w:cs="Arial" w:eastAsia="Arial" w:hAnsi="Arial"/>
                  <w:sz w:val="18"/>
                  <w:szCs w:val="18"/>
                  <w:color w:val="0000EE"/>
                  <w:highlight w:val="white"/>
                  <w:w w:val="90"/>
                </w:rPr>
                <w:t>of the</w:t>
              </w:r>
            </w:hyperlink>
          </w:p>
        </w:tc>
        <w:tc>
          <w:tcPr>
            <w:tcW w:w="500" w:type="dxa"/>
            <w:vAlign w:val="bottom"/>
            <w:gridSpan w:val="5"/>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13"/>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Registrant.</w:t>
              </w:r>
            </w:hyperlink>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87"/>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9"/>
        </w:trPr>
        <w:tc>
          <w:tcPr>
            <w:tcW w:w="780" w:type="dxa"/>
            <w:vAlign w:val="bottom"/>
          </w:tcPr>
          <w:p>
            <w:pPr>
              <w:jc w:val="right"/>
              <w:ind w:right="195"/>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340" w:type="dxa"/>
            <w:vAlign w:val="bottom"/>
            <w:gridSpan w:val="13"/>
          </w:tcPr>
          <w:p>
            <w:pPr>
              <w:spacing w:after="0"/>
              <w:rPr>
                <w:rFonts w:ascii="Arial" w:cs="Arial" w:eastAsia="Arial" w:hAnsi="Arial"/>
                <w:sz w:val="18"/>
                <w:szCs w:val="18"/>
                <w:color w:val="0000EE"/>
                <w:w w:val="96"/>
              </w:rPr>
            </w:pPr>
            <w:hyperlink r:id="rId210">
              <w:r>
                <w:rPr>
                  <w:rFonts w:ascii="Arial" w:cs="Arial" w:eastAsia="Arial" w:hAnsi="Arial"/>
                  <w:sz w:val="18"/>
                  <w:szCs w:val="18"/>
                  <w:color w:val="0000EE"/>
                  <w:w w:val="96"/>
                </w:rPr>
                <w:t>Specimen Common Stock Certificate of the</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10-K</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03/14/2018</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Registrant.</w:t>
              </w:r>
            </w:hyperlink>
          </w:p>
        </w:tc>
        <w:tc>
          <w:tcPr>
            <w:tcW w:w="2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87"/>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9"/>
        </w:trPr>
        <w:tc>
          <w:tcPr>
            <w:tcW w:w="780" w:type="dxa"/>
            <w:vAlign w:val="bottom"/>
          </w:tcPr>
          <w:p>
            <w:pPr>
              <w:jc w:val="right"/>
              <w:ind w:right="195"/>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340" w:type="dxa"/>
            <w:vAlign w:val="bottom"/>
            <w:gridSpan w:val="13"/>
          </w:tcPr>
          <w:p>
            <w:pPr>
              <w:spacing w:after="0"/>
              <w:rPr>
                <w:rFonts w:ascii="Arial" w:cs="Arial" w:eastAsia="Arial" w:hAnsi="Arial"/>
                <w:sz w:val="18"/>
                <w:szCs w:val="18"/>
                <w:color w:val="0000EE"/>
              </w:rPr>
            </w:pPr>
            <w:hyperlink r:id="rId211">
              <w:r>
                <w:rPr>
                  <w:rFonts w:ascii="Arial" w:cs="Arial" w:eastAsia="Arial" w:hAnsi="Arial"/>
                  <w:sz w:val="18"/>
                  <w:szCs w:val="18"/>
                  <w:color w:val="0000EE"/>
                </w:rPr>
                <w:t>Form of Indenture to be entered into</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S-3/A</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12/19/2016</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87"/>
              </w:rPr>
            </w:pPr>
            <w:hyperlink r:id="rId211">
              <w:r>
                <w:rPr>
                  <w:rFonts w:ascii="Arial" w:cs="Arial" w:eastAsia="Arial" w:hAnsi="Arial"/>
                  <w:sz w:val="18"/>
                  <w:szCs w:val="18"/>
                  <w:color w:val="0000EE"/>
                  <w:w w:val="87"/>
                </w:rPr>
                <w:t>between the Registrant and Trustee.</w:t>
              </w:r>
            </w:hyperlink>
          </w:p>
        </w:tc>
        <w:tc>
          <w:tcPr>
            <w:tcW w:w="40" w:type="dxa"/>
            <w:vAlign w:val="bottom"/>
            <w:tcBorders>
              <w:top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12"/>
        </w:trPr>
        <w:tc>
          <w:tcPr>
            <w:tcW w:w="780" w:type="dxa"/>
            <w:vAlign w:val="bottom"/>
          </w:tcPr>
          <w:p>
            <w:pPr>
              <w:jc w:val="right"/>
              <w:ind w:right="195"/>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340" w:type="dxa"/>
            <w:vAlign w:val="bottom"/>
            <w:gridSpan w:val="13"/>
          </w:tcPr>
          <w:p>
            <w:pPr>
              <w:spacing w:after="0"/>
              <w:rPr>
                <w:rFonts w:ascii="Arial" w:cs="Arial" w:eastAsia="Arial" w:hAnsi="Arial"/>
                <w:sz w:val="18"/>
                <w:szCs w:val="18"/>
                <w:color w:val="0000EE"/>
                <w:w w:val="98"/>
              </w:rPr>
            </w:pPr>
            <w:hyperlink r:id="rId212">
              <w:r>
                <w:rPr>
                  <w:rFonts w:ascii="Arial" w:cs="Arial" w:eastAsia="Arial" w:hAnsi="Arial"/>
                  <w:sz w:val="18"/>
                  <w:szCs w:val="18"/>
                  <w:color w:val="0000EE"/>
                  <w:w w:val="98"/>
                </w:rPr>
                <w:t>Second Amended and Restated Investors’</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Rights Agreement, by and among the</w:t>
              </w:r>
            </w:hyperlink>
          </w:p>
        </w:tc>
        <w:tc>
          <w:tcPr>
            <w:tcW w:w="300" w:type="dxa"/>
            <w:vAlign w:val="bottom"/>
            <w:tcBorders>
              <w:top w:val="single" w:sz="8" w:color="0000EE"/>
            </w:tcBorders>
            <w:gridSpan w:val="3"/>
          </w:tcPr>
          <w:p>
            <w:pPr>
              <w:spacing w:after="0"/>
              <w:rPr>
                <w:sz w:val="15"/>
                <w:szCs w:val="15"/>
                <w:color w:val="auto"/>
              </w:rPr>
            </w:pPr>
          </w:p>
        </w:tc>
        <w:tc>
          <w:tcPr>
            <w:tcW w:w="34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gridSpan w:val="13"/>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Registrant and certain of its stockholders,</w:t>
              </w:r>
            </w:hyperlink>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dated as of April 10, 2015.</w:t>
              </w:r>
            </w:hyperlink>
          </w:p>
        </w:tc>
        <w:tc>
          <w:tcPr>
            <w:tcW w:w="36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30" w:right="1419" w:bottom="1440" w:gutter="0" w:footer="0" w:header="0"/>
        </w:sectPr>
      </w:pPr>
    </w:p>
    <w:p>
      <w:pPr>
        <w:spacing w:after="0" w:line="2"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w:anchor="page190">
        <w:r>
          <w:rPr>
            <w:rFonts w:ascii="Arial" w:cs="Arial" w:eastAsia="Arial" w:hAnsi="Arial"/>
            <w:sz w:val="16"/>
            <w:szCs w:val="16"/>
            <w:u w:val="single" w:color="auto"/>
            <w:color w:val="0000EE"/>
          </w:rPr>
          <w:t>Description of Registrant’s Securities</w:t>
        </w:r>
      </w:hyperlink>
    </w:p>
    <w:p>
      <w:pPr>
        <w:spacing w:after="0" w:line="212" w:lineRule="exact"/>
        <w:rPr>
          <w:sz w:val="20"/>
          <w:szCs w:val="20"/>
          <w:color w:val="auto"/>
        </w:rPr>
      </w:pPr>
    </w:p>
    <w:p>
      <w:pPr>
        <w:jc w:val="right"/>
        <w:ind w:left="200" w:right="3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213">
        <w:r>
          <w:rPr>
            <w:rFonts w:ascii="Arial" w:cs="Arial" w:eastAsia="Arial" w:hAnsi="Arial"/>
            <w:sz w:val="18"/>
            <w:szCs w:val="18"/>
            <w:u w:val="single" w:color="auto"/>
            <w:color w:val="0000EE"/>
          </w:rPr>
          <w:t>2014 Stock Option and Grant Plan and</w:t>
        </w:r>
      </w:hyperlink>
      <w:r>
        <w:rPr>
          <w:rFonts w:ascii="Arial" w:cs="Arial" w:eastAsia="Arial" w:hAnsi="Arial"/>
          <w:sz w:val="18"/>
          <w:szCs w:val="18"/>
          <w:color w:val="auto"/>
        </w:rPr>
        <w:t xml:space="preserve"> </w:t>
      </w:r>
      <w:hyperlink r:id="rId213">
        <w:r>
          <w:rPr>
            <w:rFonts w:ascii="Arial" w:cs="Arial" w:eastAsia="Arial" w:hAnsi="Arial"/>
            <w:sz w:val="18"/>
            <w:szCs w:val="18"/>
            <w:u w:val="single" w:color="auto"/>
            <w:color w:val="0000EE"/>
          </w:rPr>
          <w:t>forms of award agreements thereunder.</w:t>
        </w:r>
      </w:hyperlink>
    </w:p>
    <w:p>
      <w:pPr>
        <w:spacing w:after="0" w:line="157" w:lineRule="exact"/>
        <w:rPr>
          <w:sz w:val="20"/>
          <w:szCs w:val="20"/>
          <w:color w:val="auto"/>
        </w:rPr>
      </w:pPr>
    </w:p>
    <w:p>
      <w:pPr>
        <w:ind w:left="920" w:right="60" w:hanging="728"/>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214">
        <w:r>
          <w:rPr>
            <w:rFonts w:ascii="Arial" w:cs="Arial" w:eastAsia="Arial" w:hAnsi="Arial"/>
            <w:sz w:val="16"/>
            <w:szCs w:val="16"/>
            <w:u w:val="single" w:color="auto"/>
            <w:color w:val="0000EE"/>
          </w:rPr>
          <w:t>2015 Stock Option and Incentive Plan and</w:t>
        </w:r>
      </w:hyperlink>
      <w:r>
        <w:rPr>
          <w:rFonts w:ascii="Arial" w:cs="Arial" w:eastAsia="Arial" w:hAnsi="Arial"/>
          <w:sz w:val="16"/>
          <w:szCs w:val="16"/>
          <w:u w:val="single" w:color="auto"/>
          <w:color w:val="0000EE"/>
        </w:rPr>
        <w:t xml:space="preserve"> </w:t>
      </w:r>
      <w:hyperlink r:id="rId214">
        <w:r>
          <w:rPr>
            <w:rFonts w:ascii="Arial" w:cs="Arial" w:eastAsia="Arial" w:hAnsi="Arial"/>
            <w:sz w:val="16"/>
            <w:szCs w:val="16"/>
            <w:u w:val="single" w:color="auto"/>
            <w:color w:val="0000EE"/>
          </w:rPr>
          <w:t>forms of award agreements thereunder.</w:t>
        </w:r>
      </w:hyperlink>
    </w:p>
    <w:p>
      <w:pPr>
        <w:spacing w:after="0" w:line="110" w:lineRule="exact"/>
        <w:rPr>
          <w:sz w:val="20"/>
          <w:szCs w:val="20"/>
          <w:color w:val="auto"/>
        </w:rPr>
      </w:pPr>
    </w:p>
    <w:p>
      <w:pPr>
        <w:ind w:left="920" w:right="60" w:hanging="728"/>
        <w:spacing w:after="0" w:line="31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215">
        <w:r>
          <w:rPr>
            <w:rFonts w:ascii="Arial" w:cs="Arial" w:eastAsia="Arial" w:hAnsi="Arial"/>
            <w:sz w:val="16"/>
            <w:szCs w:val="16"/>
            <w:u w:val="single" w:color="auto"/>
            <w:color w:val="0000EE"/>
          </w:rPr>
          <w:t>Collaboration Agreement, by and between</w:t>
        </w:r>
      </w:hyperlink>
      <w:r>
        <w:rPr>
          <w:rFonts w:ascii="Arial" w:cs="Arial" w:eastAsia="Arial" w:hAnsi="Arial"/>
          <w:sz w:val="16"/>
          <w:szCs w:val="16"/>
          <w:u w:val="single" w:color="auto"/>
          <w:color w:val="0000EE"/>
        </w:rPr>
        <w:t xml:space="preserve"> </w:t>
      </w:r>
      <w:hyperlink r:id="rId215">
        <w:r>
          <w:rPr>
            <w:rFonts w:ascii="Arial" w:cs="Arial" w:eastAsia="Arial" w:hAnsi="Arial"/>
            <w:sz w:val="16"/>
            <w:szCs w:val="16"/>
            <w:u w:val="single" w:color="auto"/>
            <w:color w:val="0000EE"/>
          </w:rPr>
          <w:t>the Registrant and Sanofi Genzyme</w:t>
        </w:r>
      </w:hyperlink>
      <w:r>
        <w:rPr>
          <w:rFonts w:ascii="Arial" w:cs="Arial" w:eastAsia="Arial" w:hAnsi="Arial"/>
          <w:sz w:val="16"/>
          <w:szCs w:val="16"/>
          <w:u w:val="single" w:color="auto"/>
          <w:color w:val="0000EE"/>
        </w:rPr>
        <w:t xml:space="preserve"> </w:t>
      </w:r>
      <w:hyperlink r:id="rId215">
        <w:r>
          <w:rPr>
            <w:rFonts w:ascii="Arial" w:cs="Arial" w:eastAsia="Arial" w:hAnsi="Arial"/>
            <w:sz w:val="16"/>
            <w:szCs w:val="16"/>
            <w:u w:val="single" w:color="auto"/>
            <w:color w:val="0000EE"/>
          </w:rPr>
          <w:t>Corporation, dated February 11, 2015.</w:t>
        </w:r>
      </w:hyperlink>
    </w:p>
    <w:p>
      <w:pPr>
        <w:spacing w:after="0" w:line="133" w:lineRule="exact"/>
        <w:rPr>
          <w:rFonts w:ascii="Arial" w:cs="Arial" w:eastAsia="Arial" w:hAnsi="Arial"/>
          <w:sz w:val="16"/>
          <w:szCs w:val="16"/>
          <w:u w:val="single" w:color="auto"/>
          <w:color w:val="0000EE"/>
        </w:rPr>
      </w:pPr>
    </w:p>
    <w:p>
      <w:pPr>
        <w:jc w:val="both"/>
        <w:ind w:left="920" w:right="120" w:hanging="728"/>
        <w:spacing w:after="0" w:line="286"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216">
        <w:r>
          <w:rPr>
            <w:rFonts w:ascii="Arial" w:cs="Arial" w:eastAsia="Arial" w:hAnsi="Arial"/>
            <w:sz w:val="17"/>
            <w:szCs w:val="17"/>
            <w:u w:val="single" w:color="auto"/>
            <w:color w:val="0000EE"/>
          </w:rPr>
          <w:t>Termination Agreement, by and between</w:t>
        </w:r>
      </w:hyperlink>
      <w:r>
        <w:rPr>
          <w:rFonts w:ascii="Arial" w:cs="Arial" w:eastAsia="Arial" w:hAnsi="Arial"/>
          <w:sz w:val="17"/>
          <w:szCs w:val="17"/>
          <w:u w:val="single" w:color="auto"/>
          <w:color w:val="0000EE"/>
        </w:rPr>
        <w:t xml:space="preserve"> </w:t>
      </w:r>
      <w:hyperlink r:id="rId216">
        <w:r>
          <w:rPr>
            <w:rFonts w:ascii="Arial" w:cs="Arial" w:eastAsia="Arial" w:hAnsi="Arial"/>
            <w:sz w:val="17"/>
            <w:szCs w:val="17"/>
            <w:u w:val="single" w:color="auto"/>
            <w:color w:val="0000EE"/>
          </w:rPr>
          <w:t>the Registrant and Genzyme Corporation,</w:t>
        </w:r>
      </w:hyperlink>
      <w:r>
        <w:rPr>
          <w:rFonts w:ascii="Arial" w:cs="Arial" w:eastAsia="Arial" w:hAnsi="Arial"/>
          <w:sz w:val="17"/>
          <w:szCs w:val="17"/>
          <w:u w:val="single" w:color="auto"/>
          <w:color w:val="0000EE"/>
        </w:rPr>
        <w:t xml:space="preserve"> </w:t>
      </w:r>
      <w:hyperlink r:id="rId216">
        <w:r>
          <w:rPr>
            <w:rFonts w:ascii="Arial" w:cs="Arial" w:eastAsia="Arial" w:hAnsi="Arial"/>
            <w:sz w:val="17"/>
            <w:szCs w:val="17"/>
            <w:u w:val="single" w:color="auto"/>
            <w:color w:val="0000EE"/>
          </w:rPr>
          <w:t>dated June 14, 2019</w:t>
        </w:r>
      </w:hyperlink>
    </w:p>
    <w:p>
      <w:pPr>
        <w:spacing w:after="0" w:line="152" w:lineRule="exact"/>
        <w:rPr>
          <w:rFonts w:ascii="Arial" w:cs="Arial" w:eastAsia="Arial" w:hAnsi="Arial"/>
          <w:sz w:val="17"/>
          <w:szCs w:val="17"/>
          <w:u w:val="single" w:color="auto"/>
          <w:color w:val="0000EE"/>
        </w:rPr>
      </w:pPr>
    </w:p>
    <w:p>
      <w:pPr>
        <w:jc w:val="both"/>
        <w:ind w:left="920" w:hanging="728"/>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217">
        <w:r>
          <w:rPr>
            <w:rFonts w:ascii="Arial" w:cs="Arial" w:eastAsia="Arial" w:hAnsi="Arial"/>
            <w:sz w:val="18"/>
            <w:szCs w:val="18"/>
            <w:u w:val="single" w:color="auto"/>
            <w:color w:val="0000EE"/>
          </w:rPr>
          <w:t>Amended and Restated Option and License</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Agreement, by and between the Registrant</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and Genzyme Corporation, dated June 14,</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right"/>
        <w:ind w:right="360"/>
        <w:spacing w:after="0"/>
        <w:rPr>
          <w:sz w:val="20"/>
          <w:szCs w:val="20"/>
          <w:color w:val="auto"/>
        </w:rPr>
      </w:pPr>
      <w:r>
        <w:rPr>
          <w:rFonts w:ascii="Arial" w:cs="Arial" w:eastAsia="Arial" w:hAnsi="Arial"/>
          <w:sz w:val="18"/>
          <w:szCs w:val="18"/>
          <w:color w:val="auto"/>
        </w:rPr>
        <w:t>X</w:t>
      </w:r>
    </w:p>
    <w:p>
      <w:pPr>
        <w:spacing w:after="0" w:line="212"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93"/>
              </w:rPr>
              <w:t>S-1/A</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10/28/2015</w:t>
            </w: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88"/>
              </w:rPr>
              <w:t>333-</w:t>
            </w:r>
          </w:p>
        </w:tc>
      </w:tr>
      <w:tr>
        <w:trPr>
          <w:trHeight w:val="230"/>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center"/>
              <w:ind w:left="70"/>
              <w:spacing w:after="0"/>
              <w:rPr>
                <w:sz w:val="20"/>
                <w:szCs w:val="20"/>
                <w:color w:val="auto"/>
              </w:rPr>
            </w:pPr>
            <w:r>
              <w:rPr>
                <w:rFonts w:ascii="Arial" w:cs="Arial" w:eastAsia="Arial" w:hAnsi="Arial"/>
                <w:sz w:val="18"/>
                <w:szCs w:val="18"/>
                <w:color w:val="auto"/>
                <w:w w:val="89"/>
              </w:rPr>
              <w:t>207367</w:t>
            </w:r>
          </w:p>
        </w:tc>
      </w:tr>
      <w:tr>
        <w:trPr>
          <w:trHeight w:val="404"/>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93"/>
              </w:rPr>
              <w:t>S-1/A</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10/28/2015</w:t>
            </w: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88"/>
              </w:rPr>
              <w:t>333-</w:t>
            </w:r>
          </w:p>
        </w:tc>
      </w:tr>
      <w:tr>
        <w:trPr>
          <w:trHeight w:val="230"/>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center"/>
              <w:ind w:left="70"/>
              <w:spacing w:after="0"/>
              <w:rPr>
                <w:sz w:val="20"/>
                <w:szCs w:val="20"/>
                <w:color w:val="auto"/>
              </w:rPr>
            </w:pPr>
            <w:r>
              <w:rPr>
                <w:rFonts w:ascii="Arial" w:cs="Arial" w:eastAsia="Arial" w:hAnsi="Arial"/>
                <w:sz w:val="18"/>
                <w:szCs w:val="18"/>
                <w:color w:val="auto"/>
                <w:w w:val="89"/>
              </w:rPr>
              <w:t>207367</w:t>
            </w:r>
          </w:p>
        </w:tc>
      </w:tr>
      <w:tr>
        <w:trPr>
          <w:trHeight w:val="404"/>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93"/>
              </w:rPr>
              <w:t>S-1/A</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11/06/2015</w:t>
            </w: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88"/>
              </w:rPr>
              <w:t>333-</w:t>
            </w:r>
          </w:p>
        </w:tc>
      </w:tr>
      <w:tr>
        <w:trPr>
          <w:trHeight w:val="230"/>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center"/>
              <w:ind w:left="70"/>
              <w:spacing w:after="0"/>
              <w:rPr>
                <w:sz w:val="20"/>
                <w:szCs w:val="20"/>
                <w:color w:val="auto"/>
              </w:rPr>
            </w:pPr>
            <w:r>
              <w:rPr>
                <w:rFonts w:ascii="Arial" w:cs="Arial" w:eastAsia="Arial" w:hAnsi="Arial"/>
                <w:sz w:val="18"/>
                <w:szCs w:val="18"/>
                <w:color w:val="auto"/>
                <w:w w:val="89"/>
              </w:rPr>
              <w:t>207367</w:t>
            </w:r>
          </w:p>
        </w:tc>
      </w:tr>
      <w:tr>
        <w:trPr>
          <w:trHeight w:val="620"/>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08/09/2019</w:t>
            </w: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88"/>
              </w:rPr>
              <w:t>001-</w:t>
            </w:r>
          </w:p>
        </w:tc>
      </w:tr>
      <w:tr>
        <w:trPr>
          <w:trHeight w:val="230"/>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87"/>
              </w:rPr>
              <w:t>37625</w:t>
            </w:r>
          </w:p>
        </w:tc>
      </w:tr>
      <w:tr>
        <w:trPr>
          <w:trHeight w:val="620"/>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08/09/2019</w:t>
            </w: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88"/>
              </w:rPr>
              <w:t>001-</w:t>
            </w:r>
          </w:p>
        </w:tc>
      </w:tr>
      <w:tr>
        <w:trPr>
          <w:trHeight w:val="230"/>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87"/>
              </w:rPr>
              <w:t>37625</w:t>
            </w:r>
          </w:p>
        </w:tc>
      </w:tr>
    </w:tbl>
    <w:p>
      <w:pPr>
        <w:spacing w:after="0" w:line="602" w:lineRule="exact"/>
        <w:rPr>
          <w:rFonts w:ascii="Arial" w:cs="Arial" w:eastAsia="Arial" w:hAnsi="Arial"/>
          <w:sz w:val="18"/>
          <w:szCs w:val="18"/>
          <w:u w:val="single" w:color="auto"/>
          <w:color w:val="0000EE"/>
        </w:rPr>
      </w:pPr>
    </w:p>
    <w:p>
      <w:pPr>
        <w:sectPr>
          <w:pgSz w:w="11900" w:h="16838" w:orient="portrait"/>
          <w:cols w:equalWidth="0" w:num="2">
            <w:col w:w="4040" w:space="380"/>
            <w:col w:w="4640"/>
          </w:cols>
          <w:pgMar w:left="1420" w:top="530" w:right="1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30"/>
              <w:spacing w:after="0"/>
              <w:rPr>
                <w:sz w:val="20"/>
                <w:szCs w:val="20"/>
                <w:color w:val="auto"/>
              </w:rPr>
            </w:pPr>
            <w:r>
              <w:rPr>
                <w:rFonts w:ascii="Arial" w:cs="Arial" w:eastAsia="Arial" w:hAnsi="Arial"/>
                <w:sz w:val="18"/>
                <w:szCs w:val="18"/>
                <w:color w:val="auto"/>
                <w:w w:val="88"/>
              </w:rPr>
              <w:t>10.6†</w:t>
            </w:r>
          </w:p>
        </w:tc>
        <w:tc>
          <w:tcPr>
            <w:tcW w:w="3020" w:type="dxa"/>
            <w:vAlign w:val="bottom"/>
            <w:tcBorders>
              <w:bottom w:val="single" w:sz="8" w:color="0000EE"/>
            </w:tcBorders>
            <w:gridSpan w:val="3"/>
          </w:tcPr>
          <w:p>
            <w:pPr>
              <w:spacing w:after="0"/>
              <w:rPr>
                <w:rFonts w:ascii="Arial" w:cs="Arial" w:eastAsia="Arial" w:hAnsi="Arial"/>
                <w:sz w:val="18"/>
                <w:szCs w:val="18"/>
                <w:color w:val="0000EE"/>
                <w:w w:val="90"/>
              </w:rPr>
            </w:pPr>
            <w:hyperlink r:id="rId218">
              <w:r>
                <w:rPr>
                  <w:rFonts w:ascii="Arial" w:cs="Arial" w:eastAsia="Arial" w:hAnsi="Arial"/>
                  <w:sz w:val="18"/>
                  <w:szCs w:val="18"/>
                  <w:color w:val="0000EE"/>
                  <w:w w:val="90"/>
                </w:rPr>
                <w:t>Collaboration and License Agreement, by</w:t>
              </w:r>
            </w:hyperlink>
          </w:p>
        </w:tc>
        <w:tc>
          <w:tcPr>
            <w:tcW w:w="300" w:type="dxa"/>
            <w:vAlign w:val="bottom"/>
            <w:gridSpan w:val="2"/>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10-K</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10.28</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02/26/2019</w:t>
            </w:r>
          </w:p>
        </w:tc>
        <w:tc>
          <w:tcPr>
            <w:tcW w:w="1820" w:type="dxa"/>
            <w:vAlign w:val="bottom"/>
          </w:tcPr>
          <w:p>
            <w:pPr>
              <w:jc w:val="center"/>
              <w:ind w:right="890"/>
              <w:spacing w:after="0"/>
              <w:rPr>
                <w:sz w:val="20"/>
                <w:szCs w:val="20"/>
                <w:color w:val="auto"/>
              </w:rPr>
            </w:pPr>
            <w:r>
              <w:rPr>
                <w:rFonts w:ascii="Arial" w:cs="Arial" w:eastAsia="Arial" w:hAnsi="Arial"/>
                <w:sz w:val="18"/>
                <w:szCs w:val="18"/>
                <w:color w:val="auto"/>
                <w:w w:val="88"/>
              </w:rPr>
              <w:t>001-</w:t>
            </w:r>
          </w:p>
        </w:tc>
      </w:tr>
      <w:tr>
        <w:trPr>
          <w:trHeight w:val="196"/>
        </w:trPr>
        <w:tc>
          <w:tcPr>
            <w:tcW w:w="92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18">
              <w:r>
                <w:rPr>
                  <w:rFonts w:ascii="Arial" w:cs="Arial" w:eastAsia="Arial" w:hAnsi="Arial"/>
                  <w:sz w:val="18"/>
                  <w:szCs w:val="18"/>
                  <w:color w:val="0000EE"/>
                  <w:w w:val="89"/>
                </w:rPr>
                <w:t>and between the Registrant and Neurocrine</w:t>
              </w:r>
            </w:hyperlink>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jc w:val="center"/>
              <w:ind w:right="8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920" w:type="dxa"/>
            <w:vAlign w:val="bottom"/>
          </w:tcPr>
          <w:p>
            <w:pPr>
              <w:spacing w:after="0"/>
              <w:rPr>
                <w:sz w:val="17"/>
                <w:szCs w:val="17"/>
                <w:color w:val="auto"/>
              </w:rPr>
            </w:pPr>
          </w:p>
        </w:tc>
        <w:tc>
          <w:tcPr>
            <w:tcW w:w="3320" w:type="dxa"/>
            <w:vAlign w:val="bottom"/>
            <w:gridSpan w:val="5"/>
          </w:tcPr>
          <w:p>
            <w:pPr>
              <w:spacing w:after="0" w:line="196" w:lineRule="exact"/>
              <w:rPr>
                <w:rFonts w:ascii="Arial" w:cs="Arial" w:eastAsia="Arial" w:hAnsi="Arial"/>
                <w:sz w:val="18"/>
                <w:szCs w:val="18"/>
                <w:color w:val="0000EE"/>
                <w:w w:val="98"/>
              </w:rPr>
            </w:pPr>
            <w:hyperlink r:id="rId218">
              <w:r>
                <w:rPr>
                  <w:rFonts w:ascii="Arial" w:cs="Arial" w:eastAsia="Arial" w:hAnsi="Arial"/>
                  <w:sz w:val="18"/>
                  <w:szCs w:val="18"/>
                  <w:color w:val="0000EE"/>
                  <w:w w:val="98"/>
                </w:rPr>
                <w:t>Biosciences, Inc., dated January 28, 2019</w:t>
              </w:r>
            </w:hyperlink>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99"/>
        </w:trPr>
        <w:tc>
          <w:tcPr>
            <w:tcW w:w="920" w:type="dxa"/>
            <w:vAlign w:val="bottom"/>
          </w:tcPr>
          <w:p>
            <w:pPr>
              <w:jc w:val="right"/>
              <w:ind w:right="270"/>
              <w:spacing w:after="0"/>
              <w:rPr>
                <w:sz w:val="20"/>
                <w:szCs w:val="20"/>
                <w:color w:val="auto"/>
              </w:rPr>
            </w:pPr>
            <w:r>
              <w:rPr>
                <w:rFonts w:ascii="Arial" w:cs="Arial" w:eastAsia="Arial" w:hAnsi="Arial"/>
                <w:sz w:val="18"/>
                <w:szCs w:val="18"/>
                <w:color w:val="auto"/>
              </w:rPr>
              <w:t>10.7</w:t>
            </w:r>
          </w:p>
        </w:tc>
        <w:tc>
          <w:tcPr>
            <w:tcW w:w="3320" w:type="dxa"/>
            <w:vAlign w:val="bottom"/>
            <w:gridSpan w:val="5"/>
          </w:tcPr>
          <w:p>
            <w:pPr>
              <w:spacing w:after="0"/>
              <w:rPr>
                <w:rFonts w:ascii="Arial" w:cs="Arial" w:eastAsia="Arial" w:hAnsi="Arial"/>
                <w:sz w:val="18"/>
                <w:szCs w:val="18"/>
                <w:color w:val="0000EE"/>
                <w:w w:val="96"/>
              </w:rPr>
            </w:pPr>
            <w:hyperlink r:id="rId219">
              <w:r>
                <w:rPr>
                  <w:rFonts w:ascii="Arial" w:cs="Arial" w:eastAsia="Arial" w:hAnsi="Arial"/>
                  <w:sz w:val="18"/>
                  <w:szCs w:val="18"/>
                  <w:color w:val="0000EE"/>
                  <w:w w:val="96"/>
                </w:rPr>
                <w:t>Amendment No. 1 to the Collaboration and</w:t>
              </w:r>
            </w:hyperlink>
          </w:p>
        </w:tc>
        <w:tc>
          <w:tcPr>
            <w:tcW w:w="860" w:type="dxa"/>
            <w:vAlign w:val="bottom"/>
          </w:tcPr>
          <w:p>
            <w:pPr>
              <w:ind w:left="200"/>
              <w:spacing w:after="0"/>
              <w:rPr>
                <w:sz w:val="20"/>
                <w:szCs w:val="20"/>
                <w:color w:val="auto"/>
              </w:rPr>
            </w:pPr>
            <w:r>
              <w:rPr>
                <w:rFonts w:ascii="Arial" w:cs="Arial" w:eastAsia="Arial" w:hAnsi="Arial"/>
                <w:sz w:val="18"/>
                <w:szCs w:val="18"/>
                <w:color w:val="auto"/>
              </w:rPr>
              <w:t>10-Q</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08/09/2019</w:t>
            </w:r>
          </w:p>
        </w:tc>
        <w:tc>
          <w:tcPr>
            <w:tcW w:w="1820" w:type="dxa"/>
            <w:vAlign w:val="bottom"/>
          </w:tcPr>
          <w:p>
            <w:pPr>
              <w:jc w:val="center"/>
              <w:ind w:right="890"/>
              <w:spacing w:after="0"/>
              <w:rPr>
                <w:sz w:val="20"/>
                <w:szCs w:val="20"/>
                <w:color w:val="auto"/>
              </w:rPr>
            </w:pPr>
            <w:r>
              <w:rPr>
                <w:rFonts w:ascii="Arial" w:cs="Arial" w:eastAsia="Arial" w:hAnsi="Arial"/>
                <w:sz w:val="18"/>
                <w:szCs w:val="18"/>
                <w:color w:val="auto"/>
                <w:w w:val="88"/>
              </w:rPr>
              <w:t>001-</w:t>
            </w:r>
          </w:p>
        </w:tc>
      </w:tr>
      <w:tr>
        <w:trPr>
          <w:trHeight w:val="196"/>
        </w:trPr>
        <w:tc>
          <w:tcPr>
            <w:tcW w:w="920" w:type="dxa"/>
            <w:vAlign w:val="bottom"/>
          </w:tcPr>
          <w:p>
            <w:pPr>
              <w:spacing w:after="0"/>
              <w:rPr>
                <w:sz w:val="17"/>
                <w:szCs w:val="17"/>
                <w:color w:val="auto"/>
              </w:rPr>
            </w:pPr>
          </w:p>
        </w:tc>
        <w:tc>
          <w:tcPr>
            <w:tcW w:w="3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License Agreement, by and between</w:t>
              </w:r>
            </w:hyperlink>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jc w:val="center"/>
              <w:ind w:right="890"/>
              <w:spacing w:after="0" w:line="196" w:lineRule="exact"/>
              <w:rPr>
                <w:sz w:val="20"/>
                <w:szCs w:val="20"/>
                <w:color w:val="auto"/>
              </w:rPr>
            </w:pPr>
            <w:r>
              <w:rPr>
                <w:rFonts w:ascii="Arial" w:cs="Arial" w:eastAsia="Arial" w:hAnsi="Arial"/>
                <w:sz w:val="18"/>
                <w:szCs w:val="18"/>
                <w:color w:val="auto"/>
                <w:w w:val="87"/>
              </w:rPr>
              <w:t>37625</w:t>
            </w:r>
          </w:p>
        </w:tc>
      </w:tr>
      <w:tr>
        <w:trPr>
          <w:trHeight w:val="838"/>
        </w:trPr>
        <w:tc>
          <w:tcPr>
            <w:tcW w:w="920" w:type="dxa"/>
            <w:vAlign w:val="bottom"/>
            <w:tcBorders>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type w:val="continuous"/>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540" w:type="dxa"/>
            <w:vAlign w:val="bottom"/>
            <w:gridSpan w:val="29"/>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817"/>
        </w:trPr>
        <w:tc>
          <w:tcPr>
            <w:tcW w:w="820" w:type="dxa"/>
            <w:vAlign w:val="bottom"/>
          </w:tcPr>
          <w:p>
            <w:pPr>
              <w:spacing w:after="0"/>
              <w:rPr>
                <w:sz w:val="24"/>
                <w:szCs w:val="24"/>
                <w:color w:val="auto"/>
              </w:rPr>
            </w:pPr>
          </w:p>
        </w:tc>
        <w:tc>
          <w:tcPr>
            <w:tcW w:w="2180" w:type="dxa"/>
            <w:vAlign w:val="bottom"/>
            <w:tcBorders>
              <w:bottom w:val="single" w:sz="8" w:color="0000EE"/>
            </w:tcBorders>
            <w:gridSpan w:val="9"/>
          </w:tcPr>
          <w:p>
            <w:pPr>
              <w:spacing w:after="0"/>
              <w:rPr>
                <w:rFonts w:ascii="Arial" w:cs="Arial" w:eastAsia="Arial" w:hAnsi="Arial"/>
                <w:sz w:val="18"/>
                <w:szCs w:val="18"/>
                <w:color w:val="0000EE"/>
                <w:w w:val="89"/>
              </w:rPr>
            </w:pPr>
            <w:hyperlink r:id="rId219">
              <w:r>
                <w:rPr>
                  <w:rFonts w:ascii="Arial" w:cs="Arial" w:eastAsia="Arial" w:hAnsi="Arial"/>
                  <w:sz w:val="18"/>
                  <w:szCs w:val="18"/>
                  <w:color w:val="0000EE"/>
                  <w:w w:val="89"/>
                </w:rPr>
                <w:t>the Registrant and Neurocrine</w:t>
              </w:r>
            </w:hyperlink>
          </w:p>
        </w:tc>
        <w:tc>
          <w:tcPr>
            <w:tcW w:w="820" w:type="dxa"/>
            <w:vAlign w:val="bottom"/>
            <w:gridSpan w:val="22"/>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8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219">
              <w:r>
                <w:rPr>
                  <w:rFonts w:ascii="Arial" w:cs="Arial" w:eastAsia="Arial" w:hAnsi="Arial"/>
                  <w:sz w:val="18"/>
                  <w:szCs w:val="18"/>
                  <w:color w:val="0000EE"/>
                  <w:w w:val="89"/>
                </w:rPr>
                <w:t>Biosciences, Inc., dated June 14, 2019</w:t>
              </w:r>
            </w:hyperlink>
          </w:p>
        </w:tc>
        <w:tc>
          <w:tcPr>
            <w:tcW w:w="20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91"/>
              </w:rPr>
              <w:t>10.8</w:t>
            </w:r>
          </w:p>
        </w:tc>
        <w:tc>
          <w:tcPr>
            <w:tcW w:w="2540" w:type="dxa"/>
            <w:vAlign w:val="bottom"/>
            <w:tcBorders>
              <w:bottom w:val="single" w:sz="8" w:color="0000EE"/>
            </w:tcBorders>
            <w:gridSpan w:val="18"/>
          </w:tcPr>
          <w:p>
            <w:pPr>
              <w:spacing w:after="0"/>
              <w:rPr>
                <w:rFonts w:ascii="Arial" w:cs="Arial" w:eastAsia="Arial" w:hAnsi="Arial"/>
                <w:sz w:val="18"/>
                <w:szCs w:val="18"/>
                <w:color w:val="0000EE"/>
                <w:w w:val="88"/>
              </w:rPr>
            </w:pPr>
            <w:hyperlink r:id="rId220">
              <w:r>
                <w:rPr>
                  <w:rFonts w:ascii="Arial" w:cs="Arial" w:eastAsia="Arial" w:hAnsi="Arial"/>
                  <w:sz w:val="18"/>
                  <w:szCs w:val="18"/>
                  <w:color w:val="0000EE"/>
                  <w:w w:val="88"/>
                </w:rPr>
                <w:t>Stock Purchase Agreement, by and</w:t>
              </w:r>
            </w:hyperlink>
          </w:p>
        </w:tc>
        <w:tc>
          <w:tcPr>
            <w:tcW w:w="460" w:type="dxa"/>
            <w:vAlign w:val="bottom"/>
            <w:gridSpan w:val="13"/>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02/26/2019</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196"/>
        </w:trPr>
        <w:tc>
          <w:tcPr>
            <w:tcW w:w="820" w:type="dxa"/>
            <w:vAlign w:val="bottom"/>
          </w:tcPr>
          <w:p>
            <w:pPr>
              <w:spacing w:after="0"/>
              <w:rPr>
                <w:sz w:val="17"/>
                <w:szCs w:val="17"/>
                <w:color w:val="auto"/>
              </w:rPr>
            </w:pPr>
          </w:p>
        </w:tc>
        <w:tc>
          <w:tcPr>
            <w:tcW w:w="28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220">
              <w:r>
                <w:rPr>
                  <w:rFonts w:ascii="Arial" w:cs="Arial" w:eastAsia="Arial" w:hAnsi="Arial"/>
                  <w:sz w:val="18"/>
                  <w:szCs w:val="18"/>
                  <w:color w:val="0000EE"/>
                  <w:w w:val="89"/>
                </w:rPr>
                <w:t>between the Registrant and Neurocrine</w:t>
              </w:r>
            </w:hyperlink>
          </w:p>
        </w:tc>
        <w:tc>
          <w:tcPr>
            <w:tcW w:w="18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Biosciences, Inc., dated January 28,</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0">
              <w:r>
                <w:rPr>
                  <w:rFonts w:ascii="Arial" w:cs="Arial" w:eastAsia="Arial" w:hAnsi="Arial"/>
                  <w:sz w:val="18"/>
                  <w:szCs w:val="18"/>
                  <w:color w:val="0000EE"/>
                  <w:w w:val="84"/>
                </w:rPr>
                <w:t>2019</w:t>
              </w:r>
            </w:hyperlink>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58"/>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91"/>
              </w:rPr>
              <w:t>10.9</w:t>
            </w:r>
          </w:p>
        </w:tc>
        <w:tc>
          <w:tcPr>
            <w:tcW w:w="2660" w:type="dxa"/>
            <w:vAlign w:val="bottom"/>
            <w:tcBorders>
              <w:bottom w:val="single" w:sz="8" w:color="0000EE"/>
            </w:tcBorders>
            <w:gridSpan w:val="22"/>
          </w:tcPr>
          <w:p>
            <w:pPr>
              <w:spacing w:after="0"/>
              <w:rPr>
                <w:rFonts w:ascii="Arial" w:cs="Arial" w:eastAsia="Arial" w:hAnsi="Arial"/>
                <w:sz w:val="18"/>
                <w:szCs w:val="18"/>
                <w:color w:val="0000EE"/>
                <w:w w:val="89"/>
              </w:rPr>
            </w:pPr>
            <w:hyperlink r:id="rId221">
              <w:r>
                <w:rPr>
                  <w:rFonts w:ascii="Arial" w:cs="Arial" w:eastAsia="Arial" w:hAnsi="Arial"/>
                  <w:sz w:val="18"/>
                  <w:szCs w:val="18"/>
                  <w:color w:val="0000EE"/>
                  <w:w w:val="89"/>
                </w:rPr>
                <w:t>Investor Agreement, by and between</w:t>
              </w:r>
            </w:hyperlink>
          </w:p>
        </w:tc>
        <w:tc>
          <w:tcPr>
            <w:tcW w:w="340" w:type="dxa"/>
            <w:vAlign w:val="bottom"/>
            <w:gridSpan w:val="9"/>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02/26/2019</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196"/>
        </w:trPr>
        <w:tc>
          <w:tcPr>
            <w:tcW w:w="820" w:type="dxa"/>
            <w:vAlign w:val="bottom"/>
          </w:tcPr>
          <w:p>
            <w:pPr>
              <w:spacing w:after="0"/>
              <w:rPr>
                <w:sz w:val="17"/>
                <w:szCs w:val="17"/>
                <w:color w:val="auto"/>
              </w:rPr>
            </w:pPr>
          </w:p>
        </w:tc>
        <w:tc>
          <w:tcPr>
            <w:tcW w:w="21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21">
              <w:r>
                <w:rPr>
                  <w:rFonts w:ascii="Arial" w:cs="Arial" w:eastAsia="Arial" w:hAnsi="Arial"/>
                  <w:sz w:val="18"/>
                  <w:szCs w:val="18"/>
                  <w:color w:val="0000EE"/>
                  <w:w w:val="89"/>
                </w:rPr>
                <w:t>the Registrant and Neurocrine</w:t>
              </w:r>
            </w:hyperlink>
          </w:p>
        </w:tc>
        <w:tc>
          <w:tcPr>
            <w:tcW w:w="820" w:type="dxa"/>
            <w:vAlign w:val="bottom"/>
            <w:gridSpan w:val="22"/>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Biosciences, Inc., dated January 28,</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1">
              <w:r>
                <w:rPr>
                  <w:rFonts w:ascii="Arial" w:cs="Arial" w:eastAsia="Arial" w:hAnsi="Arial"/>
                  <w:sz w:val="18"/>
                  <w:szCs w:val="18"/>
                  <w:color w:val="0000EE"/>
                  <w:w w:val="84"/>
                </w:rPr>
                <w:t>2019</w:t>
              </w:r>
            </w:hyperlink>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58"/>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0"/>
              </w:rPr>
              <w:t>10.10†</w:t>
            </w:r>
          </w:p>
        </w:tc>
        <w:tc>
          <w:tcPr>
            <w:tcW w:w="2420" w:type="dxa"/>
            <w:vAlign w:val="bottom"/>
            <w:tcBorders>
              <w:bottom w:val="single" w:sz="8" w:color="0000EE"/>
            </w:tcBorders>
            <w:gridSpan w:val="15"/>
          </w:tcPr>
          <w:p>
            <w:pPr>
              <w:spacing w:after="0"/>
              <w:rPr>
                <w:rFonts w:ascii="Arial" w:cs="Arial" w:eastAsia="Arial" w:hAnsi="Arial"/>
                <w:sz w:val="18"/>
                <w:szCs w:val="18"/>
                <w:color w:val="0000EE"/>
                <w:w w:val="91"/>
              </w:rPr>
            </w:pPr>
            <w:hyperlink r:id="rId222">
              <w:r>
                <w:rPr>
                  <w:rFonts w:ascii="Arial" w:cs="Arial" w:eastAsia="Arial" w:hAnsi="Arial"/>
                  <w:sz w:val="18"/>
                  <w:szCs w:val="18"/>
                  <w:color w:val="0000EE"/>
                  <w:w w:val="91"/>
                </w:rPr>
                <w:t>Collaboration Agreement, by and</w:t>
              </w:r>
            </w:hyperlink>
          </w:p>
        </w:tc>
        <w:tc>
          <w:tcPr>
            <w:tcW w:w="580" w:type="dxa"/>
            <w:vAlign w:val="bottom"/>
            <w:gridSpan w:val="16"/>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03/14/2018</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between the Registrant and AbbVie</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20"/>
        </w:trPr>
        <w:tc>
          <w:tcPr>
            <w:tcW w:w="8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w w:val="97"/>
              </w:rPr>
            </w:pPr>
            <w:hyperlink r:id="rId222">
              <w:r>
                <w:rPr>
                  <w:rFonts w:ascii="Arial" w:cs="Arial" w:eastAsia="Arial" w:hAnsi="Arial"/>
                  <w:sz w:val="18"/>
                  <w:szCs w:val="18"/>
                  <w:color w:val="0000EE"/>
                  <w:w w:val="97"/>
                </w:rPr>
                <w:t>Biotechnology Ltd, dated February 16,</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2">
              <w:r>
                <w:rPr>
                  <w:rFonts w:ascii="Arial" w:cs="Arial" w:eastAsia="Arial" w:hAnsi="Arial"/>
                  <w:sz w:val="18"/>
                  <w:szCs w:val="18"/>
                  <w:color w:val="0000EE"/>
                  <w:w w:val="84"/>
                </w:rPr>
                <w:t>2018</w:t>
              </w:r>
            </w:hyperlink>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58"/>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0"/>
              </w:rPr>
              <w:t>10.11†</w:t>
            </w:r>
          </w:p>
        </w:tc>
        <w:tc>
          <w:tcPr>
            <w:tcW w:w="2740" w:type="dxa"/>
            <w:vAlign w:val="bottom"/>
            <w:tcBorders>
              <w:bottom w:val="single" w:sz="8" w:color="0000EE"/>
            </w:tcBorders>
            <w:gridSpan w:val="24"/>
          </w:tcPr>
          <w:p>
            <w:pPr>
              <w:spacing w:after="0"/>
              <w:rPr>
                <w:rFonts w:ascii="Arial" w:cs="Arial" w:eastAsia="Arial" w:hAnsi="Arial"/>
                <w:sz w:val="18"/>
                <w:szCs w:val="18"/>
                <w:color w:val="0000EE"/>
                <w:w w:val="91"/>
              </w:rPr>
            </w:pPr>
            <w:hyperlink r:id="rId223">
              <w:r>
                <w:rPr>
                  <w:rFonts w:ascii="Arial" w:cs="Arial" w:eastAsia="Arial" w:hAnsi="Arial"/>
                  <w:sz w:val="18"/>
                  <w:szCs w:val="18"/>
                  <w:color w:val="0000EE"/>
                  <w:w w:val="91"/>
                </w:rPr>
                <w:t>Collaboration and Option Agreement,</w:t>
              </w:r>
            </w:hyperlink>
          </w:p>
        </w:tc>
        <w:tc>
          <w:tcPr>
            <w:tcW w:w="260" w:type="dxa"/>
            <w:vAlign w:val="bottom"/>
            <w:gridSpan w:val="7"/>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02/26/2019</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196"/>
        </w:trPr>
        <w:tc>
          <w:tcPr>
            <w:tcW w:w="820" w:type="dxa"/>
            <w:vAlign w:val="bottom"/>
          </w:tcPr>
          <w:p>
            <w:pPr>
              <w:spacing w:after="0"/>
              <w:rPr>
                <w:sz w:val="17"/>
                <w:szCs w:val="17"/>
                <w:color w:val="auto"/>
              </w:rPr>
            </w:pPr>
          </w:p>
        </w:tc>
        <w:tc>
          <w:tcPr>
            <w:tcW w:w="25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223">
              <w:r>
                <w:rPr>
                  <w:rFonts w:ascii="Arial" w:cs="Arial" w:eastAsia="Arial" w:hAnsi="Arial"/>
                  <w:sz w:val="18"/>
                  <w:szCs w:val="18"/>
                  <w:color w:val="0000EE"/>
                  <w:w w:val="88"/>
                </w:rPr>
                <w:t>by and between the Registrant and</w:t>
              </w:r>
            </w:hyperlink>
          </w:p>
        </w:tc>
        <w:tc>
          <w:tcPr>
            <w:tcW w:w="50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82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223">
              <w:r>
                <w:rPr>
                  <w:rFonts w:ascii="Arial" w:cs="Arial" w:eastAsia="Arial" w:hAnsi="Arial"/>
                  <w:sz w:val="18"/>
                  <w:szCs w:val="18"/>
                  <w:color w:val="0000EE"/>
                  <w:w w:val="93"/>
                </w:rPr>
                <w:t>AbbVie Ireland Unlimited Company,</w:t>
              </w:r>
            </w:hyperlink>
          </w:p>
        </w:tc>
        <w:tc>
          <w:tcPr>
            <w:tcW w:w="32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dated February 21, 2019</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58"/>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0"/>
              </w:rPr>
              <w:t>10.12†</w:t>
            </w:r>
          </w:p>
        </w:tc>
        <w:tc>
          <w:tcPr>
            <w:tcW w:w="2740" w:type="dxa"/>
            <w:vAlign w:val="bottom"/>
            <w:tcBorders>
              <w:bottom w:val="single" w:sz="8" w:color="0000EE"/>
            </w:tcBorders>
            <w:gridSpan w:val="24"/>
          </w:tcPr>
          <w:p>
            <w:pPr>
              <w:spacing w:after="0"/>
              <w:rPr>
                <w:rFonts w:ascii="Arial" w:cs="Arial" w:eastAsia="Arial" w:hAnsi="Arial"/>
                <w:sz w:val="18"/>
                <w:szCs w:val="18"/>
                <w:color w:val="0000EE"/>
                <w:w w:val="90"/>
              </w:rPr>
            </w:pPr>
            <w:hyperlink r:id="rId224">
              <w:r>
                <w:rPr>
                  <w:rFonts w:ascii="Arial" w:cs="Arial" w:eastAsia="Arial" w:hAnsi="Arial"/>
                  <w:sz w:val="18"/>
                  <w:szCs w:val="18"/>
                  <w:color w:val="0000EE"/>
                  <w:w w:val="90"/>
                </w:rPr>
                <w:t>Exclusive License Agreement, by and</w:t>
              </w:r>
            </w:hyperlink>
          </w:p>
        </w:tc>
        <w:tc>
          <w:tcPr>
            <w:tcW w:w="260" w:type="dxa"/>
            <w:vAlign w:val="bottom"/>
            <w:gridSpan w:val="7"/>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10/09/2015</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333-</w:t>
            </w: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between the Registrant and the</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710"/>
              <w:spacing w:after="0" w:line="196" w:lineRule="exact"/>
              <w:rPr>
                <w:sz w:val="20"/>
                <w:szCs w:val="20"/>
                <w:color w:val="auto"/>
              </w:rPr>
            </w:pPr>
            <w:r>
              <w:rPr>
                <w:rFonts w:ascii="Arial" w:cs="Arial" w:eastAsia="Arial" w:hAnsi="Arial"/>
                <w:sz w:val="18"/>
                <w:szCs w:val="18"/>
                <w:color w:val="auto"/>
                <w:w w:val="89"/>
              </w:rPr>
              <w:t>207367</w:t>
            </w:r>
          </w:p>
        </w:tc>
      </w:tr>
      <w:tr>
        <w:trPr>
          <w:trHeight w:val="20"/>
        </w:trPr>
        <w:tc>
          <w:tcPr>
            <w:tcW w:w="8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University of Massachusetts, dated</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5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January 30, 2014</w:t>
              </w:r>
            </w:hyperlink>
          </w:p>
        </w:tc>
        <w:tc>
          <w:tcPr>
            <w:tcW w:w="48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58"/>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0"/>
              </w:rPr>
              <w:t>10.13†</w:t>
            </w:r>
          </w:p>
        </w:tc>
        <w:tc>
          <w:tcPr>
            <w:tcW w:w="2900" w:type="dxa"/>
            <w:vAlign w:val="bottom"/>
            <w:tcBorders>
              <w:bottom w:val="single" w:sz="8" w:color="0000EE"/>
            </w:tcBorders>
            <w:gridSpan w:val="30"/>
          </w:tcPr>
          <w:p>
            <w:pPr>
              <w:spacing w:after="0"/>
              <w:rPr>
                <w:rFonts w:ascii="Arial" w:cs="Arial" w:eastAsia="Arial" w:hAnsi="Arial"/>
                <w:sz w:val="18"/>
                <w:szCs w:val="18"/>
                <w:color w:val="0000EE"/>
                <w:w w:val="89"/>
              </w:rPr>
            </w:pPr>
            <w:hyperlink r:id="rId225">
              <w:r>
                <w:rPr>
                  <w:rFonts w:ascii="Arial" w:cs="Arial" w:eastAsia="Arial" w:hAnsi="Arial"/>
                  <w:sz w:val="18"/>
                  <w:szCs w:val="18"/>
                  <w:color w:val="0000EE"/>
                  <w:w w:val="89"/>
                </w:rPr>
                <w:t>License Agreement, by and between the</w:t>
              </w:r>
            </w:hyperlink>
          </w:p>
        </w:tc>
        <w:tc>
          <w:tcPr>
            <w:tcW w:w="100" w:type="dxa"/>
            <w:vAlign w:val="bottom"/>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11/04/2015</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333-</w:t>
            </w:r>
          </w:p>
        </w:tc>
      </w:tr>
      <w:tr>
        <w:trPr>
          <w:trHeight w:val="196"/>
        </w:trPr>
        <w:tc>
          <w:tcPr>
            <w:tcW w:w="82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225">
              <w:r>
                <w:rPr>
                  <w:rFonts w:ascii="Arial" w:cs="Arial" w:eastAsia="Arial" w:hAnsi="Arial"/>
                  <w:sz w:val="18"/>
                  <w:szCs w:val="18"/>
                  <w:color w:val="0000EE"/>
                  <w:w w:val="89"/>
                </w:rPr>
                <w:t>Registrant and ReGenX Biosciences,</w:t>
              </w:r>
            </w:hyperlink>
          </w:p>
        </w:tc>
        <w:tc>
          <w:tcPr>
            <w:tcW w:w="32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710"/>
              <w:spacing w:after="0" w:line="196" w:lineRule="exact"/>
              <w:rPr>
                <w:sz w:val="20"/>
                <w:szCs w:val="20"/>
                <w:color w:val="auto"/>
              </w:rPr>
            </w:pPr>
            <w:r>
              <w:rPr>
                <w:rFonts w:ascii="Arial" w:cs="Arial" w:eastAsia="Arial" w:hAnsi="Arial"/>
                <w:sz w:val="18"/>
                <w:szCs w:val="18"/>
                <w:color w:val="auto"/>
                <w:w w:val="89"/>
              </w:rPr>
              <w:t>207367</w:t>
            </w:r>
          </w:p>
        </w:tc>
      </w:tr>
      <w:tr>
        <w:trPr>
          <w:trHeight w:val="196"/>
        </w:trPr>
        <w:tc>
          <w:tcPr>
            <w:tcW w:w="82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LLC, dated May 28, 2014</w:t>
              </w:r>
            </w:hyperlink>
          </w:p>
        </w:tc>
        <w:tc>
          <w:tcPr>
            <w:tcW w:w="1120" w:type="dxa"/>
            <w:vAlign w:val="bottom"/>
            <w:gridSpan w:val="24"/>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58"/>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10.14</w:t>
            </w:r>
          </w:p>
        </w:tc>
        <w:tc>
          <w:tcPr>
            <w:tcW w:w="2780" w:type="dxa"/>
            <w:vAlign w:val="bottom"/>
            <w:tcBorders>
              <w:bottom w:val="single" w:sz="8" w:color="0000EE"/>
            </w:tcBorders>
            <w:gridSpan w:val="26"/>
          </w:tcPr>
          <w:p>
            <w:pPr>
              <w:spacing w:after="0"/>
              <w:rPr>
                <w:rFonts w:ascii="Arial" w:cs="Arial" w:eastAsia="Arial" w:hAnsi="Arial"/>
                <w:sz w:val="18"/>
                <w:szCs w:val="18"/>
                <w:color w:val="0000EE"/>
                <w:w w:val="89"/>
              </w:rPr>
            </w:pPr>
            <w:hyperlink r:id="rId226">
              <w:r>
                <w:rPr>
                  <w:rFonts w:ascii="Arial" w:cs="Arial" w:eastAsia="Arial" w:hAnsi="Arial"/>
                  <w:sz w:val="18"/>
                  <w:szCs w:val="18"/>
                  <w:color w:val="0000EE"/>
                  <w:w w:val="89"/>
                </w:rPr>
                <w:t>Lease Agreement, by and between the</w:t>
              </w:r>
            </w:hyperlink>
          </w:p>
        </w:tc>
        <w:tc>
          <w:tcPr>
            <w:tcW w:w="220" w:type="dxa"/>
            <w:vAlign w:val="bottom"/>
            <w:gridSpan w:val="5"/>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10/28/2015</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333-</w:t>
            </w:r>
          </w:p>
        </w:tc>
      </w:tr>
      <w:tr>
        <w:trPr>
          <w:trHeight w:val="196"/>
        </w:trPr>
        <w:tc>
          <w:tcPr>
            <w:tcW w:w="820" w:type="dxa"/>
            <w:vAlign w:val="bottom"/>
          </w:tcPr>
          <w:p>
            <w:pPr>
              <w:spacing w:after="0"/>
              <w:rPr>
                <w:sz w:val="17"/>
                <w:szCs w:val="17"/>
                <w:color w:val="auto"/>
              </w:rPr>
            </w:pPr>
          </w:p>
        </w:tc>
        <w:tc>
          <w:tcPr>
            <w:tcW w:w="28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226">
              <w:r>
                <w:rPr>
                  <w:rFonts w:ascii="Arial" w:cs="Arial" w:eastAsia="Arial" w:hAnsi="Arial"/>
                  <w:sz w:val="18"/>
                  <w:szCs w:val="18"/>
                  <w:color w:val="0000EE"/>
                  <w:w w:val="89"/>
                </w:rPr>
                <w:t>Registrant and UP 45/75 Sidney Street,</w:t>
              </w:r>
            </w:hyperlink>
          </w:p>
        </w:tc>
        <w:tc>
          <w:tcPr>
            <w:tcW w:w="1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710"/>
              <w:spacing w:after="0" w:line="196" w:lineRule="exact"/>
              <w:rPr>
                <w:sz w:val="20"/>
                <w:szCs w:val="20"/>
                <w:color w:val="auto"/>
              </w:rPr>
            </w:pPr>
            <w:r>
              <w:rPr>
                <w:rFonts w:ascii="Arial" w:cs="Arial" w:eastAsia="Arial" w:hAnsi="Arial"/>
                <w:sz w:val="18"/>
                <w:szCs w:val="18"/>
                <w:color w:val="auto"/>
                <w:w w:val="89"/>
              </w:rPr>
              <w:t>207367</w:t>
            </w:r>
          </w:p>
        </w:tc>
      </w:tr>
      <w:tr>
        <w:trPr>
          <w:trHeight w:val="196"/>
        </w:trPr>
        <w:tc>
          <w:tcPr>
            <w:tcW w:w="820" w:type="dxa"/>
            <w:vAlign w:val="bottom"/>
          </w:tcPr>
          <w:p>
            <w:pPr>
              <w:spacing w:after="0"/>
              <w:rPr>
                <w:sz w:val="17"/>
                <w:szCs w:val="17"/>
                <w:color w:val="auto"/>
              </w:rPr>
            </w:pP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226">
              <w:r>
                <w:rPr>
                  <w:rFonts w:ascii="Arial" w:cs="Arial" w:eastAsia="Arial" w:hAnsi="Arial"/>
                  <w:sz w:val="18"/>
                  <w:szCs w:val="18"/>
                  <w:color w:val="0000EE"/>
                  <w:w w:val="93"/>
                </w:rPr>
                <w:t>LLC, dated April 1, 2014</w:t>
              </w:r>
            </w:hyperlink>
          </w:p>
        </w:tc>
        <w:tc>
          <w:tcPr>
            <w:tcW w:w="1160" w:type="dxa"/>
            <w:vAlign w:val="bottom"/>
            <w:gridSpan w:val="25"/>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58"/>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10.15</w:t>
            </w:r>
          </w:p>
        </w:tc>
        <w:tc>
          <w:tcPr>
            <w:tcW w:w="3000" w:type="dxa"/>
            <w:vAlign w:val="bottom"/>
            <w:gridSpan w:val="31"/>
          </w:tcPr>
          <w:p>
            <w:pPr>
              <w:spacing w:after="0"/>
              <w:rPr>
                <w:rFonts w:ascii="Arial" w:cs="Arial" w:eastAsia="Arial" w:hAnsi="Arial"/>
                <w:sz w:val="18"/>
                <w:szCs w:val="18"/>
                <w:color w:val="0000EE"/>
              </w:rPr>
            </w:pPr>
            <w:hyperlink r:id="rId227">
              <w:r>
                <w:rPr>
                  <w:rFonts w:ascii="Arial" w:cs="Arial" w:eastAsia="Arial" w:hAnsi="Arial"/>
                  <w:sz w:val="18"/>
                  <w:szCs w:val="18"/>
                  <w:color w:val="0000EE"/>
                </w:rPr>
                <w:t>First Amendment to the Lease</w:t>
              </w:r>
            </w:hyperlink>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05/12/2016</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20"/>
        </w:trPr>
        <w:tc>
          <w:tcPr>
            <w:tcW w:w="8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Agreement, by and between the</w:t>
              </w:r>
            </w:hyperlink>
          </w:p>
        </w:tc>
        <w:tc>
          <w:tcPr>
            <w:tcW w:w="68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820" w:type="dxa"/>
            <w:vAlign w:val="bottom"/>
          </w:tcPr>
          <w:p>
            <w:pPr>
              <w:spacing w:after="0"/>
              <w:rPr>
                <w:sz w:val="17"/>
                <w:szCs w:val="17"/>
                <w:color w:val="auto"/>
              </w:rPr>
            </w:pPr>
          </w:p>
        </w:tc>
        <w:tc>
          <w:tcPr>
            <w:tcW w:w="28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227">
              <w:r>
                <w:rPr>
                  <w:rFonts w:ascii="Arial" w:cs="Arial" w:eastAsia="Arial" w:hAnsi="Arial"/>
                  <w:sz w:val="18"/>
                  <w:szCs w:val="18"/>
                  <w:color w:val="0000EE"/>
                  <w:w w:val="89"/>
                </w:rPr>
                <w:t>Registrant and UP 45/75 Sidney Street,</w:t>
              </w:r>
            </w:hyperlink>
          </w:p>
        </w:tc>
        <w:tc>
          <w:tcPr>
            <w:tcW w:w="1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LLC, dated December 23, 2015</w:t>
              </w:r>
            </w:hyperlink>
          </w:p>
        </w:tc>
        <w:tc>
          <w:tcPr>
            <w:tcW w:w="700" w:type="dxa"/>
            <w:vAlign w:val="bottom"/>
            <w:gridSpan w:val="19"/>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10.16</w:t>
            </w:r>
          </w:p>
        </w:tc>
        <w:tc>
          <w:tcPr>
            <w:tcW w:w="3000" w:type="dxa"/>
            <w:vAlign w:val="bottom"/>
            <w:gridSpan w:val="31"/>
          </w:tcPr>
          <w:p>
            <w:pPr>
              <w:spacing w:after="0"/>
              <w:rPr>
                <w:rFonts w:ascii="Arial" w:cs="Arial" w:eastAsia="Arial" w:hAnsi="Arial"/>
                <w:sz w:val="18"/>
                <w:szCs w:val="18"/>
                <w:color w:val="0000EE"/>
              </w:rPr>
            </w:pPr>
            <w:hyperlink r:id="rId228">
              <w:r>
                <w:rPr>
                  <w:rFonts w:ascii="Arial" w:cs="Arial" w:eastAsia="Arial" w:hAnsi="Arial"/>
                  <w:sz w:val="18"/>
                  <w:szCs w:val="18"/>
                  <w:color w:val="0000EE"/>
                </w:rPr>
                <w:t>Second Amendment to the Lease</w:t>
              </w:r>
            </w:hyperlink>
          </w:p>
        </w:tc>
        <w:tc>
          <w:tcPr>
            <w:tcW w:w="74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02/07/2018</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196"/>
        </w:trPr>
        <w:tc>
          <w:tcPr>
            <w:tcW w:w="8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Agreement, by and between the</w:t>
              </w:r>
            </w:hyperlink>
          </w:p>
        </w:tc>
        <w:tc>
          <w:tcPr>
            <w:tcW w:w="60" w:type="dxa"/>
            <w:vAlign w:val="bottom"/>
            <w:tcBorders>
              <w:top w:val="single" w:sz="8" w:color="0000EE"/>
            </w:tcBorders>
          </w:tcPr>
          <w:p>
            <w:pPr>
              <w:spacing w:after="0"/>
              <w:rPr>
                <w:sz w:val="17"/>
                <w:szCs w:val="17"/>
                <w:color w:val="auto"/>
              </w:rPr>
            </w:pPr>
          </w:p>
        </w:tc>
        <w:tc>
          <w:tcPr>
            <w:tcW w:w="62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820" w:type="dxa"/>
            <w:vAlign w:val="bottom"/>
          </w:tcPr>
          <w:p>
            <w:pPr>
              <w:spacing w:after="0"/>
              <w:rPr>
                <w:sz w:val="17"/>
                <w:szCs w:val="17"/>
                <w:color w:val="auto"/>
              </w:rPr>
            </w:pPr>
          </w:p>
        </w:tc>
        <w:tc>
          <w:tcPr>
            <w:tcW w:w="28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228">
              <w:r>
                <w:rPr>
                  <w:rFonts w:ascii="Arial" w:cs="Arial" w:eastAsia="Arial" w:hAnsi="Arial"/>
                  <w:sz w:val="18"/>
                  <w:szCs w:val="18"/>
                  <w:color w:val="0000EE"/>
                  <w:w w:val="89"/>
                </w:rPr>
                <w:t>Registrant and UP 45/75 Sidney Street,</w:t>
              </w:r>
            </w:hyperlink>
          </w:p>
        </w:tc>
        <w:tc>
          <w:tcPr>
            <w:tcW w:w="1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LLC, dated February 5, 2018</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99"/>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10.17</w:t>
            </w:r>
          </w:p>
        </w:tc>
        <w:tc>
          <w:tcPr>
            <w:tcW w:w="2260" w:type="dxa"/>
            <w:vAlign w:val="bottom"/>
            <w:tcBorders>
              <w:bottom w:val="single" w:sz="8" w:color="0000EE"/>
            </w:tcBorders>
            <w:gridSpan w:val="10"/>
          </w:tcPr>
          <w:p>
            <w:pPr>
              <w:spacing w:after="0"/>
              <w:rPr>
                <w:rFonts w:ascii="Arial" w:cs="Arial" w:eastAsia="Arial" w:hAnsi="Arial"/>
                <w:sz w:val="18"/>
                <w:szCs w:val="18"/>
                <w:color w:val="0000EE"/>
                <w:w w:val="90"/>
              </w:rPr>
            </w:pPr>
            <w:hyperlink r:id="rId229">
              <w:r>
                <w:rPr>
                  <w:rFonts w:ascii="Arial" w:cs="Arial" w:eastAsia="Arial" w:hAnsi="Arial"/>
                  <w:sz w:val="18"/>
                  <w:szCs w:val="18"/>
                  <w:color w:val="0000EE"/>
                  <w:w w:val="90"/>
                </w:rPr>
                <w:t>Third Amendment to the Lease</w:t>
              </w:r>
            </w:hyperlink>
          </w:p>
        </w:tc>
        <w:tc>
          <w:tcPr>
            <w:tcW w:w="740" w:type="dxa"/>
            <w:vAlign w:val="bottom"/>
            <w:gridSpan w:val="21"/>
          </w:tcPr>
          <w:p>
            <w:pPr>
              <w:spacing w:after="0"/>
              <w:rPr>
                <w:sz w:val="24"/>
                <w:szCs w:val="24"/>
                <w:color w:val="auto"/>
              </w:rPr>
            </w:pPr>
          </w:p>
        </w:tc>
        <w:tc>
          <w:tcPr>
            <w:tcW w:w="74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06/05/2018</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196"/>
        </w:trPr>
        <w:tc>
          <w:tcPr>
            <w:tcW w:w="82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Agreement, by and between the</w:t>
              </w:r>
            </w:hyperlink>
          </w:p>
        </w:tc>
        <w:tc>
          <w:tcPr>
            <w:tcW w:w="68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820" w:type="dxa"/>
            <w:vAlign w:val="bottom"/>
          </w:tcPr>
          <w:p>
            <w:pPr>
              <w:spacing w:after="0"/>
              <w:rPr>
                <w:sz w:val="17"/>
                <w:szCs w:val="17"/>
                <w:color w:val="auto"/>
              </w:rPr>
            </w:pPr>
          </w:p>
        </w:tc>
        <w:tc>
          <w:tcPr>
            <w:tcW w:w="28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Registrant and UP 45/75 Sidney Street,</w:t>
              </w:r>
            </w:hyperlink>
          </w:p>
        </w:tc>
        <w:tc>
          <w:tcPr>
            <w:tcW w:w="1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LLC, dated June 1, 2018</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58"/>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10.18</w:t>
            </w:r>
          </w:p>
        </w:tc>
        <w:tc>
          <w:tcPr>
            <w:tcW w:w="2760" w:type="dxa"/>
            <w:vAlign w:val="bottom"/>
            <w:tcBorders>
              <w:bottom w:val="single" w:sz="8" w:color="0000EE"/>
            </w:tcBorders>
            <w:gridSpan w:val="25"/>
          </w:tcPr>
          <w:p>
            <w:pPr>
              <w:spacing w:after="0"/>
              <w:rPr>
                <w:rFonts w:ascii="Arial" w:cs="Arial" w:eastAsia="Arial" w:hAnsi="Arial"/>
                <w:sz w:val="18"/>
                <w:szCs w:val="18"/>
                <w:color w:val="0000EE"/>
                <w:w w:val="88"/>
              </w:rPr>
            </w:pPr>
            <w:hyperlink r:id="rId230">
              <w:r>
                <w:rPr>
                  <w:rFonts w:ascii="Arial" w:cs="Arial" w:eastAsia="Arial" w:hAnsi="Arial"/>
                  <w:sz w:val="18"/>
                  <w:szCs w:val="18"/>
                  <w:color w:val="0000EE"/>
                  <w:w w:val="88"/>
                </w:rPr>
                <w:t>Lease Agreement, by and between the</w:t>
              </w:r>
            </w:hyperlink>
          </w:p>
        </w:tc>
        <w:tc>
          <w:tcPr>
            <w:tcW w:w="240" w:type="dxa"/>
            <w:vAlign w:val="bottom"/>
            <w:gridSpan w:val="6"/>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05/12/2016</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Registrant and UP 64 Sidney Street,</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820" w:type="dxa"/>
            <w:vAlign w:val="bottom"/>
          </w:tcPr>
          <w:p>
            <w:pPr>
              <w:spacing w:after="0"/>
              <w:rPr>
                <w:sz w:val="17"/>
                <w:szCs w:val="17"/>
                <w:color w:val="auto"/>
              </w:rPr>
            </w:pPr>
          </w:p>
        </w:tc>
        <w:tc>
          <w:tcPr>
            <w:tcW w:w="2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LLC, dated December 23, 2015</w:t>
              </w:r>
            </w:hyperlink>
          </w:p>
        </w:tc>
        <w:tc>
          <w:tcPr>
            <w:tcW w:w="4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58"/>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10.19</w:t>
            </w:r>
          </w:p>
        </w:tc>
        <w:tc>
          <w:tcPr>
            <w:tcW w:w="2280" w:type="dxa"/>
            <w:vAlign w:val="bottom"/>
            <w:tcBorders>
              <w:top w:val="single" w:sz="8" w:color="0000EE"/>
            </w:tcBorders>
            <w:gridSpan w:val="11"/>
          </w:tcPr>
          <w:p>
            <w:pPr>
              <w:spacing w:after="0"/>
              <w:rPr>
                <w:rFonts w:ascii="Arial" w:cs="Arial" w:eastAsia="Arial" w:hAnsi="Arial"/>
                <w:sz w:val="18"/>
                <w:szCs w:val="18"/>
                <w:color w:val="0000EE"/>
                <w:w w:val="93"/>
              </w:rPr>
            </w:pPr>
            <w:hyperlink r:id="rId231">
              <w:r>
                <w:rPr>
                  <w:rFonts w:ascii="Arial" w:cs="Arial" w:eastAsia="Arial" w:hAnsi="Arial"/>
                  <w:sz w:val="18"/>
                  <w:szCs w:val="18"/>
                  <w:color w:val="0000EE"/>
                  <w:w w:val="93"/>
                </w:rPr>
                <w:t>First Amendment to the Lease</w:t>
              </w:r>
            </w:hyperlink>
          </w:p>
        </w:tc>
        <w:tc>
          <w:tcPr>
            <w:tcW w:w="720" w:type="dxa"/>
            <w:vAlign w:val="bottom"/>
            <w:gridSpan w:val="20"/>
          </w:tcPr>
          <w:p>
            <w:pPr>
              <w:spacing w:after="0"/>
              <w:rPr>
                <w:sz w:val="24"/>
                <w:szCs w:val="24"/>
                <w:color w:val="auto"/>
              </w:rPr>
            </w:pPr>
          </w:p>
        </w:tc>
        <w:tc>
          <w:tcPr>
            <w:tcW w:w="74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06/05/2018</w:t>
            </w:r>
          </w:p>
        </w:tc>
        <w:tc>
          <w:tcPr>
            <w:tcW w:w="2580" w:type="dxa"/>
            <w:vAlign w:val="bottom"/>
          </w:tcPr>
          <w:p>
            <w:pPr>
              <w:jc w:val="center"/>
              <w:ind w:right="1690"/>
              <w:spacing w:after="0"/>
              <w:rPr>
                <w:sz w:val="20"/>
                <w:szCs w:val="20"/>
                <w:color w:val="auto"/>
              </w:rPr>
            </w:pPr>
            <w:r>
              <w:rPr>
                <w:rFonts w:ascii="Arial" w:cs="Arial" w:eastAsia="Arial" w:hAnsi="Arial"/>
                <w:sz w:val="18"/>
                <w:szCs w:val="18"/>
                <w:color w:val="auto"/>
                <w:w w:val="88"/>
              </w:rPr>
              <w:t>001-</w:t>
            </w:r>
          </w:p>
        </w:tc>
      </w:tr>
      <w:tr>
        <w:trPr>
          <w:trHeight w:val="20"/>
        </w:trPr>
        <w:tc>
          <w:tcPr>
            <w:tcW w:w="8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20" w:type="dxa"/>
            <w:vAlign w:val="bottom"/>
            <w:gridSpan w:val="2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31">
              <w:r>
                <w:rPr>
                  <w:rFonts w:ascii="Arial" w:cs="Arial" w:eastAsia="Arial" w:hAnsi="Arial"/>
                  <w:sz w:val="18"/>
                  <w:szCs w:val="18"/>
                  <w:color w:val="0000EE"/>
                  <w:w w:val="90"/>
                </w:rPr>
                <w:t>Agreement, by and between the</w:t>
              </w:r>
            </w:hyperlink>
          </w:p>
        </w:tc>
        <w:tc>
          <w:tcPr>
            <w:tcW w:w="68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right"/>
              <w:ind w:right="1910"/>
              <w:spacing w:after="0" w:line="196" w:lineRule="exact"/>
              <w:rPr>
                <w:sz w:val="20"/>
                <w:szCs w:val="20"/>
                <w:color w:val="auto"/>
              </w:rPr>
            </w:pPr>
            <w:r>
              <w:rPr>
                <w:rFonts w:ascii="Arial" w:cs="Arial" w:eastAsia="Arial" w:hAnsi="Arial"/>
                <w:sz w:val="18"/>
                <w:szCs w:val="18"/>
                <w:color w:val="auto"/>
              </w:rPr>
              <w:t>37625</w:t>
            </w:r>
          </w:p>
        </w:tc>
      </w:tr>
      <w:tr>
        <w:trPr>
          <w:trHeight w:val="196"/>
        </w:trPr>
        <w:tc>
          <w:tcPr>
            <w:tcW w:w="820" w:type="dxa"/>
            <w:vAlign w:val="bottom"/>
          </w:tcPr>
          <w:p>
            <w:pPr>
              <w:spacing w:after="0"/>
              <w:rPr>
                <w:sz w:val="17"/>
                <w:szCs w:val="17"/>
                <w:color w:val="auto"/>
              </w:rPr>
            </w:pPr>
          </w:p>
        </w:tc>
        <w:tc>
          <w:tcPr>
            <w:tcW w:w="3000" w:type="dxa"/>
            <w:vAlign w:val="bottom"/>
            <w:gridSpan w:val="31"/>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Registrant and UP 64 Sidney Street,</w:t>
              </w:r>
            </w:hyperlink>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LLC, dated June 1, 2018</w:t>
              </w:r>
            </w:hyperlink>
          </w:p>
        </w:tc>
        <w:tc>
          <w:tcPr>
            <w:tcW w:w="4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040"/>
        </w:trPr>
        <w:tc>
          <w:tcPr>
            <w:tcW w:w="82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3" w:right="141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480" w:type="dxa"/>
            <w:vAlign w:val="bottom"/>
            <w:gridSpan w:val="29"/>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817"/>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10.20</w:t>
            </w:r>
          </w:p>
        </w:tc>
        <w:tc>
          <w:tcPr>
            <w:tcW w:w="2820" w:type="dxa"/>
            <w:vAlign w:val="bottom"/>
            <w:tcBorders>
              <w:bottom w:val="single" w:sz="8" w:color="0000EE"/>
            </w:tcBorders>
            <w:gridSpan w:val="29"/>
          </w:tcPr>
          <w:p>
            <w:pPr>
              <w:spacing w:after="0"/>
              <w:rPr>
                <w:rFonts w:ascii="Arial" w:cs="Arial" w:eastAsia="Arial" w:hAnsi="Arial"/>
                <w:sz w:val="18"/>
                <w:szCs w:val="18"/>
                <w:color w:val="0000EE"/>
                <w:w w:val="92"/>
              </w:rPr>
            </w:pPr>
            <w:hyperlink r:id="rId232">
              <w:r>
                <w:rPr>
                  <w:rFonts w:ascii="Arial" w:cs="Arial" w:eastAsia="Arial" w:hAnsi="Arial"/>
                  <w:sz w:val="18"/>
                  <w:szCs w:val="18"/>
                  <w:color w:val="0000EE"/>
                  <w:w w:val="92"/>
                </w:rPr>
                <w:t>Form of Indemnification Agreement to</w:t>
              </w:r>
            </w:hyperlink>
          </w:p>
        </w:tc>
        <w:tc>
          <w:tcPr>
            <w:tcW w:w="140" w:type="dxa"/>
            <w:vAlign w:val="bottom"/>
            <w:gridSpan w:val="2"/>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10/28/2015</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333-</w:t>
            </w:r>
          </w:p>
        </w:tc>
      </w:tr>
      <w:tr>
        <w:trPr>
          <w:trHeight w:val="196"/>
        </w:trPr>
        <w:tc>
          <w:tcPr>
            <w:tcW w:w="800" w:type="dxa"/>
            <w:vAlign w:val="bottom"/>
          </w:tcPr>
          <w:p>
            <w:pPr>
              <w:spacing w:after="0"/>
              <w:rPr>
                <w:sz w:val="17"/>
                <w:szCs w:val="17"/>
                <w:color w:val="auto"/>
              </w:rPr>
            </w:pPr>
          </w:p>
        </w:tc>
        <w:tc>
          <w:tcPr>
            <w:tcW w:w="27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232">
              <w:r>
                <w:rPr>
                  <w:rFonts w:ascii="Arial" w:cs="Arial" w:eastAsia="Arial" w:hAnsi="Arial"/>
                  <w:sz w:val="18"/>
                  <w:szCs w:val="18"/>
                  <w:color w:val="0000EE"/>
                  <w:w w:val="88"/>
                </w:rPr>
                <w:t>be entered into between the Registrant</w:t>
              </w:r>
            </w:hyperlink>
          </w:p>
        </w:tc>
        <w:tc>
          <w:tcPr>
            <w:tcW w:w="1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9"/>
              </w:rPr>
              <w:t>207367</w:t>
            </w: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and its directors</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58"/>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10.21</w:t>
            </w:r>
          </w:p>
        </w:tc>
        <w:tc>
          <w:tcPr>
            <w:tcW w:w="2820" w:type="dxa"/>
            <w:vAlign w:val="bottom"/>
            <w:tcBorders>
              <w:bottom w:val="single" w:sz="8" w:color="0000EE"/>
            </w:tcBorders>
            <w:gridSpan w:val="29"/>
          </w:tcPr>
          <w:p>
            <w:pPr>
              <w:spacing w:after="0"/>
              <w:rPr>
                <w:rFonts w:ascii="Arial" w:cs="Arial" w:eastAsia="Arial" w:hAnsi="Arial"/>
                <w:sz w:val="18"/>
                <w:szCs w:val="18"/>
                <w:color w:val="0000EE"/>
                <w:w w:val="92"/>
              </w:rPr>
            </w:pPr>
            <w:hyperlink r:id="rId233">
              <w:r>
                <w:rPr>
                  <w:rFonts w:ascii="Arial" w:cs="Arial" w:eastAsia="Arial" w:hAnsi="Arial"/>
                  <w:sz w:val="18"/>
                  <w:szCs w:val="18"/>
                  <w:color w:val="0000EE"/>
                  <w:w w:val="92"/>
                </w:rPr>
                <w:t>Form of Indemnification Agreement to</w:t>
              </w:r>
            </w:hyperlink>
          </w:p>
        </w:tc>
        <w:tc>
          <w:tcPr>
            <w:tcW w:w="140" w:type="dxa"/>
            <w:vAlign w:val="bottom"/>
            <w:gridSpan w:val="2"/>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10/28/2015</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333-</w:t>
            </w:r>
          </w:p>
        </w:tc>
      </w:tr>
      <w:tr>
        <w:trPr>
          <w:trHeight w:val="196"/>
        </w:trPr>
        <w:tc>
          <w:tcPr>
            <w:tcW w:w="800" w:type="dxa"/>
            <w:vAlign w:val="bottom"/>
          </w:tcPr>
          <w:p>
            <w:pPr>
              <w:spacing w:after="0"/>
              <w:rPr>
                <w:sz w:val="17"/>
                <w:szCs w:val="17"/>
                <w:color w:val="auto"/>
              </w:rPr>
            </w:pPr>
          </w:p>
        </w:tc>
        <w:tc>
          <w:tcPr>
            <w:tcW w:w="27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233">
              <w:r>
                <w:rPr>
                  <w:rFonts w:ascii="Arial" w:cs="Arial" w:eastAsia="Arial" w:hAnsi="Arial"/>
                  <w:sz w:val="18"/>
                  <w:szCs w:val="18"/>
                  <w:color w:val="0000EE"/>
                  <w:w w:val="88"/>
                </w:rPr>
                <w:t>be entered into between the Registrant</w:t>
              </w:r>
            </w:hyperlink>
          </w:p>
        </w:tc>
        <w:tc>
          <w:tcPr>
            <w:tcW w:w="1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9"/>
              </w:rPr>
              <w:t>207367</w:t>
            </w:r>
          </w:p>
        </w:tc>
      </w:tr>
      <w:tr>
        <w:trPr>
          <w:trHeight w:val="196"/>
        </w:trPr>
        <w:tc>
          <w:tcPr>
            <w:tcW w:w="80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and its executive officers</w:t>
              </w:r>
            </w:hyperlink>
          </w:p>
        </w:tc>
        <w:tc>
          <w:tcPr>
            <w:tcW w:w="1160" w:type="dxa"/>
            <w:vAlign w:val="bottom"/>
            <w:gridSpan w:val="25"/>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10.22#</w:t>
            </w:r>
          </w:p>
        </w:tc>
        <w:tc>
          <w:tcPr>
            <w:tcW w:w="2960" w:type="dxa"/>
            <w:vAlign w:val="bottom"/>
            <w:gridSpan w:val="31"/>
          </w:tcPr>
          <w:p>
            <w:pPr>
              <w:spacing w:after="0"/>
              <w:rPr>
                <w:rFonts w:ascii="Arial" w:cs="Arial" w:eastAsia="Arial" w:hAnsi="Arial"/>
                <w:sz w:val="18"/>
                <w:szCs w:val="18"/>
                <w:color w:val="0000EE"/>
                <w:w w:val="98"/>
              </w:rPr>
            </w:pPr>
            <w:hyperlink r:id="rId234">
              <w:r>
                <w:rPr>
                  <w:rFonts w:ascii="Arial" w:cs="Arial" w:eastAsia="Arial" w:hAnsi="Arial"/>
                  <w:sz w:val="18"/>
                  <w:szCs w:val="18"/>
                  <w:color w:val="0000EE"/>
                  <w:w w:val="98"/>
                </w:rPr>
                <w:t>2015 Employee Stock Purchase Plan</w:t>
              </w:r>
            </w:hyperlink>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10/28/2015</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333-</w:t>
            </w: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89"/>
              </w:rPr>
              <w:t>207367</w:t>
            </w:r>
          </w:p>
        </w:tc>
      </w:tr>
      <w:tr>
        <w:trPr>
          <w:trHeight w:val="378"/>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10.23#</w:t>
            </w:r>
          </w:p>
        </w:tc>
        <w:tc>
          <w:tcPr>
            <w:tcW w:w="2960" w:type="dxa"/>
            <w:vAlign w:val="bottom"/>
            <w:gridSpan w:val="31"/>
          </w:tcPr>
          <w:p>
            <w:pPr>
              <w:spacing w:after="0"/>
              <w:rPr>
                <w:rFonts w:ascii="Arial" w:cs="Arial" w:eastAsia="Arial" w:hAnsi="Arial"/>
                <w:sz w:val="18"/>
                <w:szCs w:val="18"/>
                <w:color w:val="0000EE"/>
              </w:rPr>
            </w:pPr>
            <w:hyperlink r:id="rId235">
              <w:r>
                <w:rPr>
                  <w:rFonts w:ascii="Arial" w:cs="Arial" w:eastAsia="Arial" w:hAnsi="Arial"/>
                  <w:sz w:val="18"/>
                  <w:szCs w:val="18"/>
                  <w:color w:val="0000EE"/>
                </w:rPr>
                <w:t>Amendment No. 1 to the 2015</w:t>
              </w:r>
            </w:hyperlink>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9"/>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03/14/2018</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Employee Stock Purchase Plan</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10.24#</w:t>
            </w:r>
          </w:p>
        </w:tc>
        <w:tc>
          <w:tcPr>
            <w:tcW w:w="2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r:id="rId236">
              <w:r>
                <w:rPr>
                  <w:rFonts w:ascii="Arial" w:cs="Arial" w:eastAsia="Arial" w:hAnsi="Arial"/>
                  <w:sz w:val="18"/>
                  <w:szCs w:val="18"/>
                  <w:color w:val="0000EE"/>
                  <w:w w:val="89"/>
                </w:rPr>
                <w:t>Retirement Agreement, by and</w:t>
              </w:r>
            </w:hyperlink>
          </w:p>
        </w:tc>
        <w:tc>
          <w:tcPr>
            <w:tcW w:w="20" w:type="dxa"/>
            <w:vAlign w:val="bottom"/>
            <w:tcBorders>
              <w:top w:val="single" w:sz="8" w:color="0000EE"/>
            </w:tcBorders>
          </w:tcPr>
          <w:p>
            <w:pPr>
              <w:spacing w:after="0"/>
              <w:rPr>
                <w:sz w:val="24"/>
                <w:szCs w:val="24"/>
                <w:color w:val="auto"/>
              </w:rPr>
            </w:pPr>
          </w:p>
        </w:tc>
        <w:tc>
          <w:tcPr>
            <w:tcW w:w="720" w:type="dxa"/>
            <w:vAlign w:val="bottom"/>
            <w:gridSpan w:val="20"/>
          </w:tcPr>
          <w:p>
            <w:pPr>
              <w:spacing w:after="0"/>
              <w:rPr>
                <w:sz w:val="24"/>
                <w:szCs w:val="24"/>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06/29/2018</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196"/>
        </w:trPr>
        <w:tc>
          <w:tcPr>
            <w:tcW w:w="800" w:type="dxa"/>
            <w:vAlign w:val="bottom"/>
          </w:tcPr>
          <w:p>
            <w:pPr>
              <w:spacing w:after="0"/>
              <w:rPr>
                <w:sz w:val="17"/>
                <w:szCs w:val="17"/>
                <w:color w:val="auto"/>
              </w:rPr>
            </w:pPr>
          </w:p>
        </w:tc>
        <w:tc>
          <w:tcPr>
            <w:tcW w:w="27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236">
              <w:r>
                <w:rPr>
                  <w:rFonts w:ascii="Arial" w:cs="Arial" w:eastAsia="Arial" w:hAnsi="Arial"/>
                  <w:sz w:val="18"/>
                  <w:szCs w:val="18"/>
                  <w:color w:val="0000EE"/>
                  <w:w w:val="89"/>
                </w:rPr>
                <w:t>between the Registrant and Steven M.</w:t>
              </w:r>
            </w:hyperlink>
          </w:p>
        </w:tc>
        <w:tc>
          <w:tcPr>
            <w:tcW w:w="20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236">
              <w:r>
                <w:rPr>
                  <w:rFonts w:ascii="Arial" w:cs="Arial" w:eastAsia="Arial" w:hAnsi="Arial"/>
                  <w:sz w:val="18"/>
                  <w:szCs w:val="18"/>
                  <w:color w:val="0000EE"/>
                  <w:w w:val="89"/>
                </w:rPr>
                <w:t>Paul, M.D., dated June 28, 2018</w:t>
              </w:r>
            </w:hyperlink>
          </w:p>
        </w:tc>
        <w:tc>
          <w:tcPr>
            <w:tcW w:w="640" w:type="dxa"/>
            <w:vAlign w:val="bottom"/>
            <w:gridSpan w:val="18"/>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10.25#</w:t>
            </w:r>
          </w:p>
        </w:tc>
        <w:tc>
          <w:tcPr>
            <w:tcW w:w="2960" w:type="dxa"/>
            <w:vAlign w:val="bottom"/>
            <w:gridSpan w:val="31"/>
          </w:tcPr>
          <w:p>
            <w:pPr>
              <w:spacing w:after="0"/>
              <w:rPr>
                <w:rFonts w:ascii="Arial" w:cs="Arial" w:eastAsia="Arial" w:hAnsi="Arial"/>
                <w:sz w:val="18"/>
                <w:szCs w:val="18"/>
                <w:color w:val="0000EE"/>
              </w:rPr>
            </w:pPr>
            <w:hyperlink r:id="rId237">
              <w:r>
                <w:rPr>
                  <w:rFonts w:ascii="Arial" w:cs="Arial" w:eastAsia="Arial" w:hAnsi="Arial"/>
                  <w:sz w:val="18"/>
                  <w:szCs w:val="18"/>
                  <w:color w:val="0000EE"/>
                </w:rPr>
                <w:t>Employment Agreement, by and</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06/29/2018</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237">
              <w:r>
                <w:rPr>
                  <w:rFonts w:ascii="Arial" w:cs="Arial" w:eastAsia="Arial" w:hAnsi="Arial"/>
                  <w:sz w:val="18"/>
                  <w:szCs w:val="18"/>
                  <w:color w:val="0000EE"/>
                  <w:w w:val="89"/>
                </w:rPr>
                <w:t>between the Registrant and G. Andre</w:t>
              </w:r>
            </w:hyperlink>
          </w:p>
        </w:tc>
        <w:tc>
          <w:tcPr>
            <w:tcW w:w="28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Turenne, dated June 28, 2018</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10.26#</w:t>
            </w:r>
          </w:p>
        </w:tc>
        <w:tc>
          <w:tcPr>
            <w:tcW w:w="2960" w:type="dxa"/>
            <w:vAlign w:val="bottom"/>
            <w:gridSpan w:val="31"/>
          </w:tcPr>
          <w:p>
            <w:pPr>
              <w:spacing w:after="0"/>
              <w:rPr>
                <w:rFonts w:ascii="Arial" w:cs="Arial" w:eastAsia="Arial" w:hAnsi="Arial"/>
                <w:sz w:val="18"/>
                <w:szCs w:val="18"/>
                <w:color w:val="0000EE"/>
              </w:rPr>
            </w:pPr>
            <w:hyperlink r:id="rId238">
              <w:r>
                <w:rPr>
                  <w:rFonts w:ascii="Arial" w:cs="Arial" w:eastAsia="Arial" w:hAnsi="Arial"/>
                  <w:sz w:val="18"/>
                  <w:szCs w:val="18"/>
                  <w:color w:val="0000EE"/>
                </w:rPr>
                <w:t>Employment Agreement, by and</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09/18/2017</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2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238">
              <w:r>
                <w:rPr>
                  <w:rFonts w:ascii="Arial" w:cs="Arial" w:eastAsia="Arial" w:hAnsi="Arial"/>
                  <w:sz w:val="18"/>
                  <w:szCs w:val="18"/>
                  <w:color w:val="0000EE"/>
                  <w:w w:val="88"/>
                </w:rPr>
                <w:t>between the Registrant and Matthew P.</w:t>
              </w:r>
            </w:hyperlink>
          </w:p>
        </w:tc>
        <w:tc>
          <w:tcPr>
            <w:tcW w:w="1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Ottmer, dated September 11, 2017</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10.27#</w:t>
            </w:r>
          </w:p>
        </w:tc>
        <w:tc>
          <w:tcPr>
            <w:tcW w:w="2460" w:type="dxa"/>
            <w:vAlign w:val="bottom"/>
            <w:tcBorders>
              <w:top w:val="single" w:sz="8" w:color="0000EE"/>
            </w:tcBorders>
            <w:gridSpan w:val="17"/>
          </w:tcPr>
          <w:p>
            <w:pPr>
              <w:spacing w:after="0"/>
              <w:rPr>
                <w:rFonts w:ascii="Arial" w:cs="Arial" w:eastAsia="Arial" w:hAnsi="Arial"/>
                <w:sz w:val="18"/>
                <w:szCs w:val="18"/>
                <w:color w:val="0000EE"/>
                <w:w w:val="94"/>
              </w:rPr>
            </w:pPr>
            <w:hyperlink r:id="rId239">
              <w:r>
                <w:rPr>
                  <w:rFonts w:ascii="Arial" w:cs="Arial" w:eastAsia="Arial" w:hAnsi="Arial"/>
                  <w:sz w:val="18"/>
                  <w:szCs w:val="18"/>
                  <w:color w:val="0000EE"/>
                  <w:w w:val="94"/>
                </w:rPr>
                <w:t>Employment Agreement, by and</w:t>
              </w:r>
            </w:hyperlink>
          </w:p>
        </w:tc>
        <w:tc>
          <w:tcPr>
            <w:tcW w:w="500" w:type="dxa"/>
            <w:vAlign w:val="bottom"/>
            <w:gridSpan w:val="14"/>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11/07/2018</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39">
              <w:r>
                <w:rPr>
                  <w:rFonts w:ascii="Arial" w:cs="Arial" w:eastAsia="Arial" w:hAnsi="Arial"/>
                  <w:sz w:val="18"/>
                  <w:szCs w:val="18"/>
                  <w:color w:val="0000EE"/>
                </w:rPr>
                <w:t>between the Registrant and Allison</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252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r:id="rId239">
              <w:r>
                <w:rPr>
                  <w:rFonts w:ascii="Arial" w:cs="Arial" w:eastAsia="Arial" w:hAnsi="Arial"/>
                  <w:sz w:val="18"/>
                  <w:szCs w:val="18"/>
                  <w:color w:val="0000EE"/>
                  <w:w w:val="96"/>
                </w:rPr>
                <w:t>Dorval, dated November 7, 2018</w:t>
              </w:r>
            </w:hyperlink>
          </w:p>
        </w:tc>
        <w:tc>
          <w:tcPr>
            <w:tcW w:w="44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10.28#</w:t>
            </w:r>
          </w:p>
        </w:tc>
        <w:tc>
          <w:tcPr>
            <w:tcW w:w="2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r:id="rId240">
              <w:r>
                <w:rPr>
                  <w:rFonts w:ascii="Arial" w:cs="Arial" w:eastAsia="Arial" w:hAnsi="Arial"/>
                  <w:sz w:val="18"/>
                  <w:szCs w:val="18"/>
                  <w:color w:val="0000EE"/>
                  <w:w w:val="89"/>
                </w:rPr>
                <w:t>Retirement Agreement, by and</w:t>
              </w:r>
            </w:hyperlink>
          </w:p>
        </w:tc>
        <w:tc>
          <w:tcPr>
            <w:tcW w:w="140" w:type="dxa"/>
            <w:vAlign w:val="bottom"/>
            <w:tcBorders>
              <w:top w:val="single" w:sz="8" w:color="0000EE"/>
            </w:tcBorders>
            <w:gridSpan w:val="5"/>
          </w:tcPr>
          <w:p>
            <w:pPr>
              <w:spacing w:after="0"/>
              <w:rPr>
                <w:sz w:val="24"/>
                <w:szCs w:val="24"/>
                <w:color w:val="auto"/>
              </w:rPr>
            </w:pPr>
          </w:p>
        </w:tc>
        <w:tc>
          <w:tcPr>
            <w:tcW w:w="600" w:type="dxa"/>
            <w:vAlign w:val="bottom"/>
            <w:gridSpan w:val="16"/>
          </w:tcPr>
          <w:p>
            <w:pPr>
              <w:spacing w:after="0"/>
              <w:rPr>
                <w:sz w:val="24"/>
                <w:szCs w:val="24"/>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05/21/2019</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196"/>
        </w:trPr>
        <w:tc>
          <w:tcPr>
            <w:tcW w:w="800" w:type="dxa"/>
            <w:vAlign w:val="bottom"/>
          </w:tcPr>
          <w:p>
            <w:pPr>
              <w:spacing w:after="0"/>
              <w:rPr>
                <w:sz w:val="17"/>
                <w:szCs w:val="17"/>
                <w:color w:val="auto"/>
              </w:rPr>
            </w:pPr>
          </w:p>
        </w:tc>
        <w:tc>
          <w:tcPr>
            <w:tcW w:w="280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r:id="rId240">
              <w:r>
                <w:rPr>
                  <w:rFonts w:ascii="Arial" w:cs="Arial" w:eastAsia="Arial" w:hAnsi="Arial"/>
                  <w:sz w:val="18"/>
                  <w:szCs w:val="18"/>
                  <w:color w:val="0000EE"/>
                  <w:w w:val="88"/>
                </w:rPr>
                <w:t>between the Registrant and Dinah Sah,</w:t>
              </w:r>
            </w:hyperlink>
          </w:p>
        </w:tc>
        <w:tc>
          <w:tcPr>
            <w:tcW w:w="16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240">
              <w:r>
                <w:rPr>
                  <w:rFonts w:ascii="Arial" w:cs="Arial" w:eastAsia="Arial" w:hAnsi="Arial"/>
                  <w:sz w:val="18"/>
                  <w:szCs w:val="18"/>
                  <w:color w:val="0000EE"/>
                  <w:w w:val="89"/>
                </w:rPr>
                <w:t>Ph.D., dated May 20, 2019</w:t>
              </w:r>
            </w:hyperlink>
          </w:p>
        </w:tc>
        <w:tc>
          <w:tcPr>
            <w:tcW w:w="1020" w:type="dxa"/>
            <w:vAlign w:val="bottom"/>
            <w:gridSpan w:val="24"/>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10.29#</w:t>
            </w:r>
          </w:p>
        </w:tc>
        <w:tc>
          <w:tcPr>
            <w:tcW w:w="2960" w:type="dxa"/>
            <w:vAlign w:val="bottom"/>
            <w:gridSpan w:val="31"/>
          </w:tcPr>
          <w:p>
            <w:pPr>
              <w:spacing w:after="0"/>
              <w:rPr>
                <w:rFonts w:ascii="Arial" w:cs="Arial" w:eastAsia="Arial" w:hAnsi="Arial"/>
                <w:sz w:val="18"/>
                <w:szCs w:val="18"/>
                <w:color w:val="0000EE"/>
              </w:rPr>
            </w:pPr>
            <w:hyperlink r:id="rId241">
              <w:r>
                <w:rPr>
                  <w:rFonts w:ascii="Arial" w:cs="Arial" w:eastAsia="Arial" w:hAnsi="Arial"/>
                  <w:sz w:val="18"/>
                  <w:szCs w:val="18"/>
                  <w:color w:val="0000EE"/>
                </w:rPr>
                <w:t>Employment Agreement, by and</w:t>
              </w:r>
            </w:hyperlink>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08/09/2019</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between the Registrant and Omar</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Khwaja, M.D., Ph.D., dated May 20,</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41">
              <w:r>
                <w:rPr>
                  <w:rFonts w:ascii="Arial" w:cs="Arial" w:eastAsia="Arial" w:hAnsi="Arial"/>
                  <w:sz w:val="18"/>
                  <w:szCs w:val="18"/>
                  <w:color w:val="0000EE"/>
                  <w:w w:val="84"/>
                </w:rPr>
                <w:t>2019</w:t>
              </w:r>
            </w:hyperlink>
          </w:p>
        </w:tc>
        <w:tc>
          <w:tcPr>
            <w:tcW w:w="1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10.30#</w:t>
            </w:r>
          </w:p>
        </w:tc>
        <w:tc>
          <w:tcPr>
            <w:tcW w:w="2960" w:type="dxa"/>
            <w:vAlign w:val="bottom"/>
            <w:gridSpan w:val="31"/>
          </w:tcPr>
          <w:p>
            <w:pPr>
              <w:spacing w:after="0"/>
              <w:rPr>
                <w:rFonts w:ascii="Arial" w:cs="Arial" w:eastAsia="Arial" w:hAnsi="Arial"/>
                <w:sz w:val="18"/>
                <w:szCs w:val="18"/>
                <w:color w:val="0000EE"/>
              </w:rPr>
            </w:pPr>
            <w:hyperlink r:id="rId242">
              <w:r>
                <w:rPr>
                  <w:rFonts w:ascii="Arial" w:cs="Arial" w:eastAsia="Arial" w:hAnsi="Arial"/>
                  <w:sz w:val="18"/>
                  <w:szCs w:val="18"/>
                  <w:color w:val="0000EE"/>
                </w:rPr>
                <w:t>Employment Agreement, by and</w:t>
              </w:r>
            </w:hyperlink>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05/07/2019</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20"/>
        </w:trPr>
        <w:tc>
          <w:tcPr>
            <w:tcW w:w="8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242">
              <w:r>
                <w:rPr>
                  <w:rFonts w:ascii="Arial" w:cs="Arial" w:eastAsia="Arial" w:hAnsi="Arial"/>
                  <w:sz w:val="18"/>
                  <w:szCs w:val="18"/>
                  <w:color w:val="0000EE"/>
                  <w:w w:val="88"/>
                </w:rPr>
                <w:t>between the Registrant and Robert W.</w:t>
              </w:r>
            </w:hyperlink>
          </w:p>
        </w:tc>
        <w:tc>
          <w:tcPr>
            <w:tcW w:w="22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r:id="rId242">
              <w:r>
                <w:rPr>
                  <w:rFonts w:ascii="Arial" w:cs="Arial" w:eastAsia="Arial" w:hAnsi="Arial"/>
                  <w:sz w:val="18"/>
                  <w:szCs w:val="18"/>
                  <w:color w:val="0000EE"/>
                  <w:w w:val="87"/>
                </w:rPr>
                <w:t>Hesslein, dated January 15, 2019</w:t>
              </w:r>
            </w:hyperlink>
          </w:p>
        </w:tc>
        <w:tc>
          <w:tcPr>
            <w:tcW w:w="56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10.31#</w:t>
            </w:r>
          </w:p>
        </w:tc>
        <w:tc>
          <w:tcPr>
            <w:tcW w:w="2860" w:type="dxa"/>
            <w:vAlign w:val="bottom"/>
            <w:tcBorders>
              <w:bottom w:val="single" w:sz="8" w:color="0000EE"/>
            </w:tcBorders>
            <w:gridSpan w:val="30"/>
          </w:tcPr>
          <w:p>
            <w:pPr>
              <w:spacing w:after="0"/>
              <w:rPr>
                <w:rFonts w:ascii="Arial" w:cs="Arial" w:eastAsia="Arial" w:hAnsi="Arial"/>
                <w:sz w:val="18"/>
                <w:szCs w:val="18"/>
                <w:color w:val="0000EE"/>
                <w:w w:val="90"/>
              </w:rPr>
            </w:pPr>
            <w:hyperlink r:id="rId243">
              <w:r>
                <w:rPr>
                  <w:rFonts w:ascii="Arial" w:cs="Arial" w:eastAsia="Arial" w:hAnsi="Arial"/>
                  <w:sz w:val="18"/>
                  <w:szCs w:val="18"/>
                  <w:color w:val="0000EE"/>
                  <w:w w:val="90"/>
                </w:rPr>
                <w:t>Consulting Agreement, by and between</w:t>
              </w:r>
            </w:hyperlink>
          </w:p>
        </w:tc>
        <w:tc>
          <w:tcPr>
            <w:tcW w:w="100" w:type="dxa"/>
            <w:vAlign w:val="bottom"/>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08/07/2018</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the Registrant and Steven M. Paul,</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2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M.D., dated August 2, 2018</w:t>
              </w:r>
            </w:hyperlink>
          </w:p>
        </w:tc>
        <w:tc>
          <w:tcPr>
            <w:tcW w:w="460" w:type="dxa"/>
            <w:vAlign w:val="bottom"/>
            <w:gridSpan w:val="13"/>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10.32#</w:t>
            </w:r>
          </w:p>
        </w:tc>
        <w:tc>
          <w:tcPr>
            <w:tcW w:w="2620" w:type="dxa"/>
            <w:vAlign w:val="bottom"/>
            <w:tcBorders>
              <w:bottom w:val="single" w:sz="8" w:color="0000EE"/>
            </w:tcBorders>
            <w:gridSpan w:val="20"/>
          </w:tcPr>
          <w:p>
            <w:pPr>
              <w:spacing w:after="0"/>
              <w:rPr>
                <w:rFonts w:ascii="Arial" w:cs="Arial" w:eastAsia="Arial" w:hAnsi="Arial"/>
                <w:sz w:val="18"/>
                <w:szCs w:val="18"/>
                <w:color w:val="0000EE"/>
                <w:w w:val="91"/>
              </w:rPr>
            </w:pPr>
            <w:hyperlink r:id="rId244">
              <w:r>
                <w:rPr>
                  <w:rFonts w:ascii="Arial" w:cs="Arial" w:eastAsia="Arial" w:hAnsi="Arial"/>
                  <w:sz w:val="18"/>
                  <w:szCs w:val="18"/>
                  <w:color w:val="0000EE"/>
                  <w:w w:val="91"/>
                </w:rPr>
                <w:t>Amendment No. 1 to the Consulting</w:t>
              </w:r>
            </w:hyperlink>
          </w:p>
        </w:tc>
        <w:tc>
          <w:tcPr>
            <w:tcW w:w="340" w:type="dxa"/>
            <w:vAlign w:val="bottom"/>
            <w:gridSpan w:val="11"/>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11/06/2019</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Agreement, by and between the</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20"/>
        </w:trPr>
        <w:tc>
          <w:tcPr>
            <w:tcW w:w="8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w w:val="98"/>
              </w:rPr>
            </w:pPr>
            <w:hyperlink r:id="rId244">
              <w:r>
                <w:rPr>
                  <w:rFonts w:ascii="Arial" w:cs="Arial" w:eastAsia="Arial" w:hAnsi="Arial"/>
                  <w:sz w:val="18"/>
                  <w:szCs w:val="18"/>
                  <w:color w:val="0000EE"/>
                  <w:w w:val="98"/>
                </w:rPr>
                <w:t>Registrant and Steven M. Paul, M.D.,</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244">
              <w:r>
                <w:rPr>
                  <w:rFonts w:ascii="Arial" w:cs="Arial" w:eastAsia="Arial" w:hAnsi="Arial"/>
                  <w:sz w:val="18"/>
                  <w:szCs w:val="18"/>
                  <w:color w:val="0000EE"/>
                  <w:w w:val="88"/>
                </w:rPr>
                <w:t>dated July 9, 2019</w:t>
              </w:r>
            </w:hyperlink>
          </w:p>
        </w:tc>
        <w:tc>
          <w:tcPr>
            <w:tcW w:w="1380" w:type="dxa"/>
            <w:vAlign w:val="bottom"/>
            <w:tcBorders>
              <w:top w:val="single" w:sz="8" w:color="0000EE"/>
            </w:tcBorders>
            <w:gridSpan w:val="20"/>
          </w:tcPr>
          <w:p>
            <w:pPr>
              <w:spacing w:after="0"/>
              <w:rPr>
                <w:sz w:val="17"/>
                <w:szCs w:val="17"/>
                <w:color w:val="auto"/>
              </w:rPr>
            </w:pPr>
          </w:p>
        </w:tc>
        <w:tc>
          <w:tcPr>
            <w:tcW w:w="26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9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10.33#</w:t>
            </w:r>
          </w:p>
        </w:tc>
        <w:tc>
          <w:tcPr>
            <w:tcW w:w="2860" w:type="dxa"/>
            <w:vAlign w:val="bottom"/>
            <w:tcBorders>
              <w:bottom w:val="single" w:sz="8" w:color="0000EE"/>
            </w:tcBorders>
            <w:gridSpan w:val="30"/>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Consulting Agreement, by and between</w:t>
              </w:r>
            </w:hyperlink>
          </w:p>
        </w:tc>
        <w:tc>
          <w:tcPr>
            <w:tcW w:w="100" w:type="dxa"/>
            <w:vAlign w:val="bottom"/>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08/09/2019</w:t>
            </w:r>
          </w:p>
        </w:tc>
        <w:tc>
          <w:tcPr>
            <w:tcW w:w="2580" w:type="dxa"/>
            <w:vAlign w:val="bottom"/>
          </w:tcPr>
          <w:p>
            <w:pPr>
              <w:jc w:val="center"/>
              <w:ind w:right="1670"/>
              <w:spacing w:after="0"/>
              <w:rPr>
                <w:sz w:val="20"/>
                <w:szCs w:val="20"/>
                <w:color w:val="auto"/>
              </w:rPr>
            </w:pPr>
            <w:r>
              <w:rPr>
                <w:rFonts w:ascii="Arial" w:cs="Arial" w:eastAsia="Arial" w:hAnsi="Arial"/>
                <w:sz w:val="18"/>
                <w:szCs w:val="18"/>
                <w:color w:val="auto"/>
                <w:w w:val="94"/>
              </w:rPr>
              <w:t>001-</w:t>
            </w:r>
          </w:p>
        </w:tc>
      </w:tr>
      <w:tr>
        <w:trPr>
          <w:trHeight w:val="196"/>
        </w:trPr>
        <w:tc>
          <w:tcPr>
            <w:tcW w:w="800" w:type="dxa"/>
            <w:vAlign w:val="bottom"/>
          </w:tcPr>
          <w:p>
            <w:pPr>
              <w:spacing w:after="0"/>
              <w:rPr>
                <w:sz w:val="17"/>
                <w:szCs w:val="17"/>
                <w:color w:val="auto"/>
              </w:rPr>
            </w:pPr>
          </w:p>
        </w:tc>
        <w:tc>
          <w:tcPr>
            <w:tcW w:w="26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245">
              <w:r>
                <w:rPr>
                  <w:rFonts w:ascii="Arial" w:cs="Arial" w:eastAsia="Arial" w:hAnsi="Arial"/>
                  <w:sz w:val="18"/>
                  <w:szCs w:val="18"/>
                  <w:color w:val="0000EE"/>
                  <w:w w:val="89"/>
                </w:rPr>
                <w:t>the Registrant and Dinah Sah, Ph.D.,</w:t>
              </w:r>
            </w:hyperlink>
          </w:p>
        </w:tc>
        <w:tc>
          <w:tcPr>
            <w:tcW w:w="30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91"/>
              </w:rPr>
              <w:t>37625</w:t>
            </w:r>
          </w:p>
        </w:tc>
      </w:tr>
      <w:tr>
        <w:trPr>
          <w:trHeight w:val="196"/>
        </w:trPr>
        <w:tc>
          <w:tcPr>
            <w:tcW w:w="800" w:type="dxa"/>
            <w:vAlign w:val="bottom"/>
          </w:tcPr>
          <w:p>
            <w:pPr>
              <w:spacing w:after="0"/>
              <w:rPr>
                <w:sz w:val="17"/>
                <w:szCs w:val="17"/>
                <w:color w:val="auto"/>
              </w:rPr>
            </w:pPr>
          </w:p>
        </w:tc>
        <w:tc>
          <w:tcPr>
            <w:tcW w:w="2960" w:type="dxa"/>
            <w:vAlign w:val="bottom"/>
            <w:gridSpan w:val="31"/>
          </w:tcPr>
          <w:p>
            <w:pPr>
              <w:spacing w:after="0" w:line="196" w:lineRule="exact"/>
              <w:rPr>
                <w:rFonts w:ascii="Arial" w:cs="Arial" w:eastAsia="Arial" w:hAnsi="Arial"/>
                <w:sz w:val="18"/>
                <w:szCs w:val="18"/>
                <w:color w:val="0000EE"/>
              </w:rPr>
            </w:pPr>
            <w:hyperlink r:id="rId245">
              <w:r>
                <w:rPr>
                  <w:rFonts w:ascii="Arial" w:cs="Arial" w:eastAsia="Arial" w:hAnsi="Arial"/>
                  <w:sz w:val="18"/>
                  <w:szCs w:val="18"/>
                  <w:color w:val="0000EE"/>
                </w:rPr>
                <w:t>dated June 28, 2019</w:t>
              </w:r>
            </w:hyperlink>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838"/>
        </w:trPr>
        <w:tc>
          <w:tcPr>
            <w:tcW w:w="80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3" w:right="141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10.34#</w:t>
            </w:r>
          </w:p>
        </w:tc>
        <w:tc>
          <w:tcPr>
            <w:tcW w:w="2620" w:type="dxa"/>
            <w:vAlign w:val="bottom"/>
            <w:tcBorders>
              <w:bottom w:val="single" w:sz="8" w:color="0000EE"/>
            </w:tcBorders>
            <w:gridSpan w:val="19"/>
          </w:tcPr>
          <w:p>
            <w:pPr>
              <w:spacing w:after="0"/>
              <w:rPr>
                <w:rFonts w:ascii="Arial" w:cs="Arial" w:eastAsia="Arial" w:hAnsi="Arial"/>
                <w:sz w:val="18"/>
                <w:szCs w:val="18"/>
                <w:color w:val="0000EE"/>
                <w:w w:val="91"/>
              </w:rPr>
            </w:pPr>
            <w:hyperlink r:id="rId246">
              <w:r>
                <w:rPr>
                  <w:rFonts w:ascii="Arial" w:cs="Arial" w:eastAsia="Arial" w:hAnsi="Arial"/>
                  <w:sz w:val="18"/>
                  <w:szCs w:val="18"/>
                  <w:color w:val="0000EE"/>
                  <w:w w:val="91"/>
                </w:rPr>
                <w:t>Amendment No. 1 to the Consulting</w:t>
              </w:r>
            </w:hyperlink>
          </w:p>
        </w:tc>
        <w:tc>
          <w:tcPr>
            <w:tcW w:w="340" w:type="dxa"/>
            <w:vAlign w:val="bottom"/>
            <w:gridSpan w:val="8"/>
          </w:tcPr>
          <w:p>
            <w:pPr>
              <w:spacing w:after="0"/>
              <w:rPr>
                <w:sz w:val="17"/>
                <w:szCs w:val="17"/>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11/06/2019</w:t>
            </w:r>
          </w:p>
        </w:tc>
        <w:tc>
          <w:tcPr>
            <w:tcW w:w="2560" w:type="dxa"/>
            <w:vAlign w:val="bottom"/>
          </w:tcPr>
          <w:p>
            <w:pPr>
              <w:jc w:val="center"/>
              <w:ind w:right="1670"/>
              <w:spacing w:after="0"/>
              <w:rPr>
                <w:sz w:val="20"/>
                <w:szCs w:val="20"/>
                <w:color w:val="auto"/>
              </w:rPr>
            </w:pPr>
            <w:r>
              <w:rPr>
                <w:rFonts w:ascii="Arial" w:cs="Arial" w:eastAsia="Arial" w:hAnsi="Arial"/>
                <w:sz w:val="18"/>
                <w:szCs w:val="18"/>
                <w:color w:val="auto"/>
                <w:w w:val="88"/>
              </w:rPr>
              <w:t>001-</w:t>
            </w:r>
          </w:p>
        </w:tc>
      </w:tr>
      <w:tr>
        <w:trPr>
          <w:trHeight w:val="196"/>
        </w:trPr>
        <w:tc>
          <w:tcPr>
            <w:tcW w:w="840" w:type="dxa"/>
            <w:vAlign w:val="bottom"/>
          </w:tcPr>
          <w:p>
            <w:pPr>
              <w:spacing w:after="0"/>
              <w:rPr>
                <w:sz w:val="17"/>
                <w:szCs w:val="17"/>
                <w:color w:val="auto"/>
              </w:rPr>
            </w:pPr>
          </w:p>
        </w:tc>
        <w:tc>
          <w:tcPr>
            <w:tcW w:w="2960" w:type="dxa"/>
            <w:vAlign w:val="bottom"/>
            <w:gridSpan w:val="27"/>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Agreement, by and between the</w:t>
              </w:r>
            </w:hyperlink>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7"/>
              </w:rPr>
              <w:t>37625</w:t>
            </w: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960" w:type="dxa"/>
            <w:vAlign w:val="bottom"/>
            <w:gridSpan w:val="27"/>
          </w:tcPr>
          <w:p>
            <w:pPr>
              <w:spacing w:after="0" w:line="196" w:lineRule="exact"/>
              <w:rPr>
                <w:rFonts w:ascii="Arial" w:cs="Arial" w:eastAsia="Arial" w:hAnsi="Arial"/>
                <w:sz w:val="18"/>
                <w:szCs w:val="18"/>
                <w:color w:val="0000EE"/>
                <w:w w:val="92"/>
              </w:rPr>
            </w:pPr>
            <w:hyperlink r:id="rId246">
              <w:r>
                <w:rPr>
                  <w:rFonts w:ascii="Arial" w:cs="Arial" w:eastAsia="Arial" w:hAnsi="Arial"/>
                  <w:sz w:val="18"/>
                  <w:szCs w:val="18"/>
                  <w:color w:val="0000EE"/>
                  <w:w w:val="92"/>
                </w:rPr>
                <w:t>Registrant and Dinah Sah, Ph.D., dated</w:t>
              </w:r>
            </w:hyperlink>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September 16, 2019</w:t>
              </w:r>
            </w:hyperlink>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99"/>
        </w:trPr>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10.35#</w:t>
            </w:r>
          </w:p>
        </w:tc>
        <w:tc>
          <w:tcPr>
            <w:tcW w:w="2680" w:type="dxa"/>
            <w:vAlign w:val="bottom"/>
            <w:tcBorders>
              <w:bottom w:val="single" w:sz="8" w:color="0000EE"/>
            </w:tcBorders>
            <w:gridSpan w:val="21"/>
          </w:tcPr>
          <w:p>
            <w:pPr>
              <w:spacing w:after="0"/>
              <w:rPr>
                <w:rFonts w:ascii="Arial" w:cs="Arial" w:eastAsia="Arial" w:hAnsi="Arial"/>
                <w:sz w:val="18"/>
                <w:szCs w:val="18"/>
                <w:color w:val="0000EE"/>
                <w:w w:val="93"/>
              </w:rPr>
            </w:pPr>
            <w:hyperlink r:id="rId247">
              <w:r>
                <w:rPr>
                  <w:rFonts w:ascii="Arial" w:cs="Arial" w:eastAsia="Arial" w:hAnsi="Arial"/>
                  <w:sz w:val="18"/>
                  <w:szCs w:val="18"/>
                  <w:color w:val="0000EE"/>
                  <w:w w:val="93"/>
                </w:rPr>
                <w:t>Form of Non-Qualified Stock Option</w:t>
              </w:r>
            </w:hyperlink>
          </w:p>
        </w:tc>
        <w:tc>
          <w:tcPr>
            <w:tcW w:w="280" w:type="dxa"/>
            <w:vAlign w:val="bottom"/>
            <w:gridSpan w:val="6"/>
          </w:tcPr>
          <w:p>
            <w:pPr>
              <w:spacing w:after="0"/>
              <w:rPr>
                <w:sz w:val="24"/>
                <w:szCs w:val="24"/>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02/26/2019</w:t>
            </w:r>
          </w:p>
        </w:tc>
        <w:tc>
          <w:tcPr>
            <w:tcW w:w="2560" w:type="dxa"/>
            <w:vAlign w:val="bottom"/>
          </w:tcPr>
          <w:p>
            <w:pPr>
              <w:jc w:val="center"/>
              <w:ind w:right="1670"/>
              <w:spacing w:after="0"/>
              <w:rPr>
                <w:sz w:val="20"/>
                <w:szCs w:val="20"/>
                <w:color w:val="auto"/>
              </w:rPr>
            </w:pPr>
            <w:r>
              <w:rPr>
                <w:rFonts w:ascii="Arial" w:cs="Arial" w:eastAsia="Arial" w:hAnsi="Arial"/>
                <w:sz w:val="18"/>
                <w:szCs w:val="18"/>
                <w:color w:val="auto"/>
                <w:w w:val="88"/>
              </w:rPr>
              <w:t>001-</w:t>
            </w:r>
          </w:p>
        </w:tc>
      </w:tr>
      <w:tr>
        <w:trPr>
          <w:trHeight w:val="196"/>
        </w:trPr>
        <w:tc>
          <w:tcPr>
            <w:tcW w:w="840" w:type="dxa"/>
            <w:vAlign w:val="bottom"/>
          </w:tcPr>
          <w:p>
            <w:pPr>
              <w:spacing w:after="0"/>
              <w:rPr>
                <w:sz w:val="17"/>
                <w:szCs w:val="17"/>
                <w:color w:val="auto"/>
              </w:rPr>
            </w:pPr>
          </w:p>
        </w:tc>
        <w:tc>
          <w:tcPr>
            <w:tcW w:w="2960" w:type="dxa"/>
            <w:vAlign w:val="bottom"/>
            <w:gridSpan w:val="27"/>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Agreement for Inducement</w:t>
              </w:r>
            </w:hyperlink>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7"/>
              </w:rPr>
              <w:t>37625</w:t>
            </w: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99"/>
        </w:trPr>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10.36#</w:t>
            </w:r>
          </w:p>
        </w:tc>
        <w:tc>
          <w:tcPr>
            <w:tcW w:w="2180" w:type="dxa"/>
            <w:vAlign w:val="bottom"/>
            <w:tcBorders>
              <w:bottom w:val="single" w:sz="8" w:color="0000EE"/>
            </w:tcBorders>
            <w:gridSpan w:val="9"/>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Form of Restricted Stock Unit</w:t>
              </w:r>
            </w:hyperlink>
          </w:p>
        </w:tc>
        <w:tc>
          <w:tcPr>
            <w:tcW w:w="780" w:type="dxa"/>
            <w:vAlign w:val="bottom"/>
            <w:gridSpan w:val="18"/>
          </w:tcPr>
          <w:p>
            <w:pPr>
              <w:spacing w:after="0"/>
              <w:rPr>
                <w:sz w:val="24"/>
                <w:szCs w:val="24"/>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10.33</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02/26/2019</w:t>
            </w:r>
          </w:p>
        </w:tc>
        <w:tc>
          <w:tcPr>
            <w:tcW w:w="2560" w:type="dxa"/>
            <w:vAlign w:val="bottom"/>
          </w:tcPr>
          <w:p>
            <w:pPr>
              <w:jc w:val="center"/>
              <w:ind w:right="1670"/>
              <w:spacing w:after="0"/>
              <w:rPr>
                <w:sz w:val="20"/>
                <w:szCs w:val="20"/>
                <w:color w:val="auto"/>
              </w:rPr>
            </w:pPr>
            <w:r>
              <w:rPr>
                <w:rFonts w:ascii="Arial" w:cs="Arial" w:eastAsia="Arial" w:hAnsi="Arial"/>
                <w:sz w:val="18"/>
                <w:szCs w:val="18"/>
                <w:color w:val="auto"/>
                <w:w w:val="88"/>
              </w:rPr>
              <w:t>001-</w:t>
            </w:r>
          </w:p>
        </w:tc>
      </w:tr>
      <w:tr>
        <w:trPr>
          <w:trHeight w:val="196"/>
        </w:trPr>
        <w:tc>
          <w:tcPr>
            <w:tcW w:w="84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248">
              <w:r>
                <w:rPr>
                  <w:rFonts w:ascii="Arial" w:cs="Arial" w:eastAsia="Arial" w:hAnsi="Arial"/>
                  <w:sz w:val="18"/>
                  <w:szCs w:val="18"/>
                  <w:color w:val="0000EE"/>
                  <w:w w:val="89"/>
                </w:rPr>
                <w:t>Agreement and Inducement Grant</w:t>
              </w:r>
            </w:hyperlink>
          </w:p>
        </w:tc>
        <w:tc>
          <w:tcPr>
            <w:tcW w:w="50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7"/>
              </w:rPr>
              <w:t>37625</w:t>
            </w:r>
          </w:p>
        </w:tc>
      </w:tr>
      <w:tr>
        <w:trPr>
          <w:trHeight w:val="399"/>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10.37</w:t>
            </w:r>
          </w:p>
        </w:tc>
        <w:tc>
          <w:tcPr>
            <w:tcW w:w="2960" w:type="dxa"/>
            <w:vAlign w:val="bottom"/>
            <w:gridSpan w:val="27"/>
          </w:tcPr>
          <w:p>
            <w:pPr>
              <w:spacing w:after="0"/>
              <w:rPr>
                <w:rFonts w:ascii="Arial" w:cs="Arial" w:eastAsia="Arial" w:hAnsi="Arial"/>
                <w:sz w:val="18"/>
                <w:szCs w:val="18"/>
                <w:color w:val="0000EE"/>
              </w:rPr>
            </w:pPr>
            <w:hyperlink r:id="rId249">
              <w:r>
                <w:rPr>
                  <w:rFonts w:ascii="Arial" w:cs="Arial" w:eastAsia="Arial" w:hAnsi="Arial"/>
                  <w:sz w:val="18"/>
                  <w:szCs w:val="18"/>
                  <w:color w:val="0000EE"/>
                </w:rPr>
                <w:t>Transition, Separation, and Release</w:t>
              </w:r>
            </w:hyperlink>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02/14/2020</w:t>
            </w:r>
          </w:p>
        </w:tc>
        <w:tc>
          <w:tcPr>
            <w:tcW w:w="2560" w:type="dxa"/>
            <w:vAlign w:val="bottom"/>
          </w:tcPr>
          <w:p>
            <w:pPr>
              <w:jc w:val="center"/>
              <w:ind w:right="1670"/>
              <w:spacing w:after="0"/>
              <w:rPr>
                <w:sz w:val="20"/>
                <w:szCs w:val="20"/>
                <w:color w:val="auto"/>
              </w:rPr>
            </w:pPr>
            <w:r>
              <w:rPr>
                <w:rFonts w:ascii="Arial" w:cs="Arial" w:eastAsia="Arial" w:hAnsi="Arial"/>
                <w:sz w:val="18"/>
                <w:szCs w:val="18"/>
                <w:color w:val="auto"/>
                <w:w w:val="88"/>
              </w:rPr>
              <w:t>001-</w:t>
            </w:r>
          </w:p>
        </w:tc>
      </w:tr>
      <w:tr>
        <w:trPr>
          <w:trHeight w:val="196"/>
        </w:trPr>
        <w:tc>
          <w:tcPr>
            <w:tcW w:w="840" w:type="dxa"/>
            <w:vAlign w:val="bottom"/>
          </w:tcPr>
          <w:p>
            <w:pPr>
              <w:spacing w:after="0"/>
              <w:rPr>
                <w:sz w:val="17"/>
                <w:szCs w:val="17"/>
                <w:color w:val="auto"/>
              </w:rPr>
            </w:pPr>
          </w:p>
        </w:tc>
        <w:tc>
          <w:tcPr>
            <w:tcW w:w="2540" w:type="dxa"/>
            <w:vAlign w:val="bottom"/>
            <w:tcBorders>
              <w:top w:val="single" w:sz="8" w:color="0000EE"/>
            </w:tcBorders>
            <w:gridSpan w:val="17"/>
          </w:tcPr>
          <w:p>
            <w:pPr>
              <w:spacing w:after="0" w:line="196" w:lineRule="exact"/>
              <w:rPr>
                <w:rFonts w:ascii="Arial" w:cs="Arial" w:eastAsia="Arial" w:hAnsi="Arial"/>
                <w:sz w:val="18"/>
                <w:szCs w:val="18"/>
                <w:color w:val="0000EE"/>
                <w:w w:val="98"/>
              </w:rPr>
            </w:pPr>
            <w:hyperlink r:id="rId249">
              <w:r>
                <w:rPr>
                  <w:rFonts w:ascii="Arial" w:cs="Arial" w:eastAsia="Arial" w:hAnsi="Arial"/>
                  <w:sz w:val="18"/>
                  <w:szCs w:val="18"/>
                  <w:color w:val="0000EE"/>
                  <w:w w:val="98"/>
                </w:rPr>
                <w:t>Agreement, by and between the</w:t>
              </w:r>
            </w:hyperlink>
          </w:p>
        </w:tc>
        <w:tc>
          <w:tcPr>
            <w:tcW w:w="42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7"/>
              </w:rPr>
              <w:t>37625</w:t>
            </w: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249">
              <w:r>
                <w:rPr>
                  <w:rFonts w:ascii="Arial" w:cs="Arial" w:eastAsia="Arial" w:hAnsi="Arial"/>
                  <w:sz w:val="18"/>
                  <w:szCs w:val="18"/>
                  <w:color w:val="0000EE"/>
                  <w:w w:val="89"/>
                </w:rPr>
                <w:t>Registrant and Matthew P. Ottmer,</w:t>
              </w:r>
            </w:hyperlink>
          </w:p>
        </w:tc>
        <w:tc>
          <w:tcPr>
            <w:tcW w:w="46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249">
              <w:r>
                <w:rPr>
                  <w:rFonts w:ascii="Arial" w:cs="Arial" w:eastAsia="Arial" w:hAnsi="Arial"/>
                  <w:sz w:val="18"/>
                  <w:szCs w:val="18"/>
                  <w:color w:val="0000EE"/>
                  <w:w w:val="88"/>
                </w:rPr>
                <w:t>dated February 12, 2020</w:t>
              </w:r>
            </w:hyperlink>
          </w:p>
        </w:tc>
        <w:tc>
          <w:tcPr>
            <w:tcW w:w="120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399"/>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10.38</w:t>
            </w:r>
          </w:p>
        </w:tc>
        <w:tc>
          <w:tcPr>
            <w:tcW w:w="2720" w:type="dxa"/>
            <w:vAlign w:val="bottom"/>
            <w:tcBorders>
              <w:bottom w:val="single" w:sz="8" w:color="0000EE"/>
            </w:tcBorders>
            <w:gridSpan w:val="23"/>
          </w:tcPr>
          <w:p>
            <w:pPr>
              <w:spacing w:after="0"/>
              <w:rPr>
                <w:rFonts w:ascii="Arial" w:cs="Arial" w:eastAsia="Arial" w:hAnsi="Arial"/>
                <w:sz w:val="18"/>
                <w:szCs w:val="18"/>
                <w:color w:val="0000EE"/>
                <w:w w:val="88"/>
              </w:rPr>
            </w:pPr>
            <w:hyperlink r:id="rId250">
              <w:r>
                <w:rPr>
                  <w:rFonts w:ascii="Arial" w:cs="Arial" w:eastAsia="Arial" w:hAnsi="Arial"/>
                  <w:sz w:val="18"/>
                  <w:szCs w:val="18"/>
                  <w:color w:val="0000EE"/>
                  <w:w w:val="88"/>
                </w:rPr>
                <w:t>Sales Agreement, by and between the</w:t>
              </w:r>
            </w:hyperlink>
          </w:p>
        </w:tc>
        <w:tc>
          <w:tcPr>
            <w:tcW w:w="240" w:type="dxa"/>
            <w:vAlign w:val="bottom"/>
            <w:gridSpan w:val="4"/>
          </w:tcPr>
          <w:p>
            <w:pPr>
              <w:spacing w:after="0"/>
              <w:rPr>
                <w:sz w:val="24"/>
                <w:szCs w:val="24"/>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85"/>
              </w:rPr>
              <w:t>S-3</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11/06/2019</w:t>
            </w:r>
          </w:p>
        </w:tc>
        <w:tc>
          <w:tcPr>
            <w:tcW w:w="2560" w:type="dxa"/>
            <w:vAlign w:val="bottom"/>
          </w:tcPr>
          <w:p>
            <w:pPr>
              <w:jc w:val="center"/>
              <w:ind w:right="1670"/>
              <w:spacing w:after="0"/>
              <w:rPr>
                <w:sz w:val="20"/>
                <w:szCs w:val="20"/>
                <w:color w:val="auto"/>
              </w:rPr>
            </w:pPr>
            <w:r>
              <w:rPr>
                <w:rFonts w:ascii="Arial" w:cs="Arial" w:eastAsia="Arial" w:hAnsi="Arial"/>
                <w:sz w:val="18"/>
                <w:szCs w:val="18"/>
                <w:color w:val="auto"/>
                <w:w w:val="88"/>
              </w:rPr>
              <w:t>333-</w:t>
            </w:r>
          </w:p>
        </w:tc>
      </w:tr>
      <w:tr>
        <w:trPr>
          <w:trHeight w:val="196"/>
        </w:trPr>
        <w:tc>
          <w:tcPr>
            <w:tcW w:w="840" w:type="dxa"/>
            <w:vAlign w:val="bottom"/>
          </w:tcPr>
          <w:p>
            <w:pPr>
              <w:spacing w:after="0"/>
              <w:rPr>
                <w:sz w:val="17"/>
                <w:szCs w:val="17"/>
                <w:color w:val="auto"/>
              </w:rPr>
            </w:pPr>
          </w:p>
        </w:tc>
        <w:tc>
          <w:tcPr>
            <w:tcW w:w="2960" w:type="dxa"/>
            <w:vAlign w:val="bottom"/>
            <w:gridSpan w:val="27"/>
          </w:tcPr>
          <w:p>
            <w:pPr>
              <w:spacing w:after="0" w:line="196" w:lineRule="exact"/>
              <w:rPr>
                <w:rFonts w:ascii="Arial" w:cs="Arial" w:eastAsia="Arial" w:hAnsi="Arial"/>
                <w:sz w:val="18"/>
                <w:szCs w:val="18"/>
                <w:color w:val="0000EE"/>
                <w:w w:val="97"/>
              </w:rPr>
            </w:pPr>
            <w:hyperlink r:id="rId250">
              <w:r>
                <w:rPr>
                  <w:rFonts w:ascii="Arial" w:cs="Arial" w:eastAsia="Arial" w:hAnsi="Arial"/>
                  <w:sz w:val="18"/>
                  <w:szCs w:val="18"/>
                  <w:color w:val="0000EE"/>
                  <w:w w:val="97"/>
                </w:rPr>
                <w:t>Registrant and Cowen and Company,</w:t>
              </w:r>
            </w:hyperlink>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jc w:val="center"/>
              <w:ind w:right="1690"/>
              <w:spacing w:after="0" w:line="196" w:lineRule="exact"/>
              <w:rPr>
                <w:sz w:val="20"/>
                <w:szCs w:val="20"/>
                <w:color w:val="auto"/>
              </w:rPr>
            </w:pPr>
            <w:r>
              <w:rPr>
                <w:rFonts w:ascii="Arial" w:cs="Arial" w:eastAsia="Arial" w:hAnsi="Arial"/>
                <w:sz w:val="18"/>
                <w:szCs w:val="18"/>
                <w:color w:val="auto"/>
                <w:w w:val="89"/>
              </w:rPr>
              <w:t>234527</w:t>
            </w:r>
          </w:p>
        </w:tc>
      </w:tr>
      <w:tr>
        <w:trPr>
          <w:trHeight w:val="196"/>
        </w:trPr>
        <w:tc>
          <w:tcPr>
            <w:tcW w:w="840" w:type="dxa"/>
            <w:vAlign w:val="bottom"/>
          </w:tcPr>
          <w:p>
            <w:pPr>
              <w:spacing w:after="0"/>
              <w:rPr>
                <w:sz w:val="17"/>
                <w:szCs w:val="17"/>
                <w:color w:val="auto"/>
              </w:rPr>
            </w:pPr>
          </w:p>
        </w:tc>
        <w:tc>
          <w:tcPr>
            <w:tcW w:w="2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LLC, dated November 5, 2019</w:t>
              </w:r>
            </w:hyperlink>
          </w:p>
        </w:tc>
        <w:tc>
          <w:tcPr>
            <w:tcW w:w="2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399"/>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91"/>
              </w:rPr>
              <w:t>21.1</w:t>
            </w:r>
          </w:p>
        </w:tc>
        <w:tc>
          <w:tcPr>
            <w:tcW w:w="2200" w:type="dxa"/>
            <w:vAlign w:val="bottom"/>
            <w:tcBorders>
              <w:top w:val="single" w:sz="8" w:color="0000EE"/>
            </w:tcBorders>
            <w:gridSpan w:val="10"/>
          </w:tcPr>
          <w:p>
            <w:pPr>
              <w:spacing w:after="0"/>
              <w:rPr>
                <w:rFonts w:ascii="Arial" w:cs="Arial" w:eastAsia="Arial" w:hAnsi="Arial"/>
                <w:sz w:val="18"/>
                <w:szCs w:val="18"/>
                <w:color w:val="0000EE"/>
                <w:w w:val="90"/>
              </w:rPr>
            </w:pPr>
            <w:hyperlink w:anchor="page193">
              <w:r>
                <w:rPr>
                  <w:rFonts w:ascii="Arial" w:cs="Arial" w:eastAsia="Arial" w:hAnsi="Arial"/>
                  <w:sz w:val="18"/>
                  <w:szCs w:val="18"/>
                  <w:color w:val="0000EE"/>
                  <w:w w:val="90"/>
                </w:rPr>
                <w:t>Subsidiaries of the Registrant.</w:t>
              </w:r>
            </w:hyperlink>
          </w:p>
        </w:tc>
        <w:tc>
          <w:tcPr>
            <w:tcW w:w="760" w:type="dxa"/>
            <w:vAlign w:val="bottom"/>
            <w:gridSpan w:val="17"/>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X</w:t>
            </w:r>
          </w:p>
        </w:tc>
      </w:tr>
      <w:tr>
        <w:trPr>
          <w:trHeight w:val="358"/>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91"/>
              </w:rPr>
              <w:t>23.1</w:t>
            </w:r>
          </w:p>
        </w:tc>
        <w:tc>
          <w:tcPr>
            <w:tcW w:w="1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Consent of Ernst &amp; Young,</w:t>
              </w:r>
            </w:hyperlink>
          </w:p>
        </w:tc>
        <w:tc>
          <w:tcPr>
            <w:tcW w:w="200" w:type="dxa"/>
            <w:vAlign w:val="bottom"/>
            <w:tcBorders>
              <w:top w:val="single" w:sz="8" w:color="0000EE"/>
            </w:tcBorders>
          </w:tcPr>
          <w:p>
            <w:pPr>
              <w:spacing w:after="0"/>
              <w:rPr>
                <w:sz w:val="24"/>
                <w:szCs w:val="24"/>
                <w:color w:val="auto"/>
              </w:rPr>
            </w:pPr>
          </w:p>
        </w:tc>
        <w:tc>
          <w:tcPr>
            <w:tcW w:w="800" w:type="dxa"/>
            <w:vAlign w:val="bottom"/>
            <w:gridSpan w:val="19"/>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X</w:t>
            </w:r>
          </w:p>
        </w:tc>
      </w:tr>
      <w:tr>
        <w:trPr>
          <w:trHeight w:val="196"/>
        </w:trPr>
        <w:tc>
          <w:tcPr>
            <w:tcW w:w="840" w:type="dxa"/>
            <w:vAlign w:val="bottom"/>
          </w:tcPr>
          <w:p>
            <w:pPr>
              <w:spacing w:after="0"/>
              <w:rPr>
                <w:sz w:val="17"/>
                <w:szCs w:val="17"/>
                <w:color w:val="auto"/>
              </w:rPr>
            </w:pPr>
          </w:p>
        </w:tc>
        <w:tc>
          <w:tcPr>
            <w:tcW w:w="2960" w:type="dxa"/>
            <w:vAlign w:val="bottom"/>
            <w:gridSpan w:val="2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Independent Registered Public</w:t>
              </w:r>
            </w:hyperlink>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Accounting Firm</w:t>
              </w:r>
              <w:r>
                <w:rPr>
                  <w:rFonts w:ascii="Arial" w:cs="Arial" w:eastAsia="Arial" w:hAnsi="Arial"/>
                  <w:sz w:val="18"/>
                  <w:szCs w:val="18"/>
                  <w:color w:val="000000"/>
                </w:rPr>
                <w:t>.</w:t>
              </w:r>
            </w:hyperlink>
          </w:p>
        </w:tc>
        <w:tc>
          <w:tcPr>
            <w:tcW w:w="76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58"/>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91"/>
              </w:rPr>
              <w:t>24.1</w:t>
            </w:r>
          </w:p>
        </w:tc>
        <w:tc>
          <w:tcPr>
            <w:tcW w:w="2960" w:type="dxa"/>
            <w:vAlign w:val="bottom"/>
            <w:gridSpan w:val="27"/>
          </w:tcPr>
          <w:p>
            <w:pPr>
              <w:spacing w:after="0"/>
              <w:rPr>
                <w:rFonts w:ascii="Arial" w:cs="Arial" w:eastAsia="Arial" w:hAnsi="Arial"/>
                <w:sz w:val="18"/>
                <w:szCs w:val="18"/>
                <w:color w:val="0000EE"/>
                <w:w w:val="95"/>
              </w:rPr>
            </w:pPr>
            <w:hyperlink w:anchor="page189">
              <w:r>
                <w:rPr>
                  <w:rFonts w:ascii="Arial" w:cs="Arial" w:eastAsia="Arial" w:hAnsi="Arial"/>
                  <w:sz w:val="18"/>
                  <w:szCs w:val="18"/>
                  <w:color w:val="0000EE"/>
                  <w:w w:val="95"/>
                </w:rPr>
                <w:t>Power of Attorney (see signature page</w:t>
              </w:r>
            </w:hyperlink>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X</w:t>
            </w:r>
          </w:p>
        </w:tc>
      </w:tr>
      <w:tr>
        <w:trPr>
          <w:trHeight w:val="196"/>
        </w:trPr>
        <w:tc>
          <w:tcPr>
            <w:tcW w:w="840" w:type="dxa"/>
            <w:vAlign w:val="bottom"/>
          </w:tcPr>
          <w:p>
            <w:pPr>
              <w:spacing w:after="0"/>
              <w:rPr>
                <w:sz w:val="17"/>
                <w:szCs w:val="17"/>
                <w:color w:val="auto"/>
              </w:rPr>
            </w:pPr>
          </w:p>
        </w:tc>
        <w:tc>
          <w:tcPr>
            <w:tcW w:w="2760" w:type="dxa"/>
            <w:vAlign w:val="bottom"/>
            <w:tcBorders>
              <w:top w:val="single" w:sz="8" w:color="0000EE"/>
            </w:tcBorders>
            <w:gridSpan w:val="24"/>
          </w:tcPr>
          <w:p>
            <w:pPr>
              <w:spacing w:after="0" w:line="196" w:lineRule="exact"/>
              <w:rPr>
                <w:rFonts w:ascii="Arial" w:cs="Arial" w:eastAsia="Arial" w:hAnsi="Arial"/>
                <w:sz w:val="18"/>
                <w:szCs w:val="18"/>
                <w:color w:val="0000EE"/>
                <w:w w:val="93"/>
              </w:rPr>
            </w:pPr>
            <w:hyperlink w:anchor="page189">
              <w:r>
                <w:rPr>
                  <w:rFonts w:ascii="Arial" w:cs="Arial" w:eastAsia="Arial" w:hAnsi="Arial"/>
                  <w:sz w:val="18"/>
                  <w:szCs w:val="18"/>
                  <w:color w:val="0000EE"/>
                  <w:w w:val="93"/>
                </w:rPr>
                <w:t>of this Annual Report on Form 10-K)</w:t>
              </w:r>
              <w:r>
                <w:rPr>
                  <w:rFonts w:ascii="Arial" w:cs="Arial" w:eastAsia="Arial" w:hAnsi="Arial"/>
                  <w:sz w:val="18"/>
                  <w:szCs w:val="18"/>
                  <w:color w:val="000000"/>
                  <w:w w:val="93"/>
                </w:rPr>
                <w:t>.</w:t>
              </w:r>
            </w:hyperlink>
          </w:p>
        </w:tc>
        <w:tc>
          <w:tcPr>
            <w:tcW w:w="2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358"/>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91"/>
              </w:rPr>
              <w:t>31.1</w:t>
            </w:r>
          </w:p>
        </w:tc>
        <w:tc>
          <w:tcPr>
            <w:tcW w:w="2700" w:type="dxa"/>
            <w:vAlign w:val="bottom"/>
            <w:tcBorders>
              <w:top w:val="single" w:sz="8" w:color="0000EE"/>
            </w:tcBorders>
            <w:gridSpan w:val="22"/>
          </w:tcPr>
          <w:p>
            <w:pPr>
              <w:spacing w:after="0"/>
              <w:rPr>
                <w:rFonts w:ascii="Arial" w:cs="Arial" w:eastAsia="Arial" w:hAnsi="Arial"/>
                <w:sz w:val="18"/>
                <w:szCs w:val="18"/>
                <w:color w:val="0000EE"/>
                <w:w w:val="98"/>
              </w:rPr>
            </w:pPr>
            <w:hyperlink w:anchor="page195">
              <w:r>
                <w:rPr>
                  <w:rFonts w:ascii="Arial" w:cs="Arial" w:eastAsia="Arial" w:hAnsi="Arial"/>
                  <w:sz w:val="18"/>
                  <w:szCs w:val="18"/>
                  <w:color w:val="0000EE"/>
                  <w:w w:val="98"/>
                </w:rPr>
                <w:t>Certification of Principal Executive</w:t>
              </w:r>
            </w:hyperlink>
          </w:p>
        </w:tc>
        <w:tc>
          <w:tcPr>
            <w:tcW w:w="26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X</w:t>
            </w:r>
          </w:p>
        </w:tc>
      </w:tr>
      <w:tr>
        <w:trPr>
          <w:trHeight w:val="183"/>
        </w:trPr>
        <w:tc>
          <w:tcPr>
            <w:tcW w:w="840" w:type="dxa"/>
            <w:vAlign w:val="bottom"/>
          </w:tcPr>
          <w:p>
            <w:pPr>
              <w:spacing w:after="0"/>
              <w:rPr>
                <w:sz w:val="15"/>
                <w:szCs w:val="15"/>
                <w:color w:val="auto"/>
              </w:rPr>
            </w:pPr>
          </w:p>
        </w:tc>
        <w:tc>
          <w:tcPr>
            <w:tcW w:w="2560" w:type="dxa"/>
            <w:vAlign w:val="bottom"/>
            <w:tcBorders>
              <w:top w:val="single" w:sz="8" w:color="0000EE"/>
            </w:tcBorders>
            <w:gridSpan w:val="18"/>
          </w:tcPr>
          <w:p>
            <w:pPr>
              <w:spacing w:after="0" w:line="182" w:lineRule="exact"/>
              <w:rPr>
                <w:rFonts w:ascii="Arial" w:cs="Arial" w:eastAsia="Arial" w:hAnsi="Arial"/>
                <w:sz w:val="18"/>
                <w:szCs w:val="18"/>
                <w:color w:val="0000EE"/>
                <w:w w:val="96"/>
              </w:rPr>
            </w:pPr>
            <w:hyperlink w:anchor="page195">
              <w:r>
                <w:rPr>
                  <w:rFonts w:ascii="Arial" w:cs="Arial" w:eastAsia="Arial" w:hAnsi="Arial"/>
                  <w:sz w:val="18"/>
                  <w:szCs w:val="18"/>
                  <w:color w:val="0000EE"/>
                  <w:w w:val="96"/>
                </w:rPr>
                <w:t>Officer pursuant to Exchange Act</w:t>
              </w:r>
            </w:hyperlink>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4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Rules 13a-14 or 15d-14.</w:t>
              </w:r>
            </w:hyperlink>
          </w:p>
        </w:tc>
        <w:tc>
          <w:tcPr>
            <w:tcW w:w="10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45"/>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91"/>
              </w:rPr>
              <w:t>31.2</w:t>
            </w:r>
          </w:p>
        </w:tc>
        <w:tc>
          <w:tcPr>
            <w:tcW w:w="2960" w:type="dxa"/>
            <w:vAlign w:val="bottom"/>
            <w:gridSpan w:val="27"/>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Certification of Principal Financial</w:t>
              </w:r>
            </w:hyperlink>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X</w:t>
            </w:r>
          </w:p>
        </w:tc>
      </w:tr>
      <w:tr>
        <w:trPr>
          <w:trHeight w:val="183"/>
        </w:trPr>
        <w:tc>
          <w:tcPr>
            <w:tcW w:w="840" w:type="dxa"/>
            <w:vAlign w:val="bottom"/>
          </w:tcPr>
          <w:p>
            <w:pPr>
              <w:spacing w:after="0"/>
              <w:rPr>
                <w:sz w:val="15"/>
                <w:szCs w:val="15"/>
                <w:color w:val="auto"/>
              </w:rPr>
            </w:pPr>
          </w:p>
        </w:tc>
        <w:tc>
          <w:tcPr>
            <w:tcW w:w="2520" w:type="dxa"/>
            <w:vAlign w:val="bottom"/>
            <w:tcBorders>
              <w:top w:val="single" w:sz="8" w:color="0000EE"/>
            </w:tcBorders>
            <w:gridSpan w:val="16"/>
          </w:tcPr>
          <w:p>
            <w:pPr>
              <w:spacing w:after="0" w:line="182" w:lineRule="exact"/>
              <w:rPr>
                <w:rFonts w:ascii="Arial" w:cs="Arial" w:eastAsia="Arial" w:hAnsi="Arial"/>
                <w:sz w:val="18"/>
                <w:szCs w:val="18"/>
                <w:color w:val="0000EE"/>
                <w:w w:val="94"/>
              </w:rPr>
            </w:pPr>
            <w:hyperlink w:anchor="page196">
              <w:r>
                <w:rPr>
                  <w:rFonts w:ascii="Arial" w:cs="Arial" w:eastAsia="Arial" w:hAnsi="Arial"/>
                  <w:sz w:val="18"/>
                  <w:szCs w:val="18"/>
                  <w:color w:val="0000EE"/>
                  <w:w w:val="94"/>
                </w:rPr>
                <w:t>Officer pursuant to Exchange Act</w:t>
              </w:r>
            </w:hyperlink>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4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Rules 13a-14 or 15d-14.</w:t>
              </w:r>
            </w:hyperlink>
          </w:p>
        </w:tc>
        <w:tc>
          <w:tcPr>
            <w:tcW w:w="22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45"/>
        </w:trPr>
        <w:tc>
          <w:tcPr>
            <w:tcW w:w="840" w:type="dxa"/>
            <w:vAlign w:val="bottom"/>
          </w:tcPr>
          <w:p>
            <w:pPr>
              <w:jc w:val="center"/>
              <w:ind w:right="10"/>
              <w:spacing w:after="0"/>
              <w:rPr>
                <w:sz w:val="20"/>
                <w:szCs w:val="20"/>
                <w:color w:val="auto"/>
              </w:rPr>
            </w:pPr>
            <w:r>
              <w:rPr>
                <w:rFonts w:ascii="Arial" w:cs="Arial" w:eastAsia="Arial" w:hAnsi="Arial"/>
                <w:sz w:val="18"/>
                <w:szCs w:val="18"/>
                <w:color w:val="auto"/>
                <w:w w:val="92"/>
              </w:rPr>
              <w:t>32.1+</w:t>
            </w:r>
          </w:p>
        </w:tc>
        <w:tc>
          <w:tcPr>
            <w:tcW w:w="264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97">
              <w:r>
                <w:rPr>
                  <w:rFonts w:ascii="Arial" w:cs="Arial" w:eastAsia="Arial" w:hAnsi="Arial"/>
                  <w:sz w:val="18"/>
                  <w:szCs w:val="18"/>
                  <w:color w:val="0000EE"/>
                  <w:w w:val="93"/>
                </w:rPr>
                <w:t>Certifications of Principal Executive</w:t>
              </w:r>
            </w:hyperlink>
          </w:p>
        </w:tc>
        <w:tc>
          <w:tcPr>
            <w:tcW w:w="3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X</w:t>
            </w:r>
          </w:p>
        </w:tc>
      </w:tr>
      <w:tr>
        <w:trPr>
          <w:trHeight w:val="183"/>
        </w:trPr>
        <w:tc>
          <w:tcPr>
            <w:tcW w:w="840" w:type="dxa"/>
            <w:vAlign w:val="bottom"/>
          </w:tcPr>
          <w:p>
            <w:pPr>
              <w:spacing w:after="0"/>
              <w:rPr>
                <w:sz w:val="15"/>
                <w:szCs w:val="15"/>
                <w:color w:val="auto"/>
              </w:rPr>
            </w:pPr>
          </w:p>
        </w:tc>
        <w:tc>
          <w:tcPr>
            <w:tcW w:w="2960" w:type="dxa"/>
            <w:vAlign w:val="bottom"/>
            <w:gridSpan w:val="27"/>
          </w:tcPr>
          <w:p>
            <w:pPr>
              <w:spacing w:after="0" w:line="182" w:lineRule="exact"/>
              <w:rPr>
                <w:rFonts w:ascii="Arial" w:cs="Arial" w:eastAsia="Arial" w:hAnsi="Arial"/>
                <w:sz w:val="18"/>
                <w:szCs w:val="18"/>
                <w:color w:val="0000EE"/>
                <w:w w:val="98"/>
              </w:rPr>
            </w:pPr>
            <w:hyperlink w:anchor="page197">
              <w:r>
                <w:rPr>
                  <w:rFonts w:ascii="Arial" w:cs="Arial" w:eastAsia="Arial" w:hAnsi="Arial"/>
                  <w:sz w:val="18"/>
                  <w:szCs w:val="18"/>
                  <w:color w:val="0000EE"/>
                  <w:w w:val="98"/>
                </w:rPr>
                <w:t>Officer and Principal Financial Officer</w:t>
              </w:r>
            </w:hyperlink>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800" w:type="dxa"/>
            <w:vAlign w:val="bottom"/>
            <w:tcBorders>
              <w:top w:val="single" w:sz="8" w:color="0000EE"/>
            </w:tcBorders>
            <w:gridSpan w:val="25"/>
          </w:tcPr>
          <w:p>
            <w:pPr>
              <w:spacing w:after="0" w:line="182" w:lineRule="exact"/>
              <w:rPr>
                <w:rFonts w:ascii="Arial" w:cs="Arial" w:eastAsia="Arial" w:hAnsi="Arial"/>
                <w:sz w:val="18"/>
                <w:szCs w:val="18"/>
                <w:color w:val="0000EE"/>
                <w:w w:val="93"/>
              </w:rPr>
            </w:pPr>
            <w:hyperlink w:anchor="page197">
              <w:r>
                <w:rPr>
                  <w:rFonts w:ascii="Arial" w:cs="Arial" w:eastAsia="Arial" w:hAnsi="Arial"/>
                  <w:sz w:val="18"/>
                  <w:szCs w:val="18"/>
                  <w:color w:val="0000EE"/>
                  <w:w w:val="93"/>
                </w:rPr>
                <w:t>pursuant to Exchange Act Rules 13a-</w:t>
              </w:r>
            </w:hyperlink>
          </w:p>
        </w:tc>
        <w:tc>
          <w:tcPr>
            <w:tcW w:w="16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14(b) or 15d-14(b) and 18 U.S.C.</w:t>
              </w:r>
            </w:hyperlink>
          </w:p>
        </w:tc>
        <w:tc>
          <w:tcPr>
            <w:tcW w:w="280" w:type="dxa"/>
            <w:vAlign w:val="bottom"/>
            <w:gridSpan w:val="6"/>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4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Section 1350.</w:t>
              </w:r>
            </w:hyperlink>
          </w:p>
        </w:tc>
        <w:tc>
          <w:tcPr>
            <w:tcW w:w="560" w:type="dxa"/>
            <w:vAlign w:val="bottom"/>
            <w:gridSpan w:val="15"/>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980" w:type="dxa"/>
            <w:vAlign w:val="bottom"/>
            <w:gridSpan w:val="2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1"/>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92"/>
              </w:rPr>
              <w:t>101.INS</w:t>
            </w:r>
          </w:p>
        </w:tc>
        <w:tc>
          <w:tcPr>
            <w:tcW w:w="2960" w:type="dxa"/>
            <w:vAlign w:val="bottom"/>
            <w:gridSpan w:val="27"/>
          </w:tcPr>
          <w:p>
            <w:pPr>
              <w:spacing w:after="0"/>
              <w:rPr>
                <w:sz w:val="20"/>
                <w:szCs w:val="20"/>
                <w:color w:val="auto"/>
              </w:rPr>
            </w:pPr>
            <w:r>
              <w:rPr>
                <w:rFonts w:ascii="Arial" w:cs="Arial" w:eastAsia="Arial" w:hAnsi="Arial"/>
                <w:sz w:val="18"/>
                <w:szCs w:val="18"/>
                <w:color w:val="auto"/>
              </w:rPr>
              <w:t>XBRL Instance Document - the</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960" w:type="dxa"/>
            <w:vAlign w:val="bottom"/>
            <w:gridSpan w:val="27"/>
          </w:tcPr>
          <w:p>
            <w:pPr>
              <w:spacing w:after="0"/>
              <w:rPr>
                <w:sz w:val="20"/>
                <w:szCs w:val="20"/>
                <w:color w:val="auto"/>
              </w:rPr>
            </w:pPr>
            <w:r>
              <w:rPr>
                <w:rFonts w:ascii="Arial" w:cs="Arial" w:eastAsia="Arial" w:hAnsi="Arial"/>
                <w:sz w:val="18"/>
                <w:szCs w:val="18"/>
                <w:color w:val="auto"/>
                <w:w w:val="96"/>
              </w:rPr>
              <w:t>instance document does not appear in</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960" w:type="dxa"/>
            <w:vAlign w:val="bottom"/>
            <w:gridSpan w:val="27"/>
          </w:tcPr>
          <w:p>
            <w:pPr>
              <w:spacing w:after="0"/>
              <w:rPr>
                <w:sz w:val="20"/>
                <w:szCs w:val="20"/>
                <w:color w:val="auto"/>
              </w:rPr>
            </w:pPr>
            <w:r>
              <w:rPr>
                <w:rFonts w:ascii="Arial" w:cs="Arial" w:eastAsia="Arial" w:hAnsi="Arial"/>
                <w:sz w:val="18"/>
                <w:szCs w:val="18"/>
                <w:color w:val="auto"/>
              </w:rPr>
              <w:t>the Interactive Data File because its</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960" w:type="dxa"/>
            <w:vAlign w:val="bottom"/>
            <w:gridSpan w:val="27"/>
          </w:tcPr>
          <w:p>
            <w:pPr>
              <w:spacing w:after="0"/>
              <w:rPr>
                <w:sz w:val="20"/>
                <w:szCs w:val="20"/>
                <w:color w:val="auto"/>
              </w:rPr>
            </w:pPr>
            <w:r>
              <w:rPr>
                <w:rFonts w:ascii="Arial" w:cs="Arial" w:eastAsia="Arial" w:hAnsi="Arial"/>
                <w:sz w:val="18"/>
                <w:szCs w:val="18"/>
                <w:color w:val="auto"/>
              </w:rPr>
              <w:t>XBRL tags are embedded within the</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2960" w:type="dxa"/>
            <w:vAlign w:val="bottom"/>
            <w:gridSpan w:val="27"/>
          </w:tcPr>
          <w:p>
            <w:pPr>
              <w:spacing w:after="0"/>
              <w:rPr>
                <w:sz w:val="20"/>
                <w:szCs w:val="20"/>
                <w:color w:val="auto"/>
              </w:rPr>
            </w:pPr>
            <w:r>
              <w:rPr>
                <w:rFonts w:ascii="Arial" w:cs="Arial" w:eastAsia="Arial" w:hAnsi="Arial"/>
                <w:sz w:val="18"/>
                <w:szCs w:val="18"/>
                <w:color w:val="auto"/>
              </w:rPr>
              <w:t>Inline XBRL document</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04"/>
        </w:trPr>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101.SCH</w:t>
            </w:r>
          </w:p>
        </w:tc>
        <w:tc>
          <w:tcPr>
            <w:tcW w:w="2960" w:type="dxa"/>
            <w:vAlign w:val="bottom"/>
            <w:gridSpan w:val="27"/>
          </w:tcPr>
          <w:p>
            <w:pPr>
              <w:spacing w:after="0"/>
              <w:rPr>
                <w:sz w:val="20"/>
                <w:szCs w:val="20"/>
                <w:color w:val="auto"/>
              </w:rPr>
            </w:pPr>
            <w:r>
              <w:rPr>
                <w:rFonts w:ascii="Arial" w:cs="Arial" w:eastAsia="Arial" w:hAnsi="Arial"/>
                <w:sz w:val="18"/>
                <w:szCs w:val="18"/>
                <w:color w:val="auto"/>
              </w:rPr>
              <w:t>XBRL Taxonomy Extension Schema</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96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04"/>
        </w:trPr>
        <w:tc>
          <w:tcPr>
            <w:tcW w:w="840" w:type="dxa"/>
            <w:vAlign w:val="bottom"/>
          </w:tcPr>
          <w:p>
            <w:pPr>
              <w:jc w:val="center"/>
              <w:ind w:right="30"/>
              <w:spacing w:after="0"/>
              <w:rPr>
                <w:sz w:val="20"/>
                <w:szCs w:val="20"/>
                <w:color w:val="auto"/>
              </w:rPr>
            </w:pPr>
            <w:r>
              <w:rPr>
                <w:rFonts w:ascii="Arial" w:cs="Arial" w:eastAsia="Arial" w:hAnsi="Arial"/>
                <w:sz w:val="18"/>
                <w:szCs w:val="18"/>
                <w:color w:val="auto"/>
                <w:w w:val="97"/>
              </w:rPr>
              <w:t>101.CAL</w:t>
            </w:r>
          </w:p>
        </w:tc>
        <w:tc>
          <w:tcPr>
            <w:tcW w:w="2960" w:type="dxa"/>
            <w:vAlign w:val="bottom"/>
            <w:gridSpan w:val="27"/>
          </w:tcPr>
          <w:p>
            <w:pPr>
              <w:spacing w:after="0"/>
              <w:rPr>
                <w:sz w:val="20"/>
                <w:szCs w:val="20"/>
                <w:color w:val="auto"/>
              </w:rPr>
            </w:pPr>
            <w:r>
              <w:rPr>
                <w:rFonts w:ascii="Arial" w:cs="Arial" w:eastAsia="Arial" w:hAnsi="Arial"/>
                <w:sz w:val="18"/>
                <w:szCs w:val="18"/>
                <w:color w:val="auto"/>
              </w:rPr>
              <w:t>XBRL Taxonomy Extension</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960" w:type="dxa"/>
            <w:vAlign w:val="bottom"/>
            <w:gridSpan w:val="27"/>
          </w:tcPr>
          <w:p>
            <w:pPr>
              <w:spacing w:after="0"/>
              <w:rPr>
                <w:sz w:val="20"/>
                <w:szCs w:val="20"/>
                <w:color w:val="auto"/>
              </w:rPr>
            </w:pPr>
            <w:r>
              <w:rPr>
                <w:rFonts w:ascii="Arial" w:cs="Arial" w:eastAsia="Arial" w:hAnsi="Arial"/>
                <w:sz w:val="18"/>
                <w:szCs w:val="18"/>
                <w:color w:val="auto"/>
              </w:rPr>
              <w:t>Calculation Document.</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1020"/>
        </w:trPr>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XBRL Taxonomy Extension Definition</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Linkbase Document.</w:t>
      </w:r>
    </w:p>
    <w:p>
      <w:pPr>
        <w:spacing w:after="0" w:line="197"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Labels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Linkbase Document.</w:t>
      </w:r>
    </w:p>
    <w:p>
      <w:pPr>
        <w:spacing w:after="0" w:line="197" w:lineRule="exact"/>
        <w:rPr>
          <w:sz w:val="20"/>
          <w:szCs w:val="20"/>
          <w:color w:val="auto"/>
        </w:rPr>
      </w:pPr>
    </w:p>
    <w:p>
      <w:pPr>
        <w:jc w:val="right"/>
        <w:ind w:right="6119"/>
        <w:spacing w:after="0"/>
        <w:tabs>
          <w:tab w:leader="none" w:pos="806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w:t>
      </w:r>
    </w:p>
    <w:p>
      <w:pPr>
        <w:spacing w:after="0" w:line="23" w:lineRule="exact"/>
        <w:rPr>
          <w:sz w:val="20"/>
          <w:szCs w:val="20"/>
          <w:color w:val="auto"/>
        </w:rPr>
      </w:pPr>
    </w:p>
    <w:p>
      <w:pPr>
        <w:jc w:val="right"/>
        <w:ind w:right="6079"/>
        <w:spacing w:after="0"/>
        <w:rPr>
          <w:sz w:val="20"/>
          <w:szCs w:val="20"/>
          <w:color w:val="auto"/>
        </w:rPr>
      </w:pPr>
      <w:r>
        <w:rPr>
          <w:rFonts w:ascii="Arial" w:cs="Arial" w:eastAsia="Arial" w:hAnsi="Arial"/>
          <w:sz w:val="18"/>
          <w:szCs w:val="18"/>
          <w:color w:val="auto"/>
        </w:rPr>
        <w:t>Presentation Link Document.</w:t>
      </w:r>
    </w:p>
    <w:p>
      <w:pPr>
        <w:spacing w:after="0" w:line="197" w:lineRule="exact"/>
        <w:rPr>
          <w:sz w:val="20"/>
          <w:szCs w:val="20"/>
          <w:color w:val="auto"/>
        </w:rPr>
      </w:pPr>
    </w:p>
    <w:p>
      <w:pPr>
        <w:ind w:left="860" w:right="5399" w:hanging="622"/>
        <w:spacing w:after="0" w:line="255" w:lineRule="auto"/>
        <w:tabs>
          <w:tab w:leader="none" w:pos="8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Cover Page Interactive Data File – T=the cover page interactive data file does not appear in the Interactive Data File because its XBRL tags are embedded within the Inline XBRL document</w:t>
      </w:r>
    </w:p>
    <w:p>
      <w:pPr>
        <w:spacing w:after="0" w:line="193" w:lineRule="exact"/>
        <w:rPr>
          <w:rFonts w:ascii="Arial" w:cs="Arial" w:eastAsia="Arial" w:hAnsi="Arial"/>
          <w:sz w:val="18"/>
          <w:szCs w:val="18"/>
          <w:color w:val="auto"/>
        </w:rPr>
      </w:pPr>
    </w:p>
    <w:p>
      <w:pPr>
        <w:ind w:left="320" w:right="179" w:hanging="318"/>
        <w:spacing w:after="0" w:line="244" w:lineRule="auto"/>
        <w:tabs>
          <w:tab w:leader="none" w:pos="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in response to Item 15(a)(3) of the Instructions to the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14408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320" w:right="319" w:hanging="318"/>
        <w:spacing w:after="0" w:line="234" w:lineRule="auto"/>
        <w:tabs>
          <w:tab w:leader="none" w:pos="3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236" w:lineRule="auto"/>
        <w:rPr>
          <w:sz w:val="20"/>
          <w:szCs w:val="20"/>
          <w:color w:val="auto"/>
        </w:rPr>
      </w:pPr>
      <w:r>
        <w:rPr>
          <w:rFonts w:ascii="Arial" w:cs="Arial" w:eastAsia="Arial" w:hAnsi="Arial"/>
          <w:sz w:val="18"/>
          <w:szCs w:val="18"/>
          <w:color w:val="auto"/>
        </w:rPr>
        <w:t>*  Portions of this exhibit have been omitted pursuant to Item 601(b)(10)(iv) of Regulation S-K</w:t>
      </w:r>
    </w:p>
    <w:p>
      <w:pPr>
        <w:spacing w:after="0" w:line="1" w:lineRule="exact"/>
        <w:rPr>
          <w:sz w:val="20"/>
          <w:szCs w:val="20"/>
          <w:color w:val="auto"/>
        </w:rPr>
      </w:pPr>
    </w:p>
    <w:p>
      <w:pPr>
        <w:jc w:val="both"/>
        <w:ind w:left="320" w:right="99" w:hanging="318"/>
        <w:spacing w:after="0" w:line="239" w:lineRule="auto"/>
        <w:tabs>
          <w:tab w:leader="none" w:pos="301"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The certification furnished in Exhibit 32.1 hereto is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729615</wp:posOffset>
            </wp:positionV>
            <wp:extent cx="575437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31" w:right="1440"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160" w:firstLine="648"/>
        <w:spacing w:after="0" w:line="32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Form 10-K to be signed on its behalf by the undersigned, thereunto duly authorized.</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8"/>
                <w:szCs w:val="18"/>
                <w:color w:val="auto"/>
              </w:rPr>
              <w:t>March 3, 2019</w:t>
            </w:r>
          </w:p>
        </w:tc>
        <w:tc>
          <w:tcPr>
            <w:tcW w:w="5620" w:type="dxa"/>
            <w:vAlign w:val="bottom"/>
            <w:gridSpan w:val="2"/>
          </w:tcPr>
          <w:p>
            <w:pPr>
              <w:ind w:left="1680"/>
              <w:spacing w:after="0"/>
              <w:rPr>
                <w:sz w:val="20"/>
                <w:szCs w:val="20"/>
                <w:color w:val="auto"/>
              </w:rPr>
            </w:pPr>
            <w:r>
              <w:rPr>
                <w:rFonts w:ascii="Arial" w:cs="Arial" w:eastAsia="Arial" w:hAnsi="Arial"/>
                <w:sz w:val="18"/>
                <w:szCs w:val="18"/>
                <w:b w:val="1"/>
                <w:bCs w:val="1"/>
                <w:color w:val="auto"/>
              </w:rPr>
              <w:t>VOYAGER THERAPEUTICS, INC.</w:t>
            </w:r>
          </w:p>
        </w:tc>
      </w:tr>
      <w:tr>
        <w:trPr>
          <w:trHeight w:val="230"/>
        </w:trPr>
        <w:tc>
          <w:tcPr>
            <w:tcW w:w="2740" w:type="dxa"/>
            <w:vAlign w:val="bottom"/>
          </w:tcPr>
          <w:p>
            <w:pPr>
              <w:spacing w:after="0"/>
              <w:rPr>
                <w:sz w:val="20"/>
                <w:szCs w:val="20"/>
                <w:color w:val="auto"/>
              </w:rPr>
            </w:pPr>
          </w:p>
        </w:tc>
        <w:tc>
          <w:tcPr>
            <w:tcW w:w="2000" w:type="dxa"/>
            <w:vAlign w:val="bottom"/>
          </w:tcPr>
          <w:p>
            <w:pPr>
              <w:ind w:left="1680"/>
              <w:spacing w:after="0"/>
              <w:rPr>
                <w:sz w:val="20"/>
                <w:szCs w:val="20"/>
                <w:color w:val="auto"/>
              </w:rPr>
            </w:pPr>
            <w:r>
              <w:rPr>
                <w:rFonts w:ascii="Arial" w:cs="Arial" w:eastAsia="Arial" w:hAnsi="Arial"/>
                <w:sz w:val="18"/>
                <w:szCs w:val="18"/>
                <w:color w:val="auto"/>
              </w:rPr>
              <w:t>By:</w:t>
            </w: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89"/>
              </w:rPr>
              <w:t>/s/ G. Andre Turenne</w:t>
            </w:r>
          </w:p>
        </w:tc>
      </w:tr>
      <w:tr>
        <w:trPr>
          <w:trHeight w:val="102"/>
        </w:trPr>
        <w:tc>
          <w:tcPr>
            <w:tcW w:w="2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r>
      <w:tr>
        <w:trPr>
          <w:trHeight w:val="269"/>
        </w:trPr>
        <w:tc>
          <w:tcPr>
            <w:tcW w:w="27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0"/>
              </w:rPr>
              <w:t>G. Andre Turenne</w:t>
            </w:r>
          </w:p>
        </w:tc>
      </w:tr>
      <w:tr>
        <w:trPr>
          <w:trHeight w:val="230"/>
        </w:trPr>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 President, and Director</w:t>
            </w:r>
          </w:p>
        </w:tc>
      </w:tr>
    </w:tbl>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94" w:lineRule="exact"/>
        <w:rPr>
          <w:sz w:val="20"/>
          <w:szCs w:val="20"/>
          <w:color w:val="auto"/>
        </w:rPr>
      </w:pPr>
    </w:p>
    <w:p>
      <w:pPr>
        <w:ind w:right="20" w:firstLine="648"/>
        <w:spacing w:after="0" w:line="287" w:lineRule="auto"/>
        <w:rPr>
          <w:sz w:val="20"/>
          <w:szCs w:val="20"/>
          <w:color w:val="auto"/>
        </w:rPr>
      </w:pPr>
      <w:r>
        <w:rPr>
          <w:rFonts w:ascii="Arial" w:cs="Arial" w:eastAsia="Arial" w:hAnsi="Arial"/>
          <w:sz w:val="17"/>
          <w:szCs w:val="17"/>
          <w:color w:val="auto"/>
        </w:rPr>
        <w:t>We, the undersigned directors and officers of Voyager Therapeutics, Inc. (the “Company”), hereby severally constitute and appoint G. Andre Turenne and Allison Dorval,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11" w:lineRule="exact"/>
        <w:rPr>
          <w:sz w:val="20"/>
          <w:szCs w:val="20"/>
          <w:color w:val="auto"/>
        </w:rPr>
      </w:pPr>
    </w:p>
    <w:p>
      <w:pPr>
        <w:ind w:right="260" w:firstLine="648"/>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in the capacities and on the dates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Pr>
          <w:p>
            <w:pPr>
              <w:spacing w:after="0"/>
              <w:rPr>
                <w:sz w:val="16"/>
                <w:szCs w:val="16"/>
                <w:color w:val="auto"/>
              </w:rPr>
            </w:pPr>
          </w:p>
        </w:tc>
        <w:tc>
          <w:tcPr>
            <w:tcW w:w="36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4"/>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G. Andre Turenne</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President, and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G. Andre Turenne</w:t>
            </w:r>
          </w:p>
        </w:tc>
        <w:tc>
          <w:tcPr>
            <w:tcW w:w="3980" w:type="dxa"/>
            <w:vAlign w:val="bottom"/>
            <w:gridSpan w:val="3"/>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/s/Allison Dorval</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8"/>
              </w:rPr>
              <w:t>Allison Dorval</w:t>
            </w:r>
          </w:p>
        </w:tc>
        <w:tc>
          <w:tcPr>
            <w:tcW w:w="3980" w:type="dxa"/>
            <w:vAlign w:val="bottom"/>
            <w:gridSpan w:val="3"/>
          </w:tcPr>
          <w:p>
            <w:pPr>
              <w:ind w:left="160"/>
              <w:spacing w:after="0"/>
              <w:rPr>
                <w:sz w:val="20"/>
                <w:szCs w:val="20"/>
                <w:color w:val="auto"/>
              </w:rPr>
            </w:pPr>
            <w:r>
              <w:rPr>
                <w:rFonts w:ascii="Arial" w:cs="Arial" w:eastAsia="Arial" w:hAnsi="Arial"/>
                <w:sz w:val="18"/>
                <w:szCs w:val="18"/>
                <w:i w:val="1"/>
                <w:iCs w:val="1"/>
                <w:color w:val="auto"/>
              </w:rPr>
              <w:t>(Principal Financial and Accounting Officer)</w:t>
            </w: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/s/Mark Levin</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7"/>
              </w:rPr>
              <w:t>Mark Levin</w:t>
            </w:r>
          </w:p>
        </w:tc>
        <w:tc>
          <w:tcPr>
            <w:tcW w:w="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/s/Jim Geraghty</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Jim Geraghty</w:t>
            </w:r>
          </w:p>
        </w:tc>
        <w:tc>
          <w:tcPr>
            <w:tcW w:w="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/s/Michael Higgins</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4"/>
              </w:rPr>
              <w:t>Michael Higgins</w:t>
            </w:r>
          </w:p>
        </w:tc>
        <w:tc>
          <w:tcPr>
            <w:tcW w:w="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/s/Steven Hyman, M.D.</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Steven Hyman, M.D.</w:t>
            </w:r>
          </w:p>
        </w:tc>
        <w:tc>
          <w:tcPr>
            <w:tcW w:w="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/s/Wendy Dixon, Ph.D.</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2"/>
              </w:rPr>
              <w:t>Wendy Dixon, Ph. D.</w:t>
            </w:r>
          </w:p>
        </w:tc>
        <w:tc>
          <w:tcPr>
            <w:tcW w:w="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/s/Steve Paul, M.D.</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Steve Paul, M.D.</w:t>
            </w:r>
          </w:p>
        </w:tc>
        <w:tc>
          <w:tcPr>
            <w:tcW w:w="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2"/>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/s/Glenn Pierce, M.D., Ph.D.</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3, 2020</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Glenn Pierce, M.D., Ph.D.</w:t>
            </w:r>
          </w:p>
        </w:tc>
        <w:tc>
          <w:tcPr>
            <w:tcW w:w="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195"/>
        </w:trPr>
        <w:tc>
          <w:tcPr>
            <w:tcW w:w="3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1" w:right="1419" w:bottom="1440" w:gutter="0" w:footer="0" w:header="0"/>
        </w:sectPr>
      </w:pPr>
    </w:p>
    <w:bookmarkStart w:id="189" w:name="page190"/>
    <w:bookmarkEnd w:id="189"/>
    <w:p>
      <w:pPr>
        <w:ind w:left="8060"/>
        <w:spacing w:after="0"/>
        <w:rPr>
          <w:sz w:val="20"/>
          <w:szCs w:val="20"/>
          <w:color w:val="auto"/>
        </w:rPr>
      </w:pPr>
      <w:r>
        <w:rPr>
          <w:rFonts w:ascii="Arial" w:cs="Arial" w:eastAsia="Arial" w:hAnsi="Arial"/>
          <w:sz w:val="19"/>
          <w:szCs w:val="19"/>
          <w:b w:val="1"/>
          <w:bCs w:val="1"/>
          <w:color w:val="auto"/>
        </w:rPr>
        <w:t>Exhibit 4.4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SECURITIES REGISTERED UNDER SECTION 12 OF THE EXCHANGE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description of Voyager Therapeutics, Inc. (“us”, “our” or “we”), capital stock is intended as a summary only and therefore is not a complete description of our capital stock. This description is based upon, and is qualified by reference to, our Amended and Restated Certificate of Incorporation (the “Certificate of Incorporation”), our Amended and Restated By-Laws, (the “Bylaws”) and applicable provisions of the Delaware General Corporation Law (“DGCL”). You should read our Certificate of Incorporation and Bylaws, which are filed as exhibits to the Annual Report on Form 10-K of which this Exhibit 4.4 is a part.</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authorized capital stock consists of 120,000,000 shares of common stock, $0.001 par value per share, and 5,000,000 shares of preferred stock, $0.001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Annual Meeting. </w:t>
      </w:r>
      <w:r>
        <w:rPr>
          <w:rFonts w:ascii="Arial" w:cs="Arial" w:eastAsia="Arial" w:hAnsi="Arial"/>
          <w:sz w:val="17"/>
          <w:szCs w:val="17"/>
          <w:color w:val="auto"/>
        </w:rPr>
        <w:t>Annual meetings of our stockholders are held on the date designated in accordance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only by a majority of the board of directors acting pursuant to a resolution approved by the affirmative vote of a majority of the directors then in office. Except as may be otherwise provided by applicable law, our Certificate of Incorporation or our Bylaws, all elections of directors shall be decided by a plurality of the votes properly cast by the stockholders entitled to vote on the election and all other questions shall be decided by a majority of the votes properly cast by stockholders entitled to vote thereon and voting for or against the matter at a duly held meeting of stockholders at which a quorum is present.</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common stock is entitled to one vote for each share held of record on all matters to</w:t>
      </w:r>
      <w:r>
        <w:rPr>
          <w:rFonts w:ascii="Arial" w:cs="Arial" w:eastAsia="Arial" w:hAnsi="Arial"/>
          <w:sz w:val="18"/>
          <w:szCs w:val="18"/>
          <w:i w:val="1"/>
          <w:iCs w:val="1"/>
          <w:color w:val="auto"/>
        </w:rPr>
        <w:t xml:space="preserve"> </w:t>
      </w:r>
      <w:r>
        <w:rPr>
          <w:rFonts w:ascii="Arial" w:cs="Arial" w:eastAsia="Arial" w:hAnsi="Arial"/>
          <w:sz w:val="18"/>
          <w:szCs w:val="18"/>
          <w:color w:val="auto"/>
        </w:rPr>
        <w:t>be voted upon by stockholders.</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the rights, powers and preferences of any outstanding preferred stock, and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law or in our Certificate of Incorporation, dividends may be declared and paid or set aside for payment on the common stock out of legally available assets or funds when and as declared by the board of directors or a duly authorized committee thereof.</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Subject to the rights, powers and preferences of any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the event of our liquidation, dissolution or winding up, our net assets will be distributed pro rata to the holders of our common stock.</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i w:val="1"/>
          <w:iCs w:val="1"/>
          <w:color w:val="auto"/>
        </w:rPr>
        <w:t>Other Rights.</w:t>
      </w:r>
      <w:r>
        <w:rPr>
          <w:sz w:val="20"/>
          <w:szCs w:val="20"/>
          <w:color w:val="auto"/>
        </w:rPr>
        <w:tab/>
      </w:r>
      <w:r>
        <w:rPr>
          <w:rFonts w:ascii="Arial" w:cs="Arial" w:eastAsia="Arial" w:hAnsi="Arial"/>
          <w:sz w:val="16"/>
          <w:szCs w:val="16"/>
          <w:color w:val="auto"/>
        </w:rPr>
        <w:t>Holders of the common stock have no right to:</w:t>
      </w:r>
    </w:p>
    <w:p>
      <w:pPr>
        <w:spacing w:after="0" w:line="23" w:lineRule="exact"/>
        <w:rPr>
          <w:sz w:val="20"/>
          <w:szCs w:val="20"/>
          <w:color w:val="auto"/>
        </w:rPr>
      </w:pPr>
    </w:p>
    <w:p>
      <w:pPr>
        <w:ind w:left="1300" w:hanging="325"/>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convert the stock into any other security;</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have the stock redeemed;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purchase additional stock;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maintain their proportionate ownership interest.</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common stock does not have cumulative voting rights. Holders of shares of the common stock are not required to make additional capital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or a duly authorized committee thereof. Our board of directors or such committee thereof is authorized to fix the designations, powers, preferences and the relative, participating, optional or other special rights and any qualifications, limitations and restrictions of the shares of each series of preferred stock. The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575437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0" w:name="page191"/>
    <w:bookmarkEnd w:id="190"/>
    <w:p>
      <w:pPr>
        <w:ind w:right="280"/>
        <w:spacing w:after="0" w:line="259" w:lineRule="auto"/>
        <w:rPr>
          <w:sz w:val="20"/>
          <w:szCs w:val="20"/>
          <w:color w:val="auto"/>
        </w:rPr>
      </w:pPr>
      <w:r>
        <w:rPr>
          <w:rFonts w:ascii="Arial" w:cs="Arial" w:eastAsia="Arial" w:hAnsi="Arial"/>
          <w:sz w:val="18"/>
          <w:szCs w:val="18"/>
          <w:color w:val="auto"/>
        </w:rPr>
        <w:t>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Currently, we have no shares of preferred stock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of Our Certificate of Incorporation and Bylaws and Delaware Law That May Have Anti-Takeover Effects</w:t>
      </w:r>
    </w:p>
    <w:p>
      <w:pPr>
        <w:spacing w:after="0" w:line="252"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Delaware law, our Certificate of Incorporation, and our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5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Staggered Board; Removal of Directors. </w:t>
      </w:r>
      <w:r>
        <w:rPr>
          <w:rFonts w:ascii="Arial" w:cs="Arial" w:eastAsia="Arial" w:hAnsi="Arial"/>
          <w:sz w:val="17"/>
          <w:szCs w:val="17"/>
          <w:color w:val="auto"/>
        </w:rPr>
        <w:t>Our Certificate of Incorporation divides our board of directors into three</w:t>
      </w:r>
      <w:r>
        <w:rPr>
          <w:rFonts w:ascii="Arial" w:cs="Arial" w:eastAsia="Arial" w:hAnsi="Arial"/>
          <w:sz w:val="17"/>
          <w:szCs w:val="17"/>
          <w:i w:val="1"/>
          <w:iCs w:val="1"/>
          <w:color w:val="auto"/>
        </w:rPr>
        <w:t xml:space="preserve"> </w:t>
      </w:r>
      <w:r>
        <w:rPr>
          <w:rFonts w:ascii="Arial" w:cs="Arial" w:eastAsia="Arial" w:hAnsi="Arial"/>
          <w:sz w:val="17"/>
          <w:szCs w:val="17"/>
          <w:color w:val="auto"/>
        </w:rPr>
        <w:t>classes with staggered three-year terms. In addition, our Certificate of Incorporation provides that directors may be removed only for cause and only by the affirmative vote of the holders of 75% of our shares of capital stock present in person or by proxy and entitled to vote. Under our Certificate of Incorporation and Bylaws, any vacancy on our board of directors, including a vacancy resulting from an enlargement of our board of directors, may be filled only by a vote of a majority of our directors then in office. Furthermore, our Certificate of Incorporation and Bylaws provide that the authorized number of directors may be fixed solely and exclusively by a resolution of the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Stockholder Action by Written Consent; Special Meeting of Stockholders. </w:t>
      </w:r>
      <w:r>
        <w:rPr>
          <w:rFonts w:ascii="Arial" w:cs="Arial" w:eastAsia="Arial" w:hAnsi="Arial"/>
          <w:sz w:val="17"/>
          <w:szCs w:val="17"/>
          <w:color w:val="auto"/>
        </w:rPr>
        <w:t>Our Certificate of Incorporation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a majority of the board of directors acting pursuant to a resolution approved by the affirmative vote of a majority of the directors then in office.</w:t>
      </w:r>
    </w:p>
    <w:p>
      <w:pPr>
        <w:spacing w:after="0" w:line="178" w:lineRule="exact"/>
        <w:rPr>
          <w:sz w:val="20"/>
          <w:szCs w:val="20"/>
          <w:color w:val="auto"/>
        </w:rPr>
      </w:pPr>
    </w:p>
    <w:p>
      <w:pPr>
        <w:ind w:right="80" w:firstLine="648"/>
        <w:spacing w:after="0" w:line="278" w:lineRule="auto"/>
        <w:rPr>
          <w:sz w:val="20"/>
          <w:szCs w:val="20"/>
          <w:color w:val="auto"/>
        </w:rPr>
      </w:pPr>
      <w:r>
        <w:rPr>
          <w:rFonts w:ascii="Arial" w:cs="Arial" w:eastAsia="Arial" w:hAnsi="Arial"/>
          <w:sz w:val="16"/>
          <w:szCs w:val="16"/>
          <w:i w:val="1"/>
          <w:iCs w:val="1"/>
          <w:color w:val="auto"/>
        </w:rPr>
        <w:t xml:space="preserve">Advance Notice Requirements for Stockholder Proposals and Director Nominations. </w:t>
      </w:r>
      <w:r>
        <w:rPr>
          <w:rFonts w:ascii="Arial" w:cs="Arial" w:eastAsia="Arial" w:hAnsi="Arial"/>
          <w:sz w:val="16"/>
          <w:szCs w:val="16"/>
          <w:color w:val="auto"/>
        </w:rPr>
        <w:t>Our Bylaws establish an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Specifically, our Bylaws provide that a stockholder must notify us in writing of any stockholder nomination of a director not earlier than the close of business on the 120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and not later than the close of business on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prior to the first anniversary of the preceding year’s annual meeting; provided, that if the date of the annual meeting is advanced by more than 30 days or delayed more than 60 days from such anniversary date, or if no annual meeting were held in the preceding year, notice by the stockholder to be timely must be so delivered not later than the later of (x) the</w:t>
      </w:r>
    </w:p>
    <w:p>
      <w:pPr>
        <w:spacing w:after="0" w:line="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prior to the date of such annual meeting and (y) the 10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following the day on which public announcement of the date of such annual meeting is first made by us.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it acquired a majority of our outstanding voting stock, it would be able to take action as a stockholder, such as electing new directors or approving a merger, only at a duly called stockholders meeting and not by written consent.</w:t>
      </w:r>
    </w:p>
    <w:p>
      <w:pPr>
        <w:spacing w:after="0" w:line="17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Exclusive Forum Selection. </w:t>
      </w:r>
      <w:r>
        <w:rPr>
          <w:rFonts w:ascii="Arial" w:cs="Arial" w:eastAsia="Arial" w:hAnsi="Arial"/>
          <w:sz w:val="17"/>
          <w:szCs w:val="17"/>
          <w:color w:val="auto"/>
        </w:rPr>
        <w:t>Our Certificate of Incorporation provides that, unless we consent in writing to an</w:t>
      </w:r>
      <w:r>
        <w:rPr>
          <w:rFonts w:ascii="Arial" w:cs="Arial" w:eastAsia="Arial" w:hAnsi="Arial"/>
          <w:sz w:val="17"/>
          <w:szCs w:val="17"/>
          <w:i w:val="1"/>
          <w:iCs w:val="1"/>
          <w:color w:val="auto"/>
        </w:rPr>
        <w:t xml:space="preserve"> </w:t>
      </w:r>
      <w:r>
        <w:rPr>
          <w:rFonts w:ascii="Arial" w:cs="Arial" w:eastAsia="Arial" w:hAnsi="Arial"/>
          <w:sz w:val="17"/>
          <w:szCs w:val="17"/>
          <w:color w:val="auto"/>
        </w:rPr>
        <w:t>alternative forum, the Court of Chancery of the State of Delaware shall, to the fullest extent permitted by law, be the sole and exclusive forum for (1) any derivative action or proceeding brought on behalf of our company, (2) any action asserting a claim of breach of a fiduciary duty owed by any of our directors, officers, or other employees to our company or our stockholders, (3) any action asserting a claim against our company arising pursuant to any provision of the DGCL or our Certificate of Incorporation or Bylaws, or (4) any action asserting a claim against our company governed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575437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1" w:name="page192"/>
    <w:bookmarkEnd w:id="191"/>
    <w:p>
      <w:pPr>
        <w:ind w:right="140"/>
        <w:spacing w:after="0" w:line="273" w:lineRule="auto"/>
        <w:rPr>
          <w:sz w:val="20"/>
          <w:szCs w:val="20"/>
          <w:color w:val="auto"/>
        </w:rPr>
      </w:pPr>
      <w:r>
        <w:rPr>
          <w:rFonts w:ascii="Arial" w:cs="Arial" w:eastAsia="Arial" w:hAnsi="Arial"/>
          <w:sz w:val="17"/>
          <w:szCs w:val="17"/>
          <w:color w:val="auto"/>
        </w:rPr>
        <w:t>internal affairs doctrine, in each case subject to the Court of Chancery having personal jurisdiction over the indispensable parties named as defendants therein. This choice of forum provision is inapplicable to actions arising under the Securities Exchange Act of 1934, as amended, and we likewise do not intend to apply this choice of forum provision to actions arising under the Securities Act of 1933, as amended.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Super-Majority Voting. </w:t>
      </w:r>
      <w:r>
        <w:rPr>
          <w:rFonts w:ascii="Arial" w:cs="Arial" w:eastAsia="Arial" w:hAnsi="Arial"/>
          <w:sz w:val="17"/>
          <w:szCs w:val="17"/>
          <w:color w:val="auto"/>
        </w:rPr>
        <w:t>The DGCL provides generally that the affirmative vote of a majority of the shares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vote on such amendment or repeal, voting as a single class. In addition, the affirmative vote of the holders of at least 75% of the votes that all our stockholders would be entitled to cast in any election of directors is required to amend or repeal or to adopt any provisions inconsistent with provisions of our Certificate of Incorporation described above under “—Staggered Board; Removal of Directors,” “—Stockholder Action by Written Consent; Special Meeting of Stockholders”, and “—Exclusive Forum.”</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interests of our company, our board of directors could cause shares of preferred stock to be issued without stockholder approval in one or more private offerings or other transactions that might dilute the voting or other rights of the proposed acquiror or insurgent shareholder or shareholder group. In this regard, our Certificate of Incorporation grants our board of directors or a duly authorized committee thereof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such holders and may have the effect of delaying, deterring, or preventing a change in control of the company. Our board of directors currently does not intend to seek shareholder approval prior to any issuance of shares of preferred stock, unless otherwise required by law.</w:t>
      </w:r>
    </w:p>
    <w:p>
      <w:pPr>
        <w:spacing w:after="0" w:line="175"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i w:val="1"/>
          <w:iCs w:val="1"/>
          <w:color w:val="auto"/>
        </w:rPr>
        <w:t xml:space="preserve">Delaware Business Combination Statute. </w:t>
      </w:r>
      <w:r>
        <w:rPr>
          <w:rFonts w:ascii="Arial" w:cs="Arial" w:eastAsia="Arial" w:hAnsi="Arial"/>
          <w:sz w:val="16"/>
          <w:szCs w:val="16"/>
          <w:color w:val="auto"/>
        </w:rPr>
        <w:t>Section 203 of the DGCL is applicable to us. Section 203 of the DGCL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restricts some types of transactions and 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3" w:lineRule="exact"/>
        <w:rPr>
          <w:sz w:val="20"/>
          <w:szCs w:val="20"/>
          <w:color w:val="auto"/>
        </w:rPr>
      </w:pPr>
    </w:p>
    <w:p>
      <w:pPr>
        <w:ind w:left="980" w:right="620" w:hanging="329"/>
        <w:spacing w:after="0" w:line="250"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merger with, disposition of significant assets to or receipt of disproportionate financial benefits by the interested stockholder, and</w:t>
      </w:r>
    </w:p>
    <w:p>
      <w:pPr>
        <w:ind w:left="980" w:right="220" w:hanging="329"/>
        <w:spacing w:after="0" w:line="261"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transaction that would increase the interested stockholder’s proportionate ownership of any class or series of our capital stock.</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shares held by the interested stockholder are not counted as outstanding when calculating the two-thirds of the outstanding voting stock needed for approval.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prohibition against these transactions does not apply if:</w:t>
      </w:r>
    </w:p>
    <w:p>
      <w:pPr>
        <w:spacing w:after="0" w:line="23" w:lineRule="exact"/>
        <w:rPr>
          <w:sz w:val="20"/>
          <w:szCs w:val="20"/>
          <w:color w:val="auto"/>
        </w:rPr>
      </w:pPr>
    </w:p>
    <w:p>
      <w:pPr>
        <w:ind w:left="980" w:right="20" w:hanging="329"/>
        <w:spacing w:after="0" w:line="250"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the time that any stockholder became an interested stockholder, the board of directors approved either the business combination or the transaction in which such stockholder acquired 15% or more of our outstanding voting stock, or</w:t>
      </w:r>
    </w:p>
    <w:p>
      <w:pPr>
        <w:spacing w:after="0" w:line="1" w:lineRule="exact"/>
        <w:rPr>
          <w:rFonts w:ascii="Arial" w:cs="Arial" w:eastAsia="Arial" w:hAnsi="Arial"/>
          <w:sz w:val="18"/>
          <w:szCs w:val="18"/>
          <w:color w:val="auto"/>
        </w:rPr>
      </w:pPr>
    </w:p>
    <w:p>
      <w:pPr>
        <w:ind w:left="980" w:hanging="329"/>
        <w:spacing w:after="0" w:line="254"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interested stockholder owns at least 85% of our outstanding voting stock as a result of a transaction in which such stockholder acquired 15% or more of our outstanding voting stock. Shares held by persons who are both directors and officers or by some types of employee stock plans are not counted as outstanding when making this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472440</wp:posOffset>
            </wp:positionV>
            <wp:extent cx="575437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21.1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THE REGISTRANT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Name of Entity</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2"/>
              </w:rPr>
              <w:t>State/Country of Organization</w:t>
            </w:r>
          </w:p>
        </w:tc>
      </w:tr>
      <w:tr>
        <w:trPr>
          <w:trHeight w:val="210"/>
        </w:trPr>
        <w:tc>
          <w:tcPr>
            <w:tcW w:w="4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8"/>
              </w:rPr>
              <w:t>Voyager Securities</w:t>
            </w: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Corporation Massachusetts</w:t>
            </w:r>
          </w:p>
        </w:tc>
      </w:tr>
      <w:tr>
        <w:trPr>
          <w:trHeight w:val="777"/>
        </w:trPr>
        <w:tc>
          <w:tcPr>
            <w:tcW w:w="4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right="320" w:hanging="333"/>
        <w:spacing w:after="0" w:line="291"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Registration Statement (Form S-3 No. 333-234527) and related Prospectus of Voyager Therapeutics, Inc. for the registration of debt securities, common stock, preferred stock, depositary shares, units and warrants;</w:t>
      </w:r>
    </w:p>
    <w:p>
      <w:pPr>
        <w:ind w:left="660" w:right="220" w:hanging="333"/>
        <w:spacing w:after="0" w:line="281"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Registration Statement (Form S-8 No. 333-207958) pertaining to the 2014 Stock Option and Grant Plan, the 2015 Stock Option and Incentive Plan, and the 2015 Employee Stock Purchase Plan of Voyager Therapeutics, Inc.</w:t>
      </w:r>
    </w:p>
    <w:p>
      <w:pPr>
        <w:spacing w:after="0" w:line="1" w:lineRule="exact"/>
        <w:rPr>
          <w:rFonts w:ascii="Arial" w:cs="Arial" w:eastAsia="Arial" w:hAnsi="Arial"/>
          <w:sz w:val="16"/>
          <w:szCs w:val="16"/>
          <w:color w:val="auto"/>
        </w:rPr>
      </w:pPr>
    </w:p>
    <w:p>
      <w:pPr>
        <w:ind w:left="660" w:right="100" w:hanging="333"/>
        <w:spacing w:after="0" w:line="250"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333-210258) pertaining to the 2015 Stock Option and Incentive Plan and the 2015 Employee Stock Purchase Plan of Voyager Therapeutics, Inc.</w:t>
      </w:r>
    </w:p>
    <w:p>
      <w:pPr>
        <w:ind w:left="660" w:right="100" w:hanging="333"/>
        <w:spacing w:after="0" w:line="250"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333-216699) pertaining to the 2015 Stock Option and Incentive Plan and the 2015 Employee Stock Purchase Plan of Voyager Therapeutics, Inc.</w:t>
      </w:r>
    </w:p>
    <w:p>
      <w:pPr>
        <w:ind w:left="660" w:right="100" w:hanging="333"/>
        <w:spacing w:after="0" w:line="250"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333-223638) pertaining to the 2015 Stock Option and Incentive Plan and the 2015 Employee Stock Purchase Plan of Voyager Therapeutics, Inc.</w:t>
      </w:r>
    </w:p>
    <w:p>
      <w:pPr>
        <w:ind w:left="660" w:right="280" w:hanging="333"/>
        <w:spacing w:after="0" w:line="25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333-229891) pertaining to the 2015 Stock Option and Incentive Plan, the 2015 Employee Stock Purchase Plan, the Inducement Stock Option Grant Awards and the Inducement Restricted Stock Unit Awards of Voyager Therapeutics, Inc.</w:t>
      </w:r>
    </w:p>
    <w:p>
      <w:pPr>
        <w:spacing w:after="0" w:line="19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of our report dated March 3, 2020, with respect to the consolidated financial statements of Voyager Therapeutics, Inc., included in this Annual Report (Form 10-K) of Voyager Therapeutics, Inc.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G. Andre Turenne, certify that:</w:t>
      </w:r>
    </w:p>
    <w:p>
      <w:pPr>
        <w:spacing w:after="0" w:line="211" w:lineRule="exact"/>
        <w:rPr>
          <w:sz w:val="20"/>
          <w:szCs w:val="20"/>
          <w:color w:val="auto"/>
        </w:rPr>
      </w:pPr>
    </w:p>
    <w:p>
      <w:pPr>
        <w:ind w:left="320" w:hanging="317"/>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Voyager Therapeutics, Inc.;</w:t>
      </w:r>
    </w:p>
    <w:p>
      <w:pPr>
        <w:spacing w:after="0" w:line="225" w:lineRule="exact"/>
        <w:rPr>
          <w:rFonts w:ascii="Arial" w:cs="Arial" w:eastAsia="Arial" w:hAnsi="Arial"/>
          <w:sz w:val="18"/>
          <w:szCs w:val="18"/>
          <w:color w:val="auto"/>
        </w:rPr>
      </w:pPr>
    </w:p>
    <w:p>
      <w:pPr>
        <w:jc w:val="both"/>
        <w:ind w:left="320" w:right="200" w:hanging="317"/>
        <w:spacing w:after="0" w:line="264" w:lineRule="auto"/>
        <w:tabs>
          <w:tab w:leader="none" w:pos="3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0" w:right="160" w:hanging="317"/>
        <w:spacing w:after="0" w:line="264" w:lineRule="auto"/>
        <w:tabs>
          <w:tab w:leader="none" w:pos="3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20" w:right="80" w:hanging="317"/>
        <w:spacing w:after="0" w:line="286" w:lineRule="auto"/>
        <w:tabs>
          <w:tab w:leader="none" w:pos="3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60" w:hanging="333"/>
        <w:spacing w:after="0" w:line="259" w:lineRule="auto"/>
        <w:tabs>
          <w:tab w:leader="none" w:pos="64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hanging="333"/>
        <w:spacing w:after="0" w:line="259" w:lineRule="auto"/>
        <w:tabs>
          <w:tab w:leader="none" w:pos="6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41"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200" w:hanging="333"/>
        <w:spacing w:after="0" w:line="259" w:lineRule="auto"/>
        <w:tabs>
          <w:tab w:leader="none" w:pos="6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40" w:hanging="317"/>
        <w:spacing w:after="0" w:line="264" w:lineRule="auto"/>
        <w:tabs>
          <w:tab w:leader="none" w:pos="3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4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March 3,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 Andre Turenne</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G. Andre Turenne</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Allison Dorval, certify that:</w:t>
      </w:r>
    </w:p>
    <w:p>
      <w:pPr>
        <w:spacing w:after="0" w:line="211" w:lineRule="exact"/>
        <w:rPr>
          <w:sz w:val="20"/>
          <w:szCs w:val="20"/>
          <w:color w:val="auto"/>
        </w:rPr>
      </w:pPr>
    </w:p>
    <w:p>
      <w:pPr>
        <w:ind w:left="320" w:hanging="317"/>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Voyager Therapeutics, Inc.;</w:t>
      </w:r>
    </w:p>
    <w:p>
      <w:pPr>
        <w:spacing w:after="0" w:line="225" w:lineRule="exact"/>
        <w:rPr>
          <w:rFonts w:ascii="Arial" w:cs="Arial" w:eastAsia="Arial" w:hAnsi="Arial"/>
          <w:sz w:val="18"/>
          <w:szCs w:val="18"/>
          <w:color w:val="auto"/>
        </w:rPr>
      </w:pPr>
    </w:p>
    <w:p>
      <w:pPr>
        <w:jc w:val="both"/>
        <w:ind w:left="320" w:right="200" w:hanging="317"/>
        <w:spacing w:after="0" w:line="264" w:lineRule="auto"/>
        <w:tabs>
          <w:tab w:leader="none" w:pos="3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0" w:right="160" w:hanging="317"/>
        <w:spacing w:after="0" w:line="264" w:lineRule="auto"/>
        <w:tabs>
          <w:tab w:leader="none" w:pos="3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20" w:right="80" w:hanging="317"/>
        <w:spacing w:after="0" w:line="286" w:lineRule="auto"/>
        <w:tabs>
          <w:tab w:leader="none" w:pos="311"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60" w:hanging="333"/>
        <w:spacing w:after="0" w:line="259" w:lineRule="auto"/>
        <w:tabs>
          <w:tab w:leader="none" w:pos="64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hanging="333"/>
        <w:spacing w:after="0" w:line="259" w:lineRule="auto"/>
        <w:tabs>
          <w:tab w:leader="none" w:pos="6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41"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200" w:hanging="333"/>
        <w:spacing w:after="0" w:line="259" w:lineRule="auto"/>
        <w:tabs>
          <w:tab w:leader="none" w:pos="6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40" w:hanging="317"/>
        <w:spacing w:after="0" w:line="264" w:lineRule="auto"/>
        <w:tabs>
          <w:tab w:leader="none" w:pos="3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4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March 3,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Allison Dorval</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Allison Dorval</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04"/>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Annual Report on Form 10-K of Voyager Therapeutics, Inc. (the “Company”) for the year ended December 31, 2019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92" w:lineRule="exact"/>
        <w:rPr>
          <w:sz w:val="20"/>
          <w:szCs w:val="20"/>
          <w:color w:val="auto"/>
        </w:rPr>
      </w:pPr>
    </w:p>
    <w:p>
      <w:pPr>
        <w:ind w:left="440" w:right="220" w:hanging="383"/>
        <w:spacing w:after="0" w:line="27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40" w:right="280" w:hanging="383"/>
        <w:spacing w:after="0" w:line="27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March 3, 2020</w:t>
      </w:r>
      <w:r>
        <w:rPr>
          <w:sz w:val="20"/>
          <w:szCs w:val="20"/>
          <w:color w:val="auto"/>
        </w:rPr>
        <w:tab/>
      </w:r>
      <w:r>
        <w:rPr>
          <w:rFonts w:ascii="Arial" w:cs="Arial" w:eastAsia="Arial" w:hAnsi="Arial"/>
          <w:sz w:val="16"/>
          <w:szCs w:val="16"/>
          <w:i w:val="1"/>
          <w:iCs w:val="1"/>
          <w:color w:val="auto"/>
        </w:rPr>
        <w:t>/s/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 Andre Turenne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 President, and Director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March 3, 2020</w:t>
      </w:r>
      <w:r>
        <w:rPr>
          <w:sz w:val="20"/>
          <w:szCs w:val="20"/>
          <w:color w:val="auto"/>
        </w:rPr>
        <w:tab/>
      </w:r>
      <w:r>
        <w:rPr>
          <w:rFonts w:ascii="Arial" w:cs="Arial" w:eastAsia="Arial" w:hAnsi="Arial"/>
          <w:sz w:val="17"/>
          <w:szCs w:val="17"/>
          <w:i w:val="1"/>
          <w:iCs w:val="1"/>
          <w:color w:val="auto"/>
        </w:rPr>
        <w:t>/s/ Allison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Allison Dorval</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511810</wp:posOffset>
            </wp:positionV>
            <wp:extent cx="575437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lowerRoman"/>
      <w:start w:val="2"/>
    </w:lvl>
  </w:abstractNum>
  <w:abstractNum w:abstractNumId="5">
    <w:nsid w:val="79A1DEAA"/>
    <w:multiLevelType w:val="hybridMultilevel"/>
    <w:lvl w:ilvl="0">
      <w:lvlJc w:val="left"/>
      <w:lvlText w:val="(%1)"/>
      <w:numFmt w:val="lowerLetter"/>
      <w:start w:val="9"/>
    </w:lvl>
  </w:abstractNum>
  <w:abstractNum w:abstractNumId="6">
    <w:nsid w:val="75C6C33A"/>
    <w:multiLevelType w:val="hybridMultilevel"/>
    <w:lvl w:ilvl="0">
      <w:lvlJc w:val="left"/>
      <w:lvlText w:val="(%1)"/>
      <w:numFmt w:val="lowerLetter"/>
      <w:start w:val="2"/>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lvl w:ilvl="1">
      <w:lvlJc w:val="left"/>
      <w:lvlText w:val="●"/>
      <w:numFmt w:val="bullet"/>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decimal"/>
      <w:start w:val="2"/>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1)"/>
      <w:numFmt w:val="lowerRoman"/>
      <w:start w:val="2"/>
    </w:lvl>
  </w:abstractNum>
  <w:abstractNum w:abstractNumId="19">
    <w:nsid w:val="47398C89"/>
    <w:multiLevelType w:val="hybridMultilevel"/>
    <w:lvl w:ilvl="0">
      <w:lvlJc w:val="left"/>
      <w:lvlText w:val="(%1)"/>
      <w:numFmt w:val="lowerLetter"/>
      <w:start w:val="1"/>
    </w:lvl>
  </w:abstractNum>
  <w:abstractNum w:abstractNumId="20">
    <w:nsid w:val="354FE9F9"/>
    <w:multiLevelType w:val="hybridMultilevel"/>
    <w:lvl w:ilvl="0">
      <w:lvlJc w:val="left"/>
      <w:lvlText w:val="(%1)"/>
      <w:numFmt w:val="lowerRoman"/>
      <w:start w:val="1"/>
    </w:lvl>
  </w:abstractNum>
  <w:abstractNum w:abstractNumId="21">
    <w:nsid w:val="15B5AF5C"/>
    <w:multiLevelType w:val="hybridMultilevel"/>
    <w:lvl w:ilvl="0">
      <w:lvlJc w:val="left"/>
      <w:lvlText w:val="(%1)"/>
      <w:numFmt w:val="lowerRoman"/>
      <w:start w:val="1"/>
    </w:lvl>
  </w:abstractNum>
  <w:abstractNum w:abstractNumId="22">
    <w:nsid w:val="741226BB"/>
    <w:multiLevelType w:val="hybridMultilevel"/>
    <w:lvl w:ilvl="0">
      <w:lvlJc w:val="left"/>
      <w:lvlText w:val="(%1)"/>
      <w:numFmt w:val="lowerRoman"/>
      <w:start w:val="2"/>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lowerRoman"/>
      <w:start w:val="3"/>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lowerRoman"/>
      <w:start w:val="3"/>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lowerLetter"/>
      <w:start w:val="4"/>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1)"/>
      <w:numFmt w:val="lowerRoman"/>
      <w:start w:val="1"/>
    </w:lvl>
  </w:abstractNum>
  <w:abstractNum w:abstractNumId="82">
    <w:nsid w:val="68EBC550"/>
    <w:multiLevelType w:val="hybridMultilevel"/>
    <w:lvl w:ilvl="0">
      <w:lvlJc w:val="left"/>
      <w:lvlText w:val="(%1)"/>
      <w:numFmt w:val="lowerRoman"/>
      <w:start w:val="4"/>
    </w:lvl>
  </w:abstractNum>
  <w:abstractNum w:abstractNumId="83">
    <w:nsid w:val="2DF6D648"/>
    <w:multiLevelType w:val="hybridMultilevel"/>
    <w:lvl w:ilvl="0">
      <w:lvlJc w:val="left"/>
      <w:lvlText w:val="(%1)"/>
      <w:numFmt w:val="lowerRoman"/>
      <w:start w:val="3"/>
    </w:lvl>
  </w:abstractNum>
  <w:abstractNum w:abstractNumId="84">
    <w:nsid w:val="46B7D447"/>
    <w:multiLevelType w:val="hybridMultilevel"/>
    <w:lvl w:ilvl="0">
      <w:lvlJc w:val="left"/>
      <w:lvlText w:val="(%1)"/>
      <w:numFmt w:val="lowerRoman"/>
      <w:start w:val="2"/>
    </w:lvl>
  </w:abstractNum>
  <w:abstractNum w:abstractNumId="85">
    <w:nsid w:val="4A2AC315"/>
    <w:multiLevelType w:val="hybridMultilevel"/>
    <w:lvl w:ilvl="0">
      <w:lvlJc w:val="left"/>
      <w:lvlText w:val="(%1)"/>
      <w:numFmt w:val="lowerRoman"/>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
      <w:numFmt w:val="bullet"/>
      <w:start w:val="1"/>
    </w:lvl>
    <w:lvl w:ilvl="1">
      <w:lvlJc w:val="left"/>
      <w:lvlText w:val="%2"/>
      <w:numFmt w:val="decimal"/>
      <w:start w:val="104"/>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quot;"/>
      <w:numFmt w:val="bullet"/>
      <w:start w:val="1"/>
    </w:lvl>
  </w:abstractNum>
  <w:abstractNum w:abstractNumId="91">
    <w:nsid w:val="26F324BA"/>
    <w:multiLevelType w:val="hybridMultilevel"/>
    <w:lvl w:ilvl="0">
      <w:lvlJc w:val="left"/>
      <w:lvlText w:val="&quot;"/>
      <w:numFmt w:val="bullet"/>
      <w:start w:val="1"/>
    </w:lvl>
  </w:abstractNum>
  <w:abstractNum w:abstractNumId="92">
    <w:nsid w:val="7F01579B"/>
    <w:multiLevelType w:val="hybridMultilevel"/>
    <w:lvl w:ilvl="0">
      <w:lvlJc w:val="left"/>
      <w:lvlText w:val="&quot;"/>
      <w:numFmt w:val="bullet"/>
      <w:start w:val="1"/>
    </w:lvl>
  </w:abstractNum>
  <w:abstractNum w:abstractNumId="93">
    <w:nsid w:val="49DA307D"/>
    <w:multiLevelType w:val="hybridMultilevel"/>
    <w:lvl w:ilvl="0">
      <w:lvlJc w:val="left"/>
      <w:lvlText w:val="&quot;"/>
      <w:numFmt w:val="bullet"/>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08" Type="http://schemas.openxmlformats.org/officeDocument/2006/relationships/hyperlink" Target="http://www.sec.gov/Archives/edgar/data/1640266/000110465915079337/a15-23518_1ex3d1.htm" TargetMode="External"/><Relationship Id="rId209" Type="http://schemas.openxmlformats.org/officeDocument/2006/relationships/hyperlink" Target="http://www.sec.gov/Archives/edgar/data/1640266/000110465915079337/a15-23518_1ex3d2.htm" TargetMode="External"/><Relationship Id="rId210" Type="http://schemas.openxmlformats.org/officeDocument/2006/relationships/hyperlink" Target="http://www.sec.gov/Archives/edgar/data/1640266/000155837018002038/vygr-20171231ex4167a89f3.htm" TargetMode="External"/><Relationship Id="rId211" Type="http://schemas.openxmlformats.org/officeDocument/2006/relationships/hyperlink" Target="http://www.sec.gov/Archives/edgar/data/1640266/000104746916017257/a2230542zex-4_2.htm" TargetMode="External"/><Relationship Id="rId212" Type="http://schemas.openxmlformats.org/officeDocument/2006/relationships/hyperlink" Target="http://www.sec.gov/Archives/edgar/data/1640266/000104746915008107/a2226324zex-4_2.htm" TargetMode="External"/><Relationship Id="rId213" Type="http://schemas.openxmlformats.org/officeDocument/2006/relationships/hyperlink" Target="http://www.sec.gov/Archives/edgar/data/1640266/000104746915008107/a2226324zex-10_1.htm" TargetMode="External"/><Relationship Id="rId214" Type="http://schemas.openxmlformats.org/officeDocument/2006/relationships/hyperlink" Target="http://www.sec.gov/Archives/edgar/data/1640266/000104746915008107/a2226324zex-10_2.htm" TargetMode="External"/><Relationship Id="rId215" Type="http://schemas.openxmlformats.org/officeDocument/2006/relationships/hyperlink" Target="http://www.sec.gov/Archives/edgar/data/1640266/000104746915008422/a2226507zex-10_3.htm" TargetMode="External"/><Relationship Id="rId216" Type="http://schemas.openxmlformats.org/officeDocument/2006/relationships/hyperlink" Target="http://www.sec.gov/Archives/edgar/data/1640266/000155837019007823/vygr-20190630ex103fc3820.htm" TargetMode="External"/><Relationship Id="rId217" Type="http://schemas.openxmlformats.org/officeDocument/2006/relationships/hyperlink" Target="http://www.sec.gov/Archives/edgar/data/1640266/000155837019007823/vygr-20190630ex104c1d867.htm" TargetMode="External"/><Relationship Id="rId218" Type="http://schemas.openxmlformats.org/officeDocument/2006/relationships/hyperlink" Target="http://www.sec.gov/Archives/edgar/data/1640266/000155837019001105/vygr-20181231ex10284e899.htm" TargetMode="External"/><Relationship Id="rId219" Type="http://schemas.openxmlformats.org/officeDocument/2006/relationships/hyperlink" Target="http://www.sec.gov/Archives/edgar/data/1640266/000155837019007823/vygr-20190630ex10518a405.htm" TargetMode="External"/><Relationship Id="rId220" Type="http://schemas.openxmlformats.org/officeDocument/2006/relationships/hyperlink" Target="http://www.sec.gov/Archives/edgar/data/1640266/000155837019001105/vygr-20181231ex1029968d0.htm" TargetMode="External"/><Relationship Id="rId221" Type="http://schemas.openxmlformats.org/officeDocument/2006/relationships/hyperlink" Target="http://www.sec.gov/Archives/edgar/data/1640266/000155837019001105/vygr-20181231ex103096308.htm" TargetMode="External"/><Relationship Id="rId222" Type="http://schemas.openxmlformats.org/officeDocument/2006/relationships/hyperlink" Target="http://www.sec.gov/Archives/edgar/data/1640266/000155837018002038/vygr-20171231ex10229c9cb.htm" TargetMode="External"/><Relationship Id="rId223" Type="http://schemas.openxmlformats.org/officeDocument/2006/relationships/hyperlink" Target="http://www.sec.gov/Archives/edgar/data/1640266/000155837019001105/vygr-20181231ex1031444e3.htm" TargetMode="External"/><Relationship Id="rId224" Type="http://schemas.openxmlformats.org/officeDocument/2006/relationships/hyperlink" Target="http://www.sec.gov/Archives/edgar/data/1640266/000104746915007779/a2226176zex-10_4.htm" TargetMode="External"/><Relationship Id="rId225" Type="http://schemas.openxmlformats.org/officeDocument/2006/relationships/hyperlink" Target="http://www.sec.gov/Archives/edgar/data/1640266/000104746915008329/a2226469zex-10_11.htm" TargetMode="External"/><Relationship Id="rId226" Type="http://schemas.openxmlformats.org/officeDocument/2006/relationships/hyperlink" Target="http://www.sec.gov/Archives/edgar/data/1640266/000104746915008107/a2226324zex-10_5.htm" TargetMode="External"/><Relationship Id="rId227" Type="http://schemas.openxmlformats.org/officeDocument/2006/relationships/hyperlink" Target="http://www.sec.gov/Archives/edgar/data/1640266/000155837016005926/vygr-20160331ex105244cd3.htm" TargetMode="External"/><Relationship Id="rId228" Type="http://schemas.openxmlformats.org/officeDocument/2006/relationships/hyperlink" Target="http://www.sec.gov/Archives/edgar/data/1640266/000110465918007228/a18-5526_1ex10d1.htm" TargetMode="External"/><Relationship Id="rId229" Type="http://schemas.openxmlformats.org/officeDocument/2006/relationships/hyperlink" Target="http://www.sec.gov/Archives/edgar/data/1640266/000110465918038314/a18-14788_1ex10d1.htm" TargetMode="External"/><Relationship Id="rId230" Type="http://schemas.openxmlformats.org/officeDocument/2006/relationships/hyperlink" Target="http://www.sec.gov/Archives/edgar/data/1640266/000155837016005926/vygr-20160331ex106f90c42.htm" TargetMode="External"/><Relationship Id="rId231" Type="http://schemas.openxmlformats.org/officeDocument/2006/relationships/hyperlink" Target="http://www.sec.gov/Archives/edgar/data/1640266/000110465918038314/a18-14788_1ex10d2.htm" TargetMode="External"/><Relationship Id="rId232" Type="http://schemas.openxmlformats.org/officeDocument/2006/relationships/hyperlink" Target="http://www.sec.gov/Archives/edgar/data/1640266/000104746915008107/a2226324zex-10_9.htm" TargetMode="External"/><Relationship Id="rId233" Type="http://schemas.openxmlformats.org/officeDocument/2006/relationships/hyperlink" Target="http://www.sec.gov/Archives/edgar/data/1640266/000104746915008107/a2226324zex-10_10.htm" TargetMode="External"/><Relationship Id="rId234" Type="http://schemas.openxmlformats.org/officeDocument/2006/relationships/hyperlink" Target="http://www.sec.gov/Archives/edgar/data/1640266/000104746915008107/a2226324zex-10_12.htm" TargetMode="External"/><Relationship Id="rId235" Type="http://schemas.openxmlformats.org/officeDocument/2006/relationships/hyperlink" Target="http://www.sec.gov/Archives/edgar/data/1640266/000155837018002038/vygr-20171231ex1021617d8.htm" TargetMode="External"/><Relationship Id="rId236" Type="http://schemas.openxmlformats.org/officeDocument/2006/relationships/hyperlink" Target="http://www.sec.gov/Archives/edgar/data/1640266/000110465918042962/a18-16206_1ex10d1.htm" TargetMode="External"/><Relationship Id="rId237" Type="http://schemas.openxmlformats.org/officeDocument/2006/relationships/hyperlink" Target="http://www.sec.gov/Archives/edgar/data/1640266/000110465918042962/a18-16206_1ex10d2.htm" TargetMode="External"/><Relationship Id="rId238" Type="http://schemas.openxmlformats.org/officeDocument/2006/relationships/hyperlink" Target="http://www.sec.gov/Archives/edgar/data/1640266/000110465917057636/a17-22116_1ex10d1.htm" TargetMode="External"/><Relationship Id="rId239" Type="http://schemas.openxmlformats.org/officeDocument/2006/relationships/hyperlink" Target="http://www.sec.gov/Archives/edgar/data/1640266/000155837018008821/vygr-20180930ex1037c3c17.htm" TargetMode="External"/><Relationship Id="rId240" Type="http://schemas.openxmlformats.org/officeDocument/2006/relationships/hyperlink" Target="http://www.sec.gov/Archives/edgar/data/1640266/000110465919030857/a19-10318_1ex10d1.htm" TargetMode="External"/><Relationship Id="rId241" Type="http://schemas.openxmlformats.org/officeDocument/2006/relationships/hyperlink" Target="http://www.sec.gov/Archives/edgar/data/1640266/000155837019007823/vygr-20190630ex1029c79f8.htm" TargetMode="External"/><Relationship Id="rId242" Type="http://schemas.openxmlformats.org/officeDocument/2006/relationships/hyperlink" Target="http://www.sec.gov/Archives/edgar/data/1640266/000155837019004165/vygr-20190331ex105275c9a.htm" TargetMode="External"/><Relationship Id="rId243" Type="http://schemas.openxmlformats.org/officeDocument/2006/relationships/hyperlink" Target="http://www.sec.gov/Archives/edgar/data/1640266/000155837018006628/vygr-20180630ex1059d9d1c.htm" TargetMode="External"/><Relationship Id="rId244" Type="http://schemas.openxmlformats.org/officeDocument/2006/relationships/hyperlink" Target="http://www.sec.gov/Archives/edgar/data/1640266/000155837019010066/ex-10d1.htm" TargetMode="External"/><Relationship Id="rId245" Type="http://schemas.openxmlformats.org/officeDocument/2006/relationships/hyperlink" Target="http://www.sec.gov/Archives/edgar/data/1640266/000155837019007823/vygr-20190630ex106f8be74.htm" TargetMode="External"/><Relationship Id="rId246" Type="http://schemas.openxmlformats.org/officeDocument/2006/relationships/hyperlink" Target="http://www.sec.gov/Archives/edgar/data/1640266/000155837019010066/ex-10d2.htm" TargetMode="External"/><Relationship Id="rId247" Type="http://schemas.openxmlformats.org/officeDocument/2006/relationships/hyperlink" Target="http://www.sec.gov/Archives/edgar/data/1640266/000155837019001105/vygr-20181231ex1027c834c.htm" TargetMode="External"/><Relationship Id="rId248" Type="http://schemas.openxmlformats.org/officeDocument/2006/relationships/hyperlink" Target="http://www.sec.gov/Archives/edgar/data/1640266/000155837019001105/vygr-20181231ex103393920.htm" TargetMode="External"/><Relationship Id="rId249" Type="http://schemas.openxmlformats.org/officeDocument/2006/relationships/hyperlink" Target="http://www.sec.gov/Archives/edgar/data/1640266/000110465920021963/tm208073d1_ex10-1.htm" TargetMode="External"/><Relationship Id="rId250" Type="http://schemas.openxmlformats.org/officeDocument/2006/relationships/hyperlink" Target="http://www.sec.gov/Archives/edgar/data/1640266/000104746919006100/a2239984z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2020-03-03T16:00:50Z</dcterms:created>
  <dcterms:modified xsi:type="dcterms:W3CDTF">2020-03-03T16:00:50Z</dcterms:modified>
</cp:coreProperties>
</file>