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125095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142875</wp:posOffset>
            </wp:positionV>
            <wp:extent cx="1603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460" w:hanging="339"/>
        <w:spacing w:after="0"/>
        <w:tabs>
          <w:tab w:leader="none" w:pos="46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2018.</w:t>
      </w:r>
    </w:p>
    <w:p>
      <w:pPr>
        <w:spacing w:after="0" w:line="98" w:lineRule="exact"/>
        <w:rPr>
          <w:sz w:val="24"/>
          <w:szCs w:val="24"/>
          <w:color w:val="auto"/>
        </w:rPr>
      </w:pPr>
    </w:p>
    <w:p>
      <w:pPr>
        <w:ind w:left="460" w:hanging="339"/>
        <w:spacing w:after="0"/>
        <w:tabs>
          <w:tab w:leader="none" w:pos="460"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63"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For the transition period from ______ to ______</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143510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Voyager Therapeutics, Inc.</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133350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1"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202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Delaware</w:t>
            </w:r>
          </w:p>
        </w:tc>
        <w:tc>
          <w:tcPr>
            <w:tcW w:w="4500" w:type="dxa"/>
            <w:vAlign w:val="bottom"/>
          </w:tcPr>
          <w:p>
            <w:pPr>
              <w:jc w:val="right"/>
              <w:ind w:right="18"/>
              <w:spacing w:after="0"/>
              <w:rPr>
                <w:sz w:val="20"/>
                <w:szCs w:val="20"/>
                <w:color w:val="auto"/>
              </w:rPr>
            </w:pPr>
            <w:r>
              <w:rPr>
                <w:rFonts w:ascii="Arial" w:cs="Arial" w:eastAsia="Arial" w:hAnsi="Arial"/>
                <w:sz w:val="14"/>
                <w:szCs w:val="14"/>
                <w:b w:val="1"/>
                <w:bCs w:val="1"/>
                <w:color w:val="auto"/>
              </w:rPr>
              <w:t>46-3003182</w:t>
            </w:r>
          </w:p>
        </w:tc>
        <w:tc>
          <w:tcPr>
            <w:tcW w:w="0" w:type="dxa"/>
            <w:vAlign w:val="bottom"/>
          </w:tcPr>
          <w:p>
            <w:pPr>
              <w:spacing w:after="0"/>
              <w:rPr>
                <w:sz w:val="1"/>
                <w:szCs w:val="1"/>
                <w:color w:val="auto"/>
              </w:rPr>
            </w:pPr>
          </w:p>
        </w:tc>
      </w:tr>
      <w:tr>
        <w:trPr>
          <w:trHeight w:val="108"/>
        </w:trPr>
        <w:tc>
          <w:tcPr>
            <w:tcW w:w="2020" w:type="dxa"/>
            <w:vAlign w:val="bottom"/>
          </w:tcPr>
          <w:p>
            <w:pPr>
              <w:jc w:val="center"/>
              <w:ind w:right="157"/>
              <w:spacing w:after="0" w:line="109" w:lineRule="exact"/>
              <w:rPr>
                <w:sz w:val="20"/>
                <w:szCs w:val="20"/>
                <w:color w:val="auto"/>
              </w:rPr>
            </w:pPr>
            <w:r>
              <w:rPr>
                <w:rFonts w:ascii="Arial" w:cs="Arial" w:eastAsia="Arial" w:hAnsi="Arial"/>
                <w:sz w:val="11"/>
                <w:szCs w:val="11"/>
                <w:b w:val="1"/>
                <w:bCs w:val="1"/>
                <w:color w:val="auto"/>
                <w:w w:val="90"/>
              </w:rPr>
              <w:t>(State or other jurisdiction of</w:t>
            </w:r>
          </w:p>
        </w:tc>
        <w:tc>
          <w:tcPr>
            <w:tcW w:w="4500" w:type="dxa"/>
            <w:vAlign w:val="bottom"/>
          </w:tcPr>
          <w:p>
            <w:pPr>
              <w:jc w:val="center"/>
              <w:ind w:left="3578"/>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2020" w:type="dxa"/>
            <w:vAlign w:val="bottom"/>
          </w:tcPr>
          <w:p>
            <w:pPr>
              <w:jc w:val="center"/>
              <w:ind w:right="157"/>
              <w:spacing w:after="0"/>
              <w:rPr>
                <w:sz w:val="20"/>
                <w:szCs w:val="20"/>
                <w:color w:val="auto"/>
              </w:rPr>
            </w:pPr>
            <w:r>
              <w:rPr>
                <w:rFonts w:ascii="Arial" w:cs="Arial" w:eastAsia="Arial" w:hAnsi="Arial"/>
                <w:sz w:val="11"/>
                <w:szCs w:val="11"/>
                <w:b w:val="1"/>
                <w:bCs w:val="1"/>
                <w:color w:val="auto"/>
                <w:w w:val="89"/>
              </w:rPr>
              <w:t>incorporation or organization)</w:t>
            </w:r>
          </w:p>
        </w:tc>
        <w:tc>
          <w:tcPr>
            <w:tcW w:w="4500" w:type="dxa"/>
            <w:vAlign w:val="bottom"/>
          </w:tcPr>
          <w:p>
            <w:pPr>
              <w:jc w:val="center"/>
              <w:ind w:left="3578"/>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238"/>
        </w:trPr>
        <w:tc>
          <w:tcPr>
            <w:tcW w:w="2020" w:type="dxa"/>
            <w:vAlign w:val="bottom"/>
          </w:tcPr>
          <w:p>
            <w:pPr>
              <w:ind w:left="360"/>
              <w:spacing w:after="0"/>
              <w:rPr>
                <w:sz w:val="20"/>
                <w:szCs w:val="20"/>
                <w:color w:val="auto"/>
              </w:rPr>
            </w:pPr>
            <w:r>
              <w:rPr>
                <w:rFonts w:ascii="Arial" w:cs="Arial" w:eastAsia="Arial" w:hAnsi="Arial"/>
                <w:sz w:val="14"/>
                <w:szCs w:val="14"/>
                <w:b w:val="1"/>
                <w:bCs w:val="1"/>
                <w:color w:val="auto"/>
              </w:rPr>
              <w:t>75 Sidney Street,</w:t>
            </w:r>
          </w:p>
        </w:tc>
        <w:tc>
          <w:tcPr>
            <w:tcW w:w="450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35"/>
        </w:trPr>
        <w:tc>
          <w:tcPr>
            <w:tcW w:w="20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0"/>
              </w:rPr>
              <w:t>Cambridge, Massachusetts</w:t>
            </w:r>
          </w:p>
        </w:tc>
        <w:tc>
          <w:tcPr>
            <w:tcW w:w="4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20" w:type="dxa"/>
            <w:vAlign w:val="bottom"/>
          </w:tcPr>
          <w:p>
            <w:pPr>
              <w:jc w:val="center"/>
              <w:ind w:right="157"/>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4500" w:type="dxa"/>
            <w:vAlign w:val="bottom"/>
          </w:tcPr>
          <w:p>
            <w:pPr>
              <w:jc w:val="center"/>
              <w:ind w:left="3578"/>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3"/>
                <w:szCs w:val="23"/>
                <w:color w:val="auto"/>
              </w:rPr>
            </w:pPr>
          </w:p>
        </w:tc>
        <w:tc>
          <w:tcPr>
            <w:tcW w:w="4500" w:type="dxa"/>
            <w:vAlign w:val="bottom"/>
          </w:tcPr>
          <w:p>
            <w:pPr>
              <w:jc w:val="right"/>
              <w:ind w:right="2538"/>
              <w:spacing w:after="0"/>
              <w:rPr>
                <w:sz w:val="20"/>
                <w:szCs w:val="20"/>
                <w:color w:val="auto"/>
              </w:rPr>
            </w:pPr>
            <w:r>
              <w:rPr>
                <w:rFonts w:ascii="Arial" w:cs="Arial" w:eastAsia="Arial" w:hAnsi="Arial"/>
                <w:sz w:val="14"/>
                <w:szCs w:val="14"/>
                <w:b w:val="1"/>
                <w:bCs w:val="1"/>
                <w:color w:val="auto"/>
              </w:rPr>
              <w:t>(857) 259-5340</w:t>
            </w:r>
          </w:p>
        </w:tc>
        <w:tc>
          <w:tcPr>
            <w:tcW w:w="0" w:type="dxa"/>
            <w:vAlign w:val="bottom"/>
          </w:tcPr>
          <w:p>
            <w:pPr>
              <w:spacing w:after="0"/>
              <w:rPr>
                <w:sz w:val="1"/>
                <w:szCs w:val="1"/>
                <w:color w:val="auto"/>
              </w:rPr>
            </w:pPr>
          </w:p>
        </w:tc>
      </w:tr>
      <w:tr>
        <w:trPr>
          <w:trHeight w:val="140"/>
        </w:trPr>
        <w:tc>
          <w:tcPr>
            <w:tcW w:w="2020" w:type="dxa"/>
            <w:vAlign w:val="bottom"/>
          </w:tcPr>
          <w:p>
            <w:pPr>
              <w:spacing w:after="0"/>
              <w:rPr>
                <w:sz w:val="12"/>
                <w:szCs w:val="12"/>
                <w:color w:val="auto"/>
              </w:rPr>
            </w:pPr>
          </w:p>
        </w:tc>
        <w:tc>
          <w:tcPr>
            <w:tcW w:w="4500" w:type="dxa"/>
            <w:vAlign w:val="bottom"/>
          </w:tcPr>
          <w:p>
            <w:pPr>
              <w:jc w:val="center"/>
              <w:ind w:right="1518"/>
              <w:spacing w:after="0"/>
              <w:rPr>
                <w:sz w:val="20"/>
                <w:szCs w:val="20"/>
                <w:color w:val="auto"/>
              </w:rPr>
            </w:pPr>
            <w:r>
              <w:rPr>
                <w:rFonts w:ascii="Arial" w:cs="Arial" w:eastAsia="Arial" w:hAnsi="Arial"/>
                <w:sz w:val="11"/>
                <w:szCs w:val="11"/>
                <w:b w:val="1"/>
                <w:bCs w:val="1"/>
                <w:color w:val="auto"/>
                <w:w w:val="87"/>
              </w:rPr>
              <w:t>(Registrant’s telephone number, including area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jc w:val="center"/>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135255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90" w:lineRule="exact"/>
        <w:rPr>
          <w:sz w:val="24"/>
          <w:szCs w:val="24"/>
          <w:color w:val="auto"/>
        </w:rPr>
      </w:pPr>
    </w:p>
    <w:p>
      <w:pPr>
        <w:jc w:val="both"/>
        <w:spacing w:after="0" w:line="13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p>
    <w:p>
      <w:pPr>
        <w:ind w:left="140"/>
        <w:spacing w:after="0" w:line="161" w:lineRule="exact"/>
        <w:tabs>
          <w:tab w:leader="none" w:pos="460" w:val="left"/>
        </w:tabs>
        <w:rPr>
          <w:sz w:val="20"/>
          <w:szCs w:val="20"/>
          <w:color w:val="auto"/>
        </w:rPr>
      </w:pP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129" w:lineRule="exact"/>
        <w:rPr>
          <w:sz w:val="24"/>
          <w:szCs w:val="24"/>
          <w:color w:val="auto"/>
        </w:rPr>
      </w:pPr>
    </w:p>
    <w:p>
      <w:pPr>
        <w:jc w:val="both"/>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7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spacing w:after="0"/>
              <w:rPr>
                <w:sz w:val="14"/>
                <w:szCs w:val="14"/>
                <w:color w:val="auto"/>
              </w:rPr>
            </w:pPr>
          </w:p>
        </w:tc>
        <w:tc>
          <w:tcPr>
            <w:tcW w:w="2840" w:type="dxa"/>
            <w:vAlign w:val="bottom"/>
          </w:tcPr>
          <w:p>
            <w:pPr>
              <w:ind w:left="82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7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240"/>
              <w:spacing w:after="0" w:line="149" w:lineRule="exact"/>
              <w:rPr>
                <w:sz w:val="20"/>
                <w:szCs w:val="20"/>
                <w:color w:val="auto"/>
              </w:rPr>
            </w:pPr>
            <w:r>
              <w:rPr>
                <w:rFonts w:ascii="Arial" w:cs="Arial" w:eastAsia="Arial" w:hAnsi="Arial"/>
                <w:sz w:val="14"/>
                <w:szCs w:val="14"/>
                <w:color w:val="auto"/>
              </w:rPr>
              <w:t>(Do not check if a smaller reporting company)</w:t>
            </w:r>
          </w:p>
        </w:tc>
        <w:tc>
          <w:tcPr>
            <w:tcW w:w="2840" w:type="dxa"/>
            <w:vAlign w:val="bottom"/>
          </w:tcPr>
          <w:p>
            <w:pPr>
              <w:ind w:left="820"/>
              <w:spacing w:after="0" w:line="149" w:lineRule="exact"/>
              <w:rPr>
                <w:sz w:val="20"/>
                <w:szCs w:val="20"/>
                <w:color w:val="auto"/>
              </w:rPr>
            </w:pPr>
            <w:r>
              <w:rPr>
                <w:rFonts w:ascii="Arial" w:cs="Arial" w:eastAsia="Arial" w:hAnsi="Arial"/>
                <w:sz w:val="14"/>
                <w:szCs w:val="14"/>
                <w:color w:val="auto"/>
              </w:rPr>
              <w:t>Smaller reporting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840" w:type="dxa"/>
            <w:vAlign w:val="bottom"/>
          </w:tcPr>
          <w:p>
            <w:pPr>
              <w:ind w:left="820"/>
              <w:spacing w:after="0"/>
              <w:rPr>
                <w:sz w:val="20"/>
                <w:szCs w:val="20"/>
                <w:color w:val="auto"/>
              </w:rPr>
            </w:pPr>
            <w:r>
              <w:rPr>
                <w:rFonts w:ascii="Arial" w:cs="Arial" w:eastAsia="Arial" w:hAnsi="Arial"/>
                <w:sz w:val="14"/>
                <w:szCs w:val="14"/>
                <w:color w:val="auto"/>
              </w:rPr>
              <w:t>Emerging growth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0" w:lineRule="exact"/>
        <w:rPr>
          <w:sz w:val="24"/>
          <w:szCs w:val="24"/>
          <w:color w:val="auto"/>
        </w:rPr>
      </w:pPr>
    </w:p>
    <w:p>
      <w:pPr>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61" w:lineRule="exact"/>
        <w:tabs>
          <w:tab w:leader="none" w:pos="71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outstanding shares of the registrant’s common stock, par value $0.001 per share, as of May 4, 2018 was 32,320,996.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106680</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484505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20" w:right="9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5" w:lineRule="exact"/>
        <w:rPr>
          <w:sz w:val="20"/>
          <w:szCs w:val="20"/>
          <w:color w:val="auto"/>
        </w:rPr>
      </w:pPr>
    </w:p>
    <w:p>
      <w:pPr>
        <w:ind w:right="220" w:firstLine="648"/>
        <w:spacing w:after="0" w:line="232" w:lineRule="auto"/>
        <w:rPr>
          <w:sz w:val="20"/>
          <w:szCs w:val="20"/>
          <w:color w:val="auto"/>
        </w:rPr>
      </w:pPr>
      <w:r>
        <w:rPr>
          <w:rFonts w:ascii="Arial" w:cs="Arial" w:eastAsia="Arial" w:hAnsi="Arial"/>
          <w:sz w:val="17"/>
          <w:szCs w:val="17"/>
          <w:color w:val="auto"/>
        </w:rPr>
        <w:t>The words “anticipate,” “believe,” “estimate,” “expect,” “intend,” “may,” “might,” “plan,” “predict,” “project,” “target,” “potential,” “contemplate,” “anticipate,” “goals,”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3" w:lineRule="exact"/>
        <w:rPr>
          <w:sz w:val="20"/>
          <w:szCs w:val="20"/>
          <w:color w:val="auto"/>
        </w:rPr>
      </w:pPr>
    </w:p>
    <w:p>
      <w:pPr>
        <w:ind w:left="660" w:right="44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 based on adeno-associated virus, or AAV, gene therapy;</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optimize product candidates and novel AAV gene therapy capsids;</w:t>
      </w:r>
    </w:p>
    <w:p>
      <w:pPr>
        <w:spacing w:after="0" w:line="130"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planned clinical trials and related timelines, including our ability to continue to advance VY-AADC through the current Phase 1b clinical trial and into a planned pivotal Phase 2-3 clinical program as a treatment for Parkinson’s disease, and our preclinical development efforts and studies;</w:t>
      </w:r>
    </w:p>
    <w:p>
      <w:pPr>
        <w:spacing w:after="0" w:line="107" w:lineRule="exact"/>
        <w:rPr>
          <w:rFonts w:ascii="Arial" w:cs="Arial" w:eastAsia="Arial" w:hAnsi="Arial"/>
          <w:sz w:val="18"/>
          <w:szCs w:val="18"/>
          <w:color w:val="auto"/>
        </w:rPr>
      </w:pPr>
    </w:p>
    <w:p>
      <w:pPr>
        <w:ind w:left="660" w:right="30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formulation changes to our product candidates may require us to conduct additional clinical studies to bridge our modified product candidates to earlier versions;</w:t>
      </w:r>
    </w:p>
    <w:p>
      <w:pPr>
        <w:spacing w:after="0" w:line="102" w:lineRule="exact"/>
        <w:rPr>
          <w:rFonts w:ascii="Arial" w:cs="Arial" w:eastAsia="Arial" w:hAnsi="Arial"/>
          <w:sz w:val="18"/>
          <w:szCs w:val="18"/>
          <w:color w:val="auto"/>
        </w:rPr>
      </w:pPr>
    </w:p>
    <w:p>
      <w:pPr>
        <w:ind w:left="660" w:right="20" w:hanging="333"/>
        <w:spacing w:after="0" w:line="23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our product candidates, including our ability to file Investigational New Drug applications for our programs including VY-SOD101 for the treatment of a monogenic form of amyotrophic lateral sclerosis, VY-HTT01 for the treatment of Huntington’s disease, and VY-FXN01 for the treatment of Friedreich’s ataxia;</w:t>
      </w:r>
    </w:p>
    <w:p>
      <w:pPr>
        <w:spacing w:after="0" w:line="107"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revenues, capital requirements, and needs for additional financing;</w:t>
      </w:r>
    </w:p>
    <w:p>
      <w:pPr>
        <w:spacing w:after="0" w:line="142" w:lineRule="exact"/>
        <w:rPr>
          <w:rFonts w:ascii="Arial" w:cs="Arial" w:eastAsia="Arial" w:hAnsi="Arial"/>
          <w:sz w:val="17"/>
          <w:szCs w:val="17"/>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develop our gene therapy platform;</w:t>
      </w:r>
    </w:p>
    <w:p>
      <w:pPr>
        <w:spacing w:after="0" w:line="130" w:lineRule="exact"/>
        <w:rPr>
          <w:rFonts w:ascii="Arial" w:cs="Arial" w:eastAsia="Arial" w:hAnsi="Arial"/>
          <w:sz w:val="18"/>
          <w:szCs w:val="18"/>
          <w:color w:val="auto"/>
        </w:rPr>
      </w:pPr>
    </w:p>
    <w:p>
      <w:pPr>
        <w:ind w:left="660" w:right="48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 manufacturing capability compliant with current good manufacturing practices for our product candidates;</w:t>
      </w:r>
    </w:p>
    <w:p>
      <w:pPr>
        <w:spacing w:after="0" w:line="102" w:lineRule="exact"/>
        <w:rPr>
          <w:rFonts w:ascii="Arial" w:cs="Arial" w:eastAsia="Arial" w:hAnsi="Arial"/>
          <w:sz w:val="18"/>
          <w:szCs w:val="18"/>
          <w:color w:val="auto"/>
        </w:rPr>
      </w:pPr>
    </w:p>
    <w:p>
      <w:pPr>
        <w:ind w:left="660" w:right="44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develop, and obtain regulatory clearance for devices to deliver our AAV gene therapies to critical targets of neurological disease;</w:t>
      </w:r>
    </w:p>
    <w:p>
      <w:pPr>
        <w:spacing w:after="0" w:line="102" w:lineRule="exact"/>
        <w:rPr>
          <w:rFonts w:ascii="Arial" w:cs="Arial" w:eastAsia="Arial" w:hAnsi="Arial"/>
          <w:sz w:val="18"/>
          <w:szCs w:val="18"/>
          <w:color w:val="auto"/>
        </w:rPr>
      </w:pPr>
    </w:p>
    <w:p>
      <w:pPr>
        <w:ind w:left="660" w:right="48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our ability to obtain and maintain intellectual property protection for our proprietary assets;</w:t>
      </w:r>
    </w:p>
    <w:p>
      <w:pPr>
        <w:spacing w:after="0" w:line="102" w:lineRule="exact"/>
        <w:rPr>
          <w:rFonts w:ascii="Arial" w:cs="Arial" w:eastAsia="Arial" w:hAnsi="Arial"/>
          <w:sz w:val="18"/>
          <w:szCs w:val="18"/>
          <w:color w:val="auto"/>
        </w:rPr>
      </w:pPr>
    </w:p>
    <w:p>
      <w:pPr>
        <w:ind w:left="660" w:right="32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size of the potential markets for our product candidates and our ability to serve those markets;</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30" w:lineRule="exact"/>
        <w:rPr>
          <w:rFonts w:ascii="Arial" w:cs="Arial" w:eastAsia="Arial" w:hAnsi="Arial"/>
          <w:sz w:val="18"/>
          <w:szCs w:val="18"/>
          <w:color w:val="auto"/>
        </w:rPr>
      </w:pPr>
    </w:p>
    <w:p>
      <w:pPr>
        <w:ind w:left="660" w:right="700" w:hanging="333"/>
        <w:spacing w:after="0" w:line="30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strategic collaborations with Sanofi Genzyme and AbbVie, including the possibility and timing of each exercising options to certain of our programs as specified in the applicable collaboration agreements;</w:t>
      </w:r>
    </w:p>
    <w:p>
      <w:pPr>
        <w:spacing w:after="0" w:line="56" w:lineRule="exact"/>
        <w:rPr>
          <w:rFonts w:ascii="Arial" w:cs="Arial" w:eastAsia="Arial" w:hAnsi="Arial"/>
          <w:sz w:val="16"/>
          <w:szCs w:val="16"/>
          <w:color w:val="auto"/>
        </w:rPr>
      </w:pPr>
    </w:p>
    <w:p>
      <w:pPr>
        <w:ind w:left="660" w:right="16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raise additional capital, including through equity offerings, debt financings, collaborations, strategic alliances, and licensing arrangements;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right="59" w:hanging="333"/>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products that are or become available for the indications that we are pursuing;</w:t>
      </w:r>
    </w:p>
    <w:p>
      <w:pPr>
        <w:spacing w:after="0" w:line="102" w:lineRule="exact"/>
        <w:rPr>
          <w:rFonts w:ascii="Arial" w:cs="Arial" w:eastAsia="Arial" w:hAnsi="Arial"/>
          <w:sz w:val="18"/>
          <w:szCs w:val="18"/>
          <w:color w:val="auto"/>
        </w:rPr>
      </w:pPr>
    </w:p>
    <w:p>
      <w:pPr>
        <w:ind w:left="660" w:right="519" w:hanging="333"/>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 including in the United States, the European Union, and other important geographies such as Japan;</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consistency with results from our ongoing Phase 1b clinical trial in future clinical trials; and</w:t>
      </w:r>
    </w:p>
    <w:p>
      <w:pPr>
        <w:spacing w:after="0" w:line="153" w:lineRule="exact"/>
        <w:rPr>
          <w:rFonts w:ascii="Arial" w:cs="Arial" w:eastAsia="Arial" w:hAnsi="Arial"/>
          <w:sz w:val="16"/>
          <w:szCs w:val="16"/>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future collaborations, strategic alliances, or licensing arrangements.</w:t>
      </w:r>
    </w:p>
    <w:p>
      <w:pPr>
        <w:spacing w:after="0" w:line="131" w:lineRule="exact"/>
        <w:rPr>
          <w:sz w:val="20"/>
          <w:szCs w:val="20"/>
          <w:color w:val="auto"/>
        </w:rPr>
      </w:pPr>
    </w:p>
    <w:p>
      <w:pPr>
        <w:ind w:right="79" w:firstLine="648"/>
        <w:spacing w:after="0" w:line="236"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Quarterly Report on Form 10-Q, particularly in “Part II, Item 1A - Risk Factors,” and in “Part I, Item 1A – Risk Factors” included in our Annual Report on Form 10-K filed with the Securities and Exchange Commission on March 14, 2018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3" w:lineRule="exact"/>
        <w:rPr>
          <w:sz w:val="20"/>
          <w:szCs w:val="20"/>
          <w:color w:val="auto"/>
        </w:rPr>
      </w:pPr>
    </w:p>
    <w:p>
      <w:pPr>
        <w:ind w:right="179" w:firstLine="648"/>
        <w:spacing w:after="0" w:line="219"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the Quarterly Report on Form 10-Q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80" w:type="dxa"/>
            <w:vAlign w:val="bottom"/>
            <w:gridSpan w:val="14"/>
          </w:tcPr>
          <w:p>
            <w:pPr>
              <w:jc w:val="center"/>
              <w:ind w:right="2280"/>
              <w:spacing w:after="0"/>
              <w:rPr>
                <w:sz w:val="20"/>
                <w:szCs w:val="20"/>
                <w:color w:val="auto"/>
              </w:rPr>
            </w:pPr>
            <w:r>
              <w:rPr>
                <w:rFonts w:ascii="Arial" w:cs="Arial" w:eastAsia="Arial" w:hAnsi="Arial"/>
                <w:sz w:val="18"/>
                <w:szCs w:val="18"/>
                <w:b w:val="1"/>
                <w:bCs w:val="1"/>
                <w:color w:val="auto"/>
              </w:rPr>
              <w:t>VOYAGER THERAPEUTICS, INC.</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0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gridSpan w:val="12"/>
          </w:tcPr>
          <w:p>
            <w:pPr>
              <w:jc w:val="center"/>
              <w:ind w:right="264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tcPr>
          <w:p>
            <w:pPr>
              <w:jc w:val="right"/>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ITEM 1.</w:t>
              </w:r>
            </w:hyperlink>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Borders>
              <w:bottom w:val="single" w:sz="8" w:color="0000EE"/>
            </w:tcBorders>
            <w:gridSpan w:val="6"/>
          </w:tcPr>
          <w:p>
            <w:pPr>
              <w:jc w:val="cente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FINANCIAL INFORMATION</w:t>
              </w:r>
            </w:hyperlink>
          </w:p>
        </w:tc>
        <w:tc>
          <w:tcPr>
            <w:tcW w:w="2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0" w:type="dxa"/>
            <w:vAlign w:val="bottom"/>
            <w:tcBorders>
              <w:bottom w:val="single" w:sz="8" w:color="0000EE"/>
            </w:tcBorders>
            <w:vMerge w:val="continue"/>
          </w:tcPr>
          <w:p>
            <w:pPr>
              <w:spacing w:after="0"/>
              <w:rPr>
                <w:sz w:val="18"/>
                <w:szCs w:val="18"/>
                <w:color w:val="auto"/>
              </w:rPr>
            </w:pPr>
          </w:p>
        </w:tc>
        <w:tc>
          <w:tcPr>
            <w:tcW w:w="20" w:type="dxa"/>
            <w:vAlign w:val="bottom"/>
            <w:vMerge w:val="restart"/>
          </w:tcPr>
          <w:p>
            <w:pPr>
              <w:spacing w:after="0"/>
              <w:rPr>
                <w:sz w:val="18"/>
                <w:szCs w:val="18"/>
                <w:color w:val="auto"/>
              </w:rPr>
            </w:pPr>
          </w:p>
        </w:tc>
        <w:tc>
          <w:tcPr>
            <w:tcW w:w="300" w:type="dxa"/>
            <w:vAlign w:val="bottom"/>
            <w:vMerge w:val="restart"/>
          </w:tcPr>
          <w:p>
            <w:pPr>
              <w:spacing w:after="0"/>
              <w:rPr>
                <w:sz w:val="18"/>
                <w:szCs w:val="18"/>
                <w:color w:val="auto"/>
              </w:rPr>
            </w:pPr>
          </w:p>
        </w:tc>
        <w:tc>
          <w:tcPr>
            <w:tcW w:w="5920" w:type="dxa"/>
            <w:vAlign w:val="bottom"/>
            <w:gridSpan w:val="15"/>
            <w:vMerge w:val="restart"/>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FINANCIAL STATEMENTS (UNAUDITED)</w:t>
              </w:r>
            </w:hyperlink>
          </w:p>
        </w:tc>
        <w:tc>
          <w:tcPr>
            <w:tcW w:w="1180" w:type="dxa"/>
            <w:vAlign w:val="bottom"/>
            <w:gridSpan w:val="6"/>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5920" w:type="dxa"/>
            <w:vAlign w:val="bottom"/>
            <w:tcBorders>
              <w:bottom w:val="single" w:sz="8" w:color="0000EE"/>
            </w:tcBorders>
            <w:gridSpan w:val="15"/>
            <w:vMerge w:val="continue"/>
          </w:tcPr>
          <w:p>
            <w:pPr>
              <w:spacing w:after="0" w:line="20" w:lineRule="exact"/>
              <w:rPr>
                <w:sz w:val="1"/>
                <w:szCs w:val="1"/>
                <w:color w:val="auto"/>
              </w:rPr>
            </w:pPr>
          </w:p>
        </w:tc>
        <w:tc>
          <w:tcPr>
            <w:tcW w:w="1180" w:type="dxa"/>
            <w:vAlign w:val="bottom"/>
            <w:gridSpan w:val="6"/>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BALANCE SHEETS</w:t>
              </w:r>
            </w:hyperlink>
          </w:p>
        </w:tc>
        <w:tc>
          <w:tcPr>
            <w:tcW w:w="30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00" w:type="dxa"/>
            <w:vAlign w:val="bottom"/>
            <w:gridSpan w:val="21"/>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OPERATIONS AND COMPREHENSIVE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LOSS</w:t>
              </w:r>
            </w:hyperlink>
          </w:p>
        </w:tc>
        <w:tc>
          <w:tcPr>
            <w:tcW w:w="6640" w:type="dxa"/>
            <w:vAlign w:val="bottom"/>
            <w:tcBorders>
              <w:top w:val="single" w:sz="8" w:color="0000EE"/>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14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CASH FLOWS</w:t>
              </w:r>
            </w:hyperlink>
          </w:p>
        </w:tc>
        <w:tc>
          <w:tcPr>
            <w:tcW w:w="19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10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320"/>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ITEM 2.</w:t>
              </w:r>
            </w:hyperlink>
          </w:p>
        </w:tc>
        <w:tc>
          <w:tcPr>
            <w:tcW w:w="6700" w:type="dxa"/>
            <w:vAlign w:val="bottom"/>
            <w:tcBorders>
              <w:top w:val="single" w:sz="8" w:color="0000EE"/>
            </w:tcBorders>
            <w:gridSpan w:val="19"/>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MANAGEMENT’S DISCUSSION AND ANALYSIS OF FINANCIAL CONDITION AND</w:t>
              </w:r>
            </w:hyperlink>
          </w:p>
        </w:tc>
        <w:tc>
          <w:tcPr>
            <w:tcW w:w="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vMerge w:val="restart"/>
          </w:tcPr>
          <w:p>
            <w:pPr>
              <w:jc w:val="right"/>
              <w:ind w:right="20"/>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ITEM 3.</w:t>
              </w:r>
            </w:hyperlink>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560" w:type="dxa"/>
            <w:vAlign w:val="bottom"/>
            <w:gridSpan w:val="17"/>
          </w:tcPr>
          <w:p>
            <w:pPr>
              <w:spacing w:after="0" w:line="156" w:lineRule="exact"/>
              <w:rPr>
                <w:rFonts w:ascii="Arial" w:cs="Arial" w:eastAsia="Arial" w:hAnsi="Arial"/>
                <w:sz w:val="18"/>
                <w:szCs w:val="18"/>
                <w:color w:val="0000EE"/>
              </w:rPr>
            </w:pPr>
            <w:hyperlink w:anchor="page28">
              <w:r>
                <w:rPr>
                  <w:rFonts w:ascii="Arial" w:cs="Arial" w:eastAsia="Arial" w:hAnsi="Arial"/>
                  <w:sz w:val="18"/>
                  <w:szCs w:val="18"/>
                  <w:color w:val="0000EE"/>
                </w:rPr>
                <w:t>RESULTS OF OPERATIONS</w:t>
              </w:r>
            </w:hyperlink>
          </w:p>
        </w:tc>
        <w:tc>
          <w:tcPr>
            <w:tcW w:w="4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0000EE"/>
            </w:tcBorders>
            <w:gridSpan w:val="3"/>
            <w:vMerge w:val="continue"/>
          </w:tcPr>
          <w:p>
            <w:pPr>
              <w:spacing w:after="0"/>
              <w:rPr>
                <w:sz w:val="18"/>
                <w:szCs w:val="18"/>
                <w:color w:val="auto"/>
              </w:rPr>
            </w:pPr>
          </w:p>
        </w:tc>
        <w:tc>
          <w:tcPr>
            <w:tcW w:w="300" w:type="dxa"/>
            <w:vAlign w:val="bottom"/>
            <w:vMerge w:val="restart"/>
          </w:tcPr>
          <w:p>
            <w:pPr>
              <w:spacing w:after="0"/>
              <w:rPr>
                <w:sz w:val="18"/>
                <w:szCs w:val="18"/>
                <w:color w:val="auto"/>
              </w:rPr>
            </w:pPr>
          </w:p>
        </w:tc>
        <w:tc>
          <w:tcPr>
            <w:tcW w:w="6140" w:type="dxa"/>
            <w:vAlign w:val="bottom"/>
            <w:gridSpan w:val="17"/>
            <w:vMerge w:val="restart"/>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QUANTITATIVE AND QUALITATIVE DISCLOSURES ABOUT MARKET RISK</w:t>
              </w:r>
            </w:hyperlink>
          </w:p>
        </w:tc>
        <w:tc>
          <w:tcPr>
            <w:tcW w:w="960" w:type="dxa"/>
            <w:vAlign w:val="bottom"/>
            <w:gridSpan w:val="4"/>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6140" w:type="dxa"/>
            <w:vAlign w:val="bottom"/>
            <w:tcBorders>
              <w:bottom w:val="single" w:sz="8" w:color="0000EE"/>
            </w:tcBorders>
            <w:gridSpan w:val="17"/>
            <w:vMerge w:val="continue"/>
          </w:tcPr>
          <w:p>
            <w:pPr>
              <w:spacing w:after="0" w:line="20" w:lineRule="exact"/>
              <w:rPr>
                <w:sz w:val="1"/>
                <w:szCs w:val="1"/>
                <w:color w:val="auto"/>
              </w:rPr>
            </w:pPr>
          </w:p>
        </w:tc>
        <w:tc>
          <w:tcPr>
            <w:tcW w:w="96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600" w:type="dxa"/>
            <w:vAlign w:val="bottom"/>
            <w:tcBorders>
              <w:bottom w:val="single" w:sz="8" w:color="0000EE"/>
            </w:tcBorders>
          </w:tcPr>
          <w:p>
            <w:pPr>
              <w:jc w:val="right"/>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ITEM 4.</w:t>
              </w:r>
            </w:hyperlink>
          </w:p>
        </w:tc>
        <w:tc>
          <w:tcPr>
            <w:tcW w:w="320" w:type="dxa"/>
            <w:vAlign w:val="bottom"/>
            <w:gridSpan w:val="2"/>
            <w:vMerge w:val="restart"/>
          </w:tcPr>
          <w:p>
            <w:pPr>
              <w:spacing w:after="0"/>
              <w:rPr>
                <w:sz w:val="18"/>
                <w:szCs w:val="18"/>
                <w:color w:val="auto"/>
              </w:rPr>
            </w:pPr>
          </w:p>
        </w:tc>
        <w:tc>
          <w:tcPr>
            <w:tcW w:w="2600" w:type="dxa"/>
            <w:vAlign w:val="bottom"/>
            <w:gridSpan w:val="10"/>
            <w:vMerge w:val="restart"/>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CONTROLS AND PROCEDURES</w:t>
              </w:r>
            </w:hyperlink>
          </w:p>
        </w:tc>
        <w:tc>
          <w:tcPr>
            <w:tcW w:w="4500" w:type="dxa"/>
            <w:vAlign w:val="bottom"/>
            <w:gridSpan w:val="11"/>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2600" w:type="dxa"/>
            <w:vAlign w:val="bottom"/>
            <w:tcBorders>
              <w:bottom w:val="single" w:sz="8" w:color="0000EE"/>
            </w:tcBorders>
            <w:gridSpan w:val="10"/>
            <w:vMerge w:val="continue"/>
          </w:tcPr>
          <w:p>
            <w:pPr>
              <w:spacing w:after="0" w:line="20" w:lineRule="exact"/>
              <w:rPr>
                <w:sz w:val="1"/>
                <w:szCs w:val="1"/>
                <w:color w:val="auto"/>
              </w:rPr>
            </w:pPr>
          </w:p>
        </w:tc>
        <w:tc>
          <w:tcPr>
            <w:tcW w:w="4500" w:type="dxa"/>
            <w:vAlign w:val="bottom"/>
            <w:gridSpan w:val="11"/>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Borders>
              <w:bottom w:val="single" w:sz="8" w:color="0000EE"/>
            </w:tcBorders>
            <w:gridSpan w:val="4"/>
          </w:tcPr>
          <w:p>
            <w:pPr>
              <w:jc w:val="center"/>
              <w:spacing w:after="0"/>
              <w:rPr>
                <w:rFonts w:ascii="Arial" w:cs="Arial" w:eastAsia="Arial" w:hAnsi="Arial"/>
                <w:sz w:val="18"/>
                <w:szCs w:val="18"/>
                <w:color w:val="0000EE"/>
                <w:w w:val="96"/>
              </w:rPr>
            </w:pPr>
            <w:hyperlink w:anchor="page44">
              <w:r>
                <w:rPr>
                  <w:rFonts w:ascii="Arial" w:cs="Arial" w:eastAsia="Arial" w:hAnsi="Arial"/>
                  <w:sz w:val="18"/>
                  <w:szCs w:val="18"/>
                  <w:color w:val="0000EE"/>
                  <w:w w:val="96"/>
                </w:rPr>
                <w:t>PART II. OTHER INFORMATION</w:t>
              </w:r>
            </w:hyperlink>
          </w:p>
        </w:tc>
        <w:tc>
          <w:tcPr>
            <w:tcW w:w="24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0000EE"/>
            </w:tcBorders>
            <w:gridSpan w:val="3"/>
          </w:tcPr>
          <w:p>
            <w:pPr>
              <w:jc w:val="right"/>
              <w:ind w:right="20"/>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ITEM 1.</w:t>
              </w:r>
            </w:hyperlink>
          </w:p>
        </w:tc>
        <w:tc>
          <w:tcPr>
            <w:tcW w:w="300" w:type="dxa"/>
            <w:vAlign w:val="bottom"/>
            <w:vMerge w:val="restart"/>
          </w:tcPr>
          <w:p>
            <w:pPr>
              <w:spacing w:after="0"/>
              <w:rPr>
                <w:sz w:val="18"/>
                <w:szCs w:val="18"/>
                <w:color w:val="auto"/>
              </w:rPr>
            </w:pPr>
          </w:p>
        </w:tc>
        <w:tc>
          <w:tcPr>
            <w:tcW w:w="7100" w:type="dxa"/>
            <w:vAlign w:val="bottom"/>
            <w:gridSpan w:val="21"/>
            <w:vMerge w:val="restart"/>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7100" w:type="dxa"/>
            <w:vAlign w:val="bottom"/>
            <w:gridSpan w:val="21"/>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Borders>
              <w:bottom w:val="single" w:sz="8" w:color="0000EE"/>
            </w:tcBorders>
            <w:gridSpan w:val="4"/>
          </w:tcPr>
          <w:p>
            <w:pPr>
              <w:jc w:val="right"/>
              <w:ind w:right="20"/>
              <w:spacing w:after="0" w:line="19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ITEM 1A.</w:t>
              </w:r>
            </w:hyperlink>
          </w:p>
        </w:tc>
        <w:tc>
          <w:tcPr>
            <w:tcW w:w="300" w:type="dxa"/>
            <w:vAlign w:val="bottom"/>
            <w:vMerge w:val="restart"/>
          </w:tcPr>
          <w:p>
            <w:pPr>
              <w:spacing w:after="0"/>
              <w:rPr>
                <w:sz w:val="18"/>
                <w:szCs w:val="18"/>
                <w:color w:val="auto"/>
              </w:rPr>
            </w:pPr>
          </w:p>
        </w:tc>
        <w:tc>
          <w:tcPr>
            <w:tcW w:w="1240" w:type="dxa"/>
            <w:vAlign w:val="bottom"/>
            <w:tcBorders>
              <w:top w:val="single" w:sz="8" w:color="0000EE"/>
              <w:bottom w:val="single" w:sz="8" w:color="0000EE"/>
            </w:tcBorders>
            <w:gridSpan w:val="5"/>
            <w:vMerge w:val="restart"/>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RISK FACTORS</w:t>
              </w:r>
            </w:hyperlink>
          </w:p>
        </w:tc>
        <w:tc>
          <w:tcPr>
            <w:tcW w:w="620" w:type="dxa"/>
            <w:vAlign w:val="bottom"/>
            <w:tcBorders>
              <w:top w:val="single" w:sz="8" w:color="0000EE"/>
              <w:bottom w:val="single" w:sz="8" w:color="0000EE"/>
            </w:tcBorders>
            <w:vMerge w:val="restart"/>
          </w:tcPr>
          <w:p>
            <w:pPr>
              <w:spacing w:after="0"/>
              <w:rPr>
                <w:sz w:val="18"/>
                <w:szCs w:val="18"/>
                <w:color w:val="auto"/>
              </w:rPr>
            </w:pPr>
          </w:p>
        </w:tc>
        <w:tc>
          <w:tcPr>
            <w:tcW w:w="5240" w:type="dxa"/>
            <w:vAlign w:val="bottom"/>
            <w:gridSpan w:val="15"/>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240" w:type="dxa"/>
            <w:vAlign w:val="bottom"/>
            <w:tcBorders>
              <w:bottom w:val="single" w:sz="8" w:color="0000EE"/>
            </w:tcBorders>
            <w:gridSpan w:val="5"/>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240" w:type="dxa"/>
            <w:vAlign w:val="bottom"/>
            <w:gridSpan w:val="1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0000EE"/>
            </w:tcBorders>
            <w:gridSpan w:val="3"/>
          </w:tcPr>
          <w:p>
            <w:pPr>
              <w:jc w:val="right"/>
              <w:ind w:right="20"/>
              <w:spacing w:after="0" w:line="196" w:lineRule="exact"/>
              <w:rPr>
                <w:rFonts w:ascii="Arial" w:cs="Arial" w:eastAsia="Arial" w:hAnsi="Arial"/>
                <w:sz w:val="18"/>
                <w:szCs w:val="18"/>
                <w:color w:val="0000EE"/>
                <w:w w:val="95"/>
              </w:rPr>
            </w:pPr>
            <w:hyperlink w:anchor="page101">
              <w:r>
                <w:rPr>
                  <w:rFonts w:ascii="Arial" w:cs="Arial" w:eastAsia="Arial" w:hAnsi="Arial"/>
                  <w:sz w:val="18"/>
                  <w:szCs w:val="18"/>
                  <w:color w:val="0000EE"/>
                  <w:w w:val="95"/>
                </w:rPr>
                <w:t>ITEM 2.</w:t>
              </w:r>
            </w:hyperlink>
          </w:p>
        </w:tc>
        <w:tc>
          <w:tcPr>
            <w:tcW w:w="300" w:type="dxa"/>
            <w:vAlign w:val="bottom"/>
            <w:vMerge w:val="restart"/>
          </w:tcPr>
          <w:p>
            <w:pPr>
              <w:spacing w:after="0"/>
              <w:rPr>
                <w:sz w:val="18"/>
                <w:szCs w:val="18"/>
                <w:color w:val="auto"/>
              </w:rPr>
            </w:pPr>
          </w:p>
        </w:tc>
        <w:tc>
          <w:tcPr>
            <w:tcW w:w="7100" w:type="dxa"/>
            <w:vAlign w:val="bottom"/>
            <w:gridSpan w:val="21"/>
            <w:vMerge w:val="restart"/>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UNREGISTERED SALES OF EQUITY SECURITIES AND USE OF PROCEEDS</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7100" w:type="dxa"/>
            <w:vAlign w:val="bottom"/>
            <w:gridSpan w:val="21"/>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600" w:type="dxa"/>
            <w:vAlign w:val="bottom"/>
            <w:tcBorders>
              <w:bottom w:val="single" w:sz="8" w:color="0000EE"/>
            </w:tcBorders>
          </w:tcPr>
          <w:p>
            <w:pPr>
              <w:jc w:val="right"/>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ITEM 6.</w:t>
              </w:r>
            </w:hyperlink>
          </w:p>
        </w:tc>
        <w:tc>
          <w:tcPr>
            <w:tcW w:w="320" w:type="dxa"/>
            <w:vAlign w:val="bottom"/>
            <w:gridSpan w:val="2"/>
            <w:vMerge w:val="restart"/>
          </w:tcPr>
          <w:p>
            <w:pPr>
              <w:spacing w:after="0"/>
              <w:rPr>
                <w:sz w:val="18"/>
                <w:szCs w:val="18"/>
                <w:color w:val="auto"/>
              </w:rPr>
            </w:pPr>
          </w:p>
        </w:tc>
        <w:tc>
          <w:tcPr>
            <w:tcW w:w="820" w:type="dxa"/>
            <w:vAlign w:val="bottom"/>
            <w:tcBorders>
              <w:top w:val="single" w:sz="8" w:color="0000EE"/>
              <w:bottom w:val="single" w:sz="8" w:color="0000EE"/>
            </w:tcBorders>
            <w:gridSpan w:val="3"/>
            <w:vMerge w:val="restart"/>
          </w:tcPr>
          <w:p>
            <w:pPr>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EXHIBITS</w:t>
              </w:r>
            </w:hyperlink>
          </w:p>
        </w:tc>
        <w:tc>
          <w:tcPr>
            <w:tcW w:w="5240" w:type="dxa"/>
            <w:vAlign w:val="bottom"/>
            <w:tcBorders>
              <w:top w:val="single" w:sz="8" w:color="0000EE"/>
              <w:bottom w:val="single" w:sz="8" w:color="0000EE"/>
            </w:tcBorders>
            <w:gridSpan w:val="13"/>
            <w:vMerge w:val="restart"/>
          </w:tcPr>
          <w:p>
            <w:pPr>
              <w:spacing w:after="0"/>
              <w:rPr>
                <w:sz w:val="18"/>
                <w:szCs w:val="18"/>
                <w:color w:val="auto"/>
              </w:rPr>
            </w:pPr>
          </w:p>
        </w:tc>
        <w:tc>
          <w:tcPr>
            <w:tcW w:w="1040" w:type="dxa"/>
            <w:vAlign w:val="bottom"/>
            <w:gridSpan w:val="5"/>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820" w:type="dxa"/>
            <w:vAlign w:val="bottom"/>
            <w:tcBorders>
              <w:bottom w:val="single" w:sz="8" w:color="0000EE"/>
            </w:tcBorders>
            <w:gridSpan w:val="3"/>
            <w:vMerge w:val="continue"/>
          </w:tcPr>
          <w:p>
            <w:pPr>
              <w:spacing w:after="0" w:line="20" w:lineRule="exact"/>
              <w:rPr>
                <w:sz w:val="1"/>
                <w:szCs w:val="1"/>
                <w:color w:val="auto"/>
              </w:rPr>
            </w:pPr>
          </w:p>
        </w:tc>
        <w:tc>
          <w:tcPr>
            <w:tcW w:w="5240" w:type="dxa"/>
            <w:vAlign w:val="bottom"/>
            <w:gridSpan w:val="13"/>
            <w:vMerge w:val="continue"/>
          </w:tcPr>
          <w:p>
            <w:pPr>
              <w:spacing w:after="0" w:line="20" w:lineRule="exact"/>
              <w:rPr>
                <w:sz w:val="1"/>
                <w:szCs w:val="1"/>
                <w:color w:val="auto"/>
              </w:rPr>
            </w:pPr>
          </w:p>
        </w:tc>
        <w:tc>
          <w:tcPr>
            <w:tcW w:w="1040" w:type="dxa"/>
            <w:vAlign w:val="bottom"/>
            <w:gridSpan w:val="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SIGNATURES</w:t>
              </w:r>
            </w:hyperlink>
          </w:p>
        </w:tc>
        <w:tc>
          <w:tcPr>
            <w:tcW w:w="600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-1905</wp:posOffset>
            </wp:positionV>
            <wp:extent cx="445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43</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43</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ectPr>
          <w:pgSz w:w="11900" w:h="16838" w:orient="portrait"/>
          <w:cols w:equalWidth="0" w:num="2">
            <w:col w:w="8240" w:space="300"/>
            <w:col w:w="52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PART I. FINANCIAL INFORMATION</w:t>
      </w:r>
    </w:p>
    <w:p>
      <w:pPr>
        <w:spacing w:after="0" w:line="13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Voyager Therapeutics,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4" w:lineRule="auto"/>
        <w:rPr>
          <w:sz w:val="20"/>
          <w:szCs w:val="20"/>
          <w:color w:val="auto"/>
        </w:rPr>
      </w:pPr>
      <w:r>
        <w:rPr>
          <w:rFonts w:ascii="Arial" w:cs="Arial" w:eastAsia="Arial" w:hAnsi="Arial"/>
          <w:sz w:val="18"/>
          <w:szCs w:val="18"/>
          <w:b w:val="1"/>
          <w:bCs w:val="1"/>
          <w:i w:val="1"/>
          <w:iCs w:val="1"/>
          <w:color w:val="auto"/>
        </w:rPr>
        <w:t>(amounts 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140,371</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31,530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320"/>
              <w:spacing w:after="0" w:line="135" w:lineRule="exact"/>
              <w:rPr>
                <w:sz w:val="20"/>
                <w:szCs w:val="20"/>
                <w:color w:val="auto"/>
              </w:rPr>
            </w:pPr>
            <w:r>
              <w:rPr>
                <w:rFonts w:ascii="Arial" w:cs="Arial" w:eastAsia="Arial" w:hAnsi="Arial"/>
                <w:sz w:val="14"/>
                <w:szCs w:val="14"/>
                <w:color w:val="auto"/>
              </w:rPr>
              <w:t>Marketable securities, current</w:t>
            </w:r>
          </w:p>
        </w:tc>
        <w:tc>
          <w:tcPr>
            <w:tcW w:w="1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4"/>
                <w:szCs w:val="14"/>
                <w:color w:val="auto"/>
              </w:rPr>
              <w:t>77,827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137,522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2,433</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2,738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20" w:type="dxa"/>
            <w:vAlign w:val="bottom"/>
          </w:tcPr>
          <w:p>
            <w:pPr>
              <w:ind w:left="440"/>
              <w:spacing w:after="0" w:line="129" w:lineRule="exact"/>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4"/>
                <w:szCs w:val="14"/>
                <w:color w:val="auto"/>
              </w:rPr>
              <w:t>220,631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Arial" w:cs="Arial" w:eastAsia="Arial" w:hAnsi="Arial"/>
                <w:sz w:val="14"/>
                <w:szCs w:val="14"/>
                <w:color w:val="auto"/>
              </w:rPr>
              <w:t>171,790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11,458</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10,283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4"/>
                <w:szCs w:val="14"/>
                <w:color w:val="auto"/>
              </w:rPr>
              <w:t>Deposits and other non-current assets</w:t>
            </w:r>
          </w:p>
        </w:tc>
        <w:tc>
          <w:tcPr>
            <w:tcW w:w="1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4"/>
                <w:szCs w:val="14"/>
                <w:color w:val="auto"/>
              </w:rPr>
              <w:t>1,617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1,304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Marketable securities, non-current</w:t>
            </w:r>
          </w:p>
        </w:tc>
        <w:tc>
          <w:tcPr>
            <w:tcW w:w="1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1,320</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1,100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620" w:type="dxa"/>
            <w:vAlign w:val="bottom"/>
            <w:tcBorders>
              <w:bottom w:val="single" w:sz="8" w:color="CCEEFF"/>
            </w:tcBorders>
          </w:tcPr>
          <w:p>
            <w:pPr>
              <w:ind w:left="440"/>
              <w:spacing w:after="0" w:line="129"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235,026</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184,477</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1,372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320"/>
              <w:spacing w:after="0" w:line="135" w:lineRule="exact"/>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4"/>
                <w:szCs w:val="14"/>
                <w:color w:val="auto"/>
              </w:rPr>
              <w:t>9,351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11,497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Deferred revenue, current portion</w:t>
            </w:r>
          </w:p>
        </w:tc>
        <w:tc>
          <w:tcPr>
            <w:tcW w:w="1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20,217</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3,380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20" w:type="dxa"/>
            <w:vAlign w:val="bottom"/>
          </w:tcPr>
          <w:p>
            <w:pPr>
              <w:ind w:left="440"/>
              <w:spacing w:after="0" w:line="129" w:lineRule="exact"/>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4"/>
                <w:szCs w:val="14"/>
                <w:color w:val="auto"/>
              </w:rPr>
              <w:t>30,940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Arial" w:cs="Arial" w:eastAsia="Arial" w:hAnsi="Arial"/>
                <w:sz w:val="14"/>
                <w:szCs w:val="14"/>
                <w:color w:val="auto"/>
              </w:rPr>
              <w:t>15,897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rent</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5,279</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5,337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1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4"/>
                <w:szCs w:val="14"/>
                <w:color w:val="auto"/>
              </w:rPr>
              <w:t>99,506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28,180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1,008</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1,012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20" w:type="dxa"/>
            <w:vAlign w:val="bottom"/>
            <w:tcBorders>
              <w:bottom w:val="single" w:sz="8" w:color="CCEEFF"/>
            </w:tcBorders>
          </w:tcPr>
          <w:p>
            <w:pPr>
              <w:ind w:left="440"/>
              <w:spacing w:after="0" w:line="129" w:lineRule="exact"/>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136,733</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50,426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Commitments and contingencies (see note 6)</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620" w:type="dxa"/>
            <w:vAlign w:val="bottom"/>
            <w:shd w:val="clear" w:color="auto" w:fill="CCEEFF"/>
          </w:tcPr>
          <w:p>
            <w:pPr>
              <w:ind w:left="320"/>
              <w:spacing w:after="0" w:line="108" w:lineRule="exact"/>
              <w:rPr>
                <w:sz w:val="20"/>
                <w:szCs w:val="20"/>
                <w:color w:val="auto"/>
              </w:rPr>
            </w:pPr>
            <w:r>
              <w:rPr>
                <w:rFonts w:ascii="Arial" w:cs="Arial" w:eastAsia="Arial" w:hAnsi="Arial"/>
                <w:sz w:val="12"/>
                <w:szCs w:val="12"/>
                <w:color w:val="auto"/>
              </w:rPr>
              <w:t>Preferred stock $0.001 par value: 5,000,000 shares authorized at March 31, 2018 and</w:t>
            </w:r>
          </w:p>
        </w:tc>
        <w:tc>
          <w:tcPr>
            <w:tcW w:w="14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December 31, 2017; no shares issued and outstanding at March 31, 2018 and December 31, 2017</w:t>
            </w:r>
          </w:p>
        </w:tc>
        <w:tc>
          <w:tcPr>
            <w:tcW w:w="1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620" w:type="dxa"/>
            <w:vAlign w:val="bottom"/>
          </w:tcPr>
          <w:p>
            <w:pPr>
              <w:ind w:left="320"/>
              <w:spacing w:after="0" w:line="108" w:lineRule="exact"/>
              <w:rPr>
                <w:sz w:val="20"/>
                <w:szCs w:val="20"/>
                <w:color w:val="auto"/>
              </w:rPr>
            </w:pPr>
            <w:r>
              <w:rPr>
                <w:rFonts w:ascii="Arial" w:cs="Arial" w:eastAsia="Arial" w:hAnsi="Arial"/>
                <w:sz w:val="12"/>
                <w:szCs w:val="12"/>
                <w:color w:val="auto"/>
              </w:rPr>
              <w:t>Common stock, $0.001 par value: 120,000,000 shares authorized at March 31, 2018 and</w:t>
            </w: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320"/>
              <w:spacing w:after="0" w:line="135" w:lineRule="exact"/>
              <w:rPr>
                <w:sz w:val="20"/>
                <w:szCs w:val="20"/>
                <w:color w:val="auto"/>
              </w:rPr>
            </w:pPr>
            <w:r>
              <w:rPr>
                <w:rFonts w:ascii="Arial" w:cs="Arial" w:eastAsia="Arial" w:hAnsi="Arial"/>
                <w:sz w:val="14"/>
                <w:szCs w:val="14"/>
                <w:color w:val="auto"/>
                <w:w w:val="98"/>
              </w:rPr>
              <w:t>December 31, 2017; 31,888,998 and 31,572,044 shares issued and outstanding at March 31, 2018 and</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620" w:type="dxa"/>
            <w:vAlign w:val="bottom"/>
          </w:tcPr>
          <w:p>
            <w:pPr>
              <w:ind w:left="320"/>
              <w:spacing w:after="0"/>
              <w:rPr>
                <w:sz w:val="20"/>
                <w:szCs w:val="20"/>
                <w:color w:val="auto"/>
              </w:rPr>
            </w:pPr>
            <w:r>
              <w:rPr>
                <w:rFonts w:ascii="Arial" w:cs="Arial" w:eastAsia="Arial" w:hAnsi="Arial"/>
                <w:sz w:val="14"/>
                <w:szCs w:val="14"/>
                <w:color w:val="auto"/>
              </w:rPr>
              <w:t>December 31, 2017, respectively</w:t>
            </w: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299,112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295,019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320"/>
              <w:spacing w:after="0" w:line="135" w:lineRule="exact"/>
              <w:rPr>
                <w:sz w:val="20"/>
                <w:szCs w:val="20"/>
                <w:color w:val="auto"/>
              </w:rPr>
            </w:pPr>
            <w:r>
              <w:rPr>
                <w:rFonts w:ascii="Arial" w:cs="Arial" w:eastAsia="Arial" w:hAnsi="Arial"/>
                <w:sz w:val="14"/>
                <w:szCs w:val="14"/>
                <w:color w:val="auto"/>
              </w:rPr>
              <w:t>Accumulated other comprehensive loss</w:t>
            </w:r>
          </w:p>
        </w:tc>
        <w:tc>
          <w:tcPr>
            <w:tcW w:w="140" w:type="dxa"/>
            <w:vAlign w:val="bottom"/>
          </w:tcPr>
          <w:p>
            <w:pPr>
              <w:spacing w:after="0"/>
              <w:rPr>
                <w:sz w:val="11"/>
                <w:szCs w:val="11"/>
                <w:color w:val="auto"/>
              </w:rPr>
            </w:pP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(162)</w:t>
            </w:r>
          </w:p>
        </w:tc>
        <w:tc>
          <w:tcPr>
            <w:tcW w:w="8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35"/>
        </w:trPr>
        <w:tc>
          <w:tcPr>
            <w:tcW w:w="662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(200,689)</w:t>
            </w: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(160,713)</w:t>
            </w:r>
          </w:p>
        </w:tc>
        <w:tc>
          <w:tcPr>
            <w:tcW w:w="0" w:type="dxa"/>
            <w:vAlign w:val="bottom"/>
          </w:tcPr>
          <w:p>
            <w:pPr>
              <w:spacing w:after="0"/>
              <w:rPr>
                <w:sz w:val="1"/>
                <w:szCs w:val="1"/>
                <w:color w:val="auto"/>
              </w:rPr>
            </w:pPr>
          </w:p>
        </w:tc>
      </w:tr>
      <w:tr>
        <w:trPr>
          <w:trHeight w:val="129"/>
        </w:trPr>
        <w:tc>
          <w:tcPr>
            <w:tcW w:w="6620" w:type="dxa"/>
            <w:vAlign w:val="bottom"/>
            <w:tcBorders>
              <w:bottom w:val="single" w:sz="8" w:color="CCEEFF"/>
            </w:tcBorders>
          </w:tcPr>
          <w:p>
            <w:pPr>
              <w:ind w:left="440"/>
              <w:spacing w:after="0" w:line="129" w:lineRule="exact"/>
              <w:rPr>
                <w:sz w:val="20"/>
                <w:szCs w:val="20"/>
                <w:color w:val="auto"/>
              </w:rPr>
            </w:pPr>
            <w:r>
              <w:rPr>
                <w:rFonts w:ascii="Arial" w:cs="Arial" w:eastAsia="Arial" w:hAnsi="Arial"/>
                <w:sz w:val="14"/>
                <w:szCs w:val="14"/>
                <w:color w:val="auto"/>
              </w:rPr>
              <w:t>Total stockholders’ equity</w:t>
            </w: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98,293</w:t>
            </w: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134,051</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620" w:type="dxa"/>
            <w:vAlign w:val="bottom"/>
            <w:tcBorders>
              <w:bottom w:val="single" w:sz="8" w:color="CCEEFF"/>
            </w:tcBorders>
            <w:shd w:val="clear" w:color="auto" w:fill="CCEEFF"/>
          </w:tcPr>
          <w:p>
            <w:pPr>
              <w:ind w:left="440"/>
              <w:spacing w:after="0" w:line="129"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235,026</w:t>
            </w: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184,477</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04" w:lineRule="auto"/>
        <w:rPr>
          <w:sz w:val="20"/>
          <w:szCs w:val="20"/>
          <w:color w:val="auto"/>
        </w:rPr>
      </w:pPr>
      <w:r>
        <w:rPr>
          <w:rFonts w:ascii="Arial" w:cs="Arial" w:eastAsia="Arial" w:hAnsi="Arial"/>
          <w:sz w:val="18"/>
          <w:szCs w:val="18"/>
          <w:b w:val="1"/>
          <w:bCs w:val="1"/>
          <w:i w:val="1"/>
          <w:iCs w:val="1"/>
          <w:color w:val="auto"/>
        </w:rPr>
        <w:t>(amounts 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6"/>
        </w:trPr>
        <w:tc>
          <w:tcPr>
            <w:tcW w:w="67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14,853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14,072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7,182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4,914</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0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22,035</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18,986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line="170" w:lineRule="exact"/>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(21,093)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(17,522)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220"/>
              <w:spacing w:after="0" w:line="176" w:lineRule="exact"/>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588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00" w:type="dxa"/>
            <w:vAlign w:val="bottom"/>
            <w:tcBorders>
              <w:bottom w:val="single" w:sz="8" w:color="CCEEFF"/>
            </w:tcBorders>
          </w:tcPr>
          <w:p>
            <w:pPr>
              <w:ind w:left="320"/>
              <w:spacing w:after="0" w:line="170" w:lineRule="exact"/>
              <w:rPr>
                <w:sz w:val="20"/>
                <w:szCs w:val="20"/>
                <w:color w:val="auto"/>
              </w:rPr>
            </w:pPr>
            <w:r>
              <w:rPr>
                <w:rFonts w:ascii="Arial" w:cs="Arial" w:eastAsia="Arial" w:hAnsi="Arial"/>
                <w:sz w:val="18"/>
                <w:szCs w:val="18"/>
                <w:color w:val="auto"/>
              </w:rPr>
              <w:t>Total other income</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987</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648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(20,106)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(16,874)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(19,926)</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(16,648)</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700" w:type="dxa"/>
            <w:vAlign w:val="bottom"/>
          </w:tcPr>
          <w:p>
            <w:pPr>
              <w:spacing w:after="0" w:line="163" w:lineRule="exact"/>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0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Net unrealized gain on available-for-sale-securities, net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of tax expense of $244 for the three months ended</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March, 31 2017</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700" w:type="dxa"/>
            <w:vAlign w:val="bottom"/>
            <w:tcBorders>
              <w:bottom w:val="single" w:sz="8" w:color="CCEEFF"/>
            </w:tcBorders>
          </w:tcPr>
          <w:p>
            <w:pPr>
              <w:ind w:left="320"/>
              <w:spacing w:after="0" w:line="170" w:lineRule="exact"/>
              <w:rPr>
                <w:sz w:val="20"/>
                <w:szCs w:val="20"/>
                <w:color w:val="auto"/>
              </w:rPr>
            </w:pPr>
            <w:r>
              <w:rPr>
                <w:rFonts w:ascii="Arial" w:cs="Arial" w:eastAsia="Arial" w:hAnsi="Arial"/>
                <w:sz w:val="18"/>
                <w:szCs w:val="18"/>
                <w:color w:val="auto"/>
              </w:rPr>
              <w:t>Total other comprehensive income</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377</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(19,806)</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(16,271)</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70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share, basic and diluted</w:t>
            </w: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(0.63)</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(0.65)</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Weighted-average common shares outstanding, basic and diluted</w:t>
            </w: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31,759,870</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25,791,591</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Voyager Therapeutics, Inc.</w:t>
      </w:r>
    </w:p>
    <w:p>
      <w:pPr>
        <w:jc w:val="center"/>
        <w:ind w:right="-199"/>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199"/>
        <w:spacing w:after="0" w:line="204" w:lineRule="auto"/>
        <w:rPr>
          <w:sz w:val="20"/>
          <w:szCs w:val="20"/>
          <w:color w:val="auto"/>
        </w:rPr>
      </w:pPr>
      <w:r>
        <w:rPr>
          <w:rFonts w:ascii="Arial" w:cs="Arial" w:eastAsia="Arial" w:hAnsi="Arial"/>
          <w:sz w:val="18"/>
          <w:szCs w:val="18"/>
          <w:b w:val="1"/>
          <w:bCs w:val="1"/>
          <w:i w:val="1"/>
          <w:iCs w:val="1"/>
          <w:color w:val="auto"/>
        </w:rPr>
        <w:t>(amounts in thousands)</w:t>
      </w:r>
    </w:p>
    <w:p>
      <w:pPr>
        <w:jc w:val="center"/>
        <w:ind w:right="-199"/>
        <w:spacing w:after="0"/>
        <w:rPr>
          <w:sz w:val="20"/>
          <w:szCs w:val="20"/>
          <w:color w:val="auto"/>
        </w:rPr>
      </w:pPr>
      <w:r>
        <w:rPr>
          <w:rFonts w:ascii="Arial" w:cs="Arial" w:eastAsia="Arial" w:hAnsi="Arial"/>
          <w:sz w:val="18"/>
          <w:szCs w:val="18"/>
          <w:b w:val="1"/>
          <w:bCs w:val="1"/>
          <w:i w:val="1"/>
          <w:i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29"/>
        </w:trPr>
        <w:tc>
          <w:tcPr>
            <w:tcW w:w="69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 from operating activities</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6940" w:type="dxa"/>
            <w:vAlign w:val="bottom"/>
          </w:tcPr>
          <w:p>
            <w:pPr>
              <w:spacing w:after="0" w:line="135" w:lineRule="exact"/>
              <w:rPr>
                <w:sz w:val="20"/>
                <w:szCs w:val="20"/>
                <w:color w:val="auto"/>
              </w:rPr>
            </w:pPr>
            <w:r>
              <w:rPr>
                <w:rFonts w:ascii="Arial" w:cs="Arial" w:eastAsia="Arial" w:hAnsi="Arial"/>
                <w:sz w:val="14"/>
                <w:szCs w:val="14"/>
                <w:color w:val="auto"/>
              </w:rPr>
              <w:t>Net loss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(19,926)</w:t>
            </w:r>
          </w:p>
        </w:tc>
        <w:tc>
          <w:tcPr>
            <w:tcW w:w="340" w:type="dxa"/>
            <w:vAlign w:val="bottom"/>
            <w:gridSpan w:val="2"/>
          </w:tcPr>
          <w:p>
            <w:pPr>
              <w:jc w:val="right"/>
              <w:ind w:right="88"/>
              <w:spacing w:after="0" w:line="13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(16,648)</w:t>
            </w:r>
          </w:p>
        </w:tc>
      </w:tr>
      <w:tr>
        <w:trPr>
          <w:trHeight w:val="135"/>
        </w:trPr>
        <w:tc>
          <w:tcPr>
            <w:tcW w:w="69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6940" w:type="dxa"/>
            <w:vAlign w:val="bottom"/>
          </w:tcPr>
          <w:p>
            <w:pPr>
              <w:spacing w:after="0" w:line="135" w:lineRule="exact"/>
              <w:rPr>
                <w:sz w:val="20"/>
                <w:szCs w:val="20"/>
                <w:color w:val="auto"/>
              </w:rPr>
            </w:pPr>
            <w:r>
              <w:rPr>
                <w:rFonts w:ascii="Arial" w:cs="Arial" w:eastAsia="Arial" w:hAnsi="Arial"/>
                <w:sz w:val="14"/>
                <w:szCs w:val="14"/>
                <w:color w:val="auto"/>
              </w:rPr>
              <w:t>Stock-based compensation expense</w:t>
            </w: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2,322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2,165</w:t>
            </w:r>
          </w:p>
        </w:tc>
        <w:tc>
          <w:tcPr>
            <w:tcW w:w="100" w:type="dxa"/>
            <w:vAlign w:val="bottom"/>
          </w:tcPr>
          <w:p>
            <w:pPr>
              <w:spacing w:after="0"/>
              <w:rPr>
                <w:sz w:val="11"/>
                <w:szCs w:val="11"/>
                <w:color w:val="auto"/>
              </w:rPr>
            </w:pPr>
          </w:p>
        </w:tc>
      </w:tr>
      <w:tr>
        <w:trPr>
          <w:trHeight w:val="135"/>
        </w:trPr>
        <w:tc>
          <w:tcPr>
            <w:tcW w:w="69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Depreciation</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1"/>
                <w:szCs w:val="11"/>
                <w:color w:val="auto"/>
              </w:rPr>
            </w:pPr>
          </w:p>
        </w:tc>
      </w:tr>
      <w:tr>
        <w:trPr>
          <w:trHeight w:val="135"/>
        </w:trPr>
        <w:tc>
          <w:tcPr>
            <w:tcW w:w="6940" w:type="dxa"/>
            <w:vAlign w:val="bottom"/>
          </w:tcPr>
          <w:p>
            <w:pPr>
              <w:spacing w:after="0" w:line="135" w:lineRule="exact"/>
              <w:rPr>
                <w:sz w:val="20"/>
                <w:szCs w:val="20"/>
                <w:color w:val="auto"/>
              </w:rPr>
            </w:pPr>
            <w:r>
              <w:rPr>
                <w:rFonts w:ascii="Arial" w:cs="Arial" w:eastAsia="Arial" w:hAnsi="Arial"/>
                <w:sz w:val="14"/>
                <w:szCs w:val="14"/>
                <w:color w:val="auto"/>
              </w:rPr>
              <w:t>Amortization of premiums and discounts on marketable securities</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(309)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92</w:t>
            </w:r>
          </w:p>
        </w:tc>
        <w:tc>
          <w:tcPr>
            <w:tcW w:w="100" w:type="dxa"/>
            <w:vAlign w:val="bottom"/>
          </w:tcPr>
          <w:p>
            <w:pPr>
              <w:spacing w:after="0"/>
              <w:rPr>
                <w:sz w:val="11"/>
                <w:szCs w:val="11"/>
                <w:color w:val="auto"/>
              </w:rPr>
            </w:pPr>
          </w:p>
        </w:tc>
      </w:tr>
      <w:tr>
        <w:trPr>
          <w:trHeight w:val="135"/>
        </w:trPr>
        <w:tc>
          <w:tcPr>
            <w:tcW w:w="69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In-kind research and development expenses</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1"/>
                <w:szCs w:val="11"/>
                <w:color w:val="auto"/>
              </w:rPr>
            </w:pPr>
          </w:p>
        </w:tc>
      </w:tr>
      <w:tr>
        <w:trPr>
          <w:trHeight w:val="135"/>
        </w:trPr>
        <w:tc>
          <w:tcPr>
            <w:tcW w:w="6940" w:type="dxa"/>
            <w:vAlign w:val="bottom"/>
          </w:tcPr>
          <w:p>
            <w:pPr>
              <w:spacing w:after="0" w:line="135" w:lineRule="exact"/>
              <w:rPr>
                <w:sz w:val="20"/>
                <w:szCs w:val="20"/>
                <w:color w:val="auto"/>
              </w:rPr>
            </w:pPr>
            <w:r>
              <w:rPr>
                <w:rFonts w:ascii="Arial" w:cs="Arial" w:eastAsia="Arial" w:hAnsi="Arial"/>
                <w:sz w:val="14"/>
                <w:szCs w:val="14"/>
                <w:color w:val="auto"/>
              </w:rPr>
              <w:t>Other non-cash items</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(411)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855</w:t>
            </w:r>
          </w:p>
        </w:tc>
        <w:tc>
          <w:tcPr>
            <w:tcW w:w="100" w:type="dxa"/>
            <w:vAlign w:val="bottom"/>
          </w:tcPr>
          <w:p>
            <w:pPr>
              <w:spacing w:after="0"/>
              <w:rPr>
                <w:sz w:val="11"/>
                <w:szCs w:val="11"/>
                <w:color w:val="auto"/>
              </w:rPr>
            </w:pPr>
          </w:p>
        </w:tc>
      </w:tr>
      <w:tr>
        <w:trPr>
          <w:trHeight w:val="135"/>
        </w:trPr>
        <w:tc>
          <w:tcPr>
            <w:tcW w:w="69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Changes in operating assets and liabilities:</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6940" w:type="dxa"/>
            <w:vAlign w:val="bottom"/>
          </w:tcPr>
          <w:p>
            <w:pPr>
              <w:ind w:left="2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305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958</w:t>
            </w:r>
          </w:p>
        </w:tc>
        <w:tc>
          <w:tcPr>
            <w:tcW w:w="100" w:type="dxa"/>
            <w:vAlign w:val="bottom"/>
          </w:tcPr>
          <w:p>
            <w:pPr>
              <w:spacing w:after="0"/>
              <w:rPr>
                <w:sz w:val="11"/>
                <w:szCs w:val="11"/>
                <w:color w:val="auto"/>
              </w:rPr>
            </w:pPr>
          </w:p>
        </w:tc>
      </w:tr>
      <w:tr>
        <w:trPr>
          <w:trHeight w:val="135"/>
        </w:trPr>
        <w:tc>
          <w:tcPr>
            <w:tcW w:w="69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Other non-current assets</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(1,490)</w:t>
            </w:r>
          </w:p>
        </w:tc>
      </w:tr>
      <w:tr>
        <w:trPr>
          <w:trHeight w:val="135"/>
        </w:trPr>
        <w:tc>
          <w:tcPr>
            <w:tcW w:w="6940" w:type="dxa"/>
            <w:vAlign w:val="bottom"/>
          </w:tcPr>
          <w:p>
            <w:pPr>
              <w:ind w:left="220"/>
              <w:spacing w:after="0" w:line="135" w:lineRule="exact"/>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68,057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(1,464)</w:t>
            </w:r>
          </w:p>
        </w:tc>
      </w:tr>
      <w:tr>
        <w:trPr>
          <w:trHeight w:val="135"/>
        </w:trPr>
        <w:tc>
          <w:tcPr>
            <w:tcW w:w="69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352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1"/>
                <w:szCs w:val="11"/>
                <w:color w:val="auto"/>
              </w:rPr>
            </w:pPr>
          </w:p>
        </w:tc>
      </w:tr>
      <w:tr>
        <w:trPr>
          <w:trHeight w:val="135"/>
        </w:trPr>
        <w:tc>
          <w:tcPr>
            <w:tcW w:w="6940" w:type="dxa"/>
            <w:vAlign w:val="bottom"/>
          </w:tcPr>
          <w:p>
            <w:pPr>
              <w:ind w:left="220"/>
              <w:spacing w:after="0" w:line="135" w:lineRule="exact"/>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(2,232)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(504)</w:t>
            </w:r>
          </w:p>
        </w:tc>
      </w:tr>
      <w:tr>
        <w:trPr>
          <w:trHeight w:val="135"/>
        </w:trPr>
        <w:tc>
          <w:tcPr>
            <w:tcW w:w="69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Other non-current liabilities</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1"/>
                <w:szCs w:val="11"/>
                <w:color w:val="auto"/>
              </w:rPr>
            </w:pPr>
          </w:p>
        </w:tc>
      </w:tr>
      <w:tr>
        <w:trPr>
          <w:trHeight w:val="135"/>
        </w:trPr>
        <w:tc>
          <w:tcPr>
            <w:tcW w:w="6940" w:type="dxa"/>
            <w:vAlign w:val="bottom"/>
          </w:tcPr>
          <w:p>
            <w:pPr>
              <w:ind w:left="220"/>
              <w:spacing w:after="0" w:line="135" w:lineRule="exact"/>
              <w:rPr>
                <w:sz w:val="20"/>
                <w:szCs w:val="20"/>
                <w:color w:val="auto"/>
              </w:rPr>
            </w:pPr>
            <w:r>
              <w:rPr>
                <w:rFonts w:ascii="Arial" w:cs="Arial" w:eastAsia="Arial" w:hAnsi="Arial"/>
                <w:sz w:val="14"/>
                <w:szCs w:val="14"/>
                <w:color w:val="auto"/>
              </w:rPr>
              <w:t>Lease incentive benefit</w:t>
            </w:r>
          </w:p>
        </w:tc>
        <w:tc>
          <w:tcPr>
            <w:tcW w:w="18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1"/>
                <w:szCs w:val="11"/>
                <w:color w:val="auto"/>
              </w:rPr>
            </w:pPr>
          </w:p>
        </w:tc>
      </w:tr>
      <w:tr>
        <w:trPr>
          <w:trHeight w:val="129"/>
        </w:trPr>
        <w:tc>
          <w:tcPr>
            <w:tcW w:w="6940" w:type="dxa"/>
            <w:vAlign w:val="bottom"/>
            <w:tcBorders>
              <w:top w:val="single" w:sz="8" w:color="CCEEFF"/>
            </w:tcBorders>
            <w:shd w:val="clear" w:color="auto" w:fill="CCEEFF"/>
          </w:tcPr>
          <w:p>
            <w:pPr>
              <w:ind w:left="220"/>
              <w:spacing w:after="0" w:line="129" w:lineRule="exact"/>
              <w:rPr>
                <w:sz w:val="20"/>
                <w:szCs w:val="20"/>
                <w:color w:val="auto"/>
              </w:rPr>
            </w:pPr>
            <w:r>
              <w:rPr>
                <w:rFonts w:ascii="Arial" w:cs="Arial" w:eastAsia="Arial" w:hAnsi="Arial"/>
                <w:sz w:val="14"/>
                <w:szCs w:val="14"/>
                <w:color w:val="auto"/>
              </w:rPr>
              <w:t>Net cash provided by (used in) operating activities</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48,610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(14,294)</w:t>
            </w:r>
          </w:p>
        </w:tc>
        <w:tc>
          <w:tcPr>
            <w:tcW w:w="100" w:type="dxa"/>
            <w:vAlign w:val="bottom"/>
            <w:tcBorders>
              <w:top w:val="single" w:sz="8" w:color="CCEEFF"/>
            </w:tcBorders>
            <w:shd w:val="clear" w:color="auto" w:fill="CCEEFF"/>
          </w:tcPr>
          <w:p>
            <w:pPr>
              <w:spacing w:after="0"/>
              <w:rPr>
                <w:sz w:val="11"/>
                <w:szCs w:val="11"/>
                <w:color w:val="auto"/>
              </w:rPr>
            </w:pPr>
          </w:p>
        </w:tc>
      </w:tr>
      <w:tr>
        <w:trPr>
          <w:trHeight w:val="129"/>
        </w:trPr>
        <w:tc>
          <w:tcPr>
            <w:tcW w:w="6940" w:type="dxa"/>
            <w:vAlign w:val="bottom"/>
          </w:tcPr>
          <w:p>
            <w:pPr>
              <w:spacing w:after="0" w:line="129" w:lineRule="exact"/>
              <w:rPr>
                <w:sz w:val="20"/>
                <w:szCs w:val="20"/>
                <w:color w:val="auto"/>
              </w:rPr>
            </w:pPr>
            <w:r>
              <w:rPr>
                <w:rFonts w:ascii="Arial" w:cs="Arial" w:eastAsia="Arial" w:hAnsi="Arial"/>
                <w:sz w:val="14"/>
                <w:szCs w:val="14"/>
                <w:b w:val="1"/>
                <w:bCs w:val="1"/>
                <w:color w:val="auto"/>
              </w:rPr>
              <w:t>Cash flow from investing activities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9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Purchases of property and equipment</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(1,607)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(2,945)</w:t>
            </w:r>
          </w:p>
        </w:tc>
      </w:tr>
      <w:tr>
        <w:trPr>
          <w:trHeight w:val="135"/>
        </w:trPr>
        <w:tc>
          <w:tcPr>
            <w:tcW w:w="6940" w:type="dxa"/>
            <w:vAlign w:val="bottom"/>
          </w:tcPr>
          <w:p>
            <w:pPr>
              <w:spacing w:after="0" w:line="135" w:lineRule="exact"/>
              <w:rPr>
                <w:sz w:val="20"/>
                <w:szCs w:val="20"/>
                <w:color w:val="auto"/>
              </w:rPr>
            </w:pPr>
            <w:r>
              <w:rPr>
                <w:rFonts w:ascii="Arial" w:cs="Arial" w:eastAsia="Arial" w:hAnsi="Arial"/>
                <w:sz w:val="14"/>
                <w:szCs w:val="14"/>
                <w:color w:val="auto"/>
              </w:rPr>
              <w:t>Purchases of marketable securities</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(9,991)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r>
      <w:tr>
        <w:trPr>
          <w:trHeight w:val="135"/>
        </w:trPr>
        <w:tc>
          <w:tcPr>
            <w:tcW w:w="69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Proceeds from maturities of marketable securities</w:t>
            </w: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70,000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23,600</w:t>
            </w:r>
          </w:p>
        </w:tc>
        <w:tc>
          <w:tcPr>
            <w:tcW w:w="100" w:type="dxa"/>
            <w:vAlign w:val="bottom"/>
            <w:shd w:val="clear" w:color="auto" w:fill="CCEEFF"/>
          </w:tcPr>
          <w:p>
            <w:pPr>
              <w:spacing w:after="0"/>
              <w:rPr>
                <w:sz w:val="11"/>
                <w:szCs w:val="11"/>
                <w:color w:val="auto"/>
              </w:rPr>
            </w:pPr>
          </w:p>
        </w:tc>
      </w:tr>
      <w:tr>
        <w:trPr>
          <w:trHeight w:val="129"/>
        </w:trPr>
        <w:tc>
          <w:tcPr>
            <w:tcW w:w="6940" w:type="dxa"/>
            <w:vAlign w:val="bottom"/>
            <w:tcBorders>
              <w:bottom w:val="single" w:sz="8" w:color="CCEEFF"/>
            </w:tcBorders>
          </w:tcPr>
          <w:p>
            <w:pPr>
              <w:ind w:left="220"/>
              <w:spacing w:after="0" w:line="129" w:lineRule="exact"/>
              <w:rPr>
                <w:sz w:val="20"/>
                <w:szCs w:val="20"/>
                <w:color w:val="auto"/>
              </w:rPr>
            </w:pPr>
            <w:r>
              <w:rPr>
                <w:rFonts w:ascii="Arial" w:cs="Arial" w:eastAsia="Arial" w:hAnsi="Arial"/>
                <w:sz w:val="14"/>
                <w:szCs w:val="14"/>
                <w:color w:val="auto"/>
              </w:rPr>
              <w:t>Net cash provided by investing activities</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58,402</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20,655</w:t>
            </w:r>
          </w:p>
        </w:tc>
        <w:tc>
          <w:tcPr>
            <w:tcW w:w="100" w:type="dxa"/>
            <w:vAlign w:val="bottom"/>
            <w:tcBorders>
              <w:bottom w:val="single" w:sz="8" w:color="CCEEFF"/>
            </w:tcBorders>
          </w:tcPr>
          <w:p>
            <w:pPr>
              <w:spacing w:after="0"/>
              <w:rPr>
                <w:sz w:val="11"/>
                <w:szCs w:val="11"/>
                <w:color w:val="auto"/>
              </w:rPr>
            </w:pPr>
          </w:p>
        </w:tc>
      </w:tr>
      <w:tr>
        <w:trPr>
          <w:trHeight w:val="129"/>
        </w:trPr>
        <w:tc>
          <w:tcPr>
            <w:tcW w:w="69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 from financing activities</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6940" w:type="dxa"/>
            <w:vAlign w:val="bottom"/>
          </w:tcPr>
          <w:p>
            <w:pPr>
              <w:spacing w:after="0" w:line="135" w:lineRule="exact"/>
              <w:rPr>
                <w:sz w:val="20"/>
                <w:szCs w:val="20"/>
                <w:color w:val="auto"/>
              </w:rPr>
            </w:pPr>
            <w:r>
              <w:rPr>
                <w:rFonts w:ascii="Arial" w:cs="Arial" w:eastAsia="Arial" w:hAnsi="Arial"/>
                <w:sz w:val="14"/>
                <w:szCs w:val="14"/>
                <w:color w:val="auto"/>
              </w:rPr>
              <w:t>Proceeds from the exercise of stock options</w:t>
            </w: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1,411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602</w:t>
            </w:r>
          </w:p>
        </w:tc>
        <w:tc>
          <w:tcPr>
            <w:tcW w:w="100" w:type="dxa"/>
            <w:vAlign w:val="bottom"/>
          </w:tcPr>
          <w:p>
            <w:pPr>
              <w:spacing w:after="0"/>
              <w:rPr>
                <w:sz w:val="11"/>
                <w:szCs w:val="11"/>
                <w:color w:val="auto"/>
              </w:rPr>
            </w:pPr>
          </w:p>
        </w:tc>
      </w:tr>
      <w:tr>
        <w:trPr>
          <w:trHeight w:val="135"/>
        </w:trPr>
        <w:tc>
          <w:tcPr>
            <w:tcW w:w="69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Proceeds from the purchase of common stock under ESPP</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r>
      <w:tr>
        <w:trPr>
          <w:trHeight w:val="129"/>
        </w:trPr>
        <w:tc>
          <w:tcPr>
            <w:tcW w:w="6940" w:type="dxa"/>
            <w:vAlign w:val="bottom"/>
            <w:tcBorders>
              <w:bottom w:val="single" w:sz="8" w:color="CCEEFF"/>
            </w:tcBorders>
          </w:tcPr>
          <w:p>
            <w:pPr>
              <w:ind w:left="220"/>
              <w:spacing w:after="0" w:line="129" w:lineRule="exact"/>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1,829</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602</w:t>
            </w:r>
          </w:p>
        </w:tc>
        <w:tc>
          <w:tcPr>
            <w:tcW w:w="100" w:type="dxa"/>
            <w:vAlign w:val="bottom"/>
            <w:tcBorders>
              <w:bottom w:val="single" w:sz="8" w:color="CCEEFF"/>
            </w:tcBorders>
          </w:tcPr>
          <w:p>
            <w:pPr>
              <w:spacing w:after="0"/>
              <w:rPr>
                <w:sz w:val="11"/>
                <w:szCs w:val="11"/>
                <w:color w:val="auto"/>
              </w:rPr>
            </w:pPr>
          </w:p>
        </w:tc>
      </w:tr>
      <w:tr>
        <w:trPr>
          <w:trHeight w:val="129"/>
        </w:trPr>
        <w:tc>
          <w:tcPr>
            <w:tcW w:w="69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increase in cash, cash equivalents, and restricted cash</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108,841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6,963</w:t>
            </w:r>
          </w:p>
        </w:tc>
        <w:tc>
          <w:tcPr>
            <w:tcW w:w="100" w:type="dxa"/>
            <w:vAlign w:val="bottom"/>
            <w:shd w:val="clear" w:color="auto" w:fill="CCEEFF"/>
          </w:tcPr>
          <w:p>
            <w:pPr>
              <w:spacing w:after="0"/>
              <w:rPr>
                <w:sz w:val="11"/>
                <w:szCs w:val="11"/>
                <w:color w:val="auto"/>
              </w:rPr>
            </w:pPr>
          </w:p>
        </w:tc>
      </w:tr>
      <w:tr>
        <w:trPr>
          <w:trHeight w:val="135"/>
        </w:trPr>
        <w:tc>
          <w:tcPr>
            <w:tcW w:w="694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Cash, cash equivalents, and restricted cash beginning of period</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32,265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37,376</w:t>
            </w:r>
          </w:p>
        </w:tc>
        <w:tc>
          <w:tcPr>
            <w:tcW w:w="100" w:type="dxa"/>
            <w:vAlign w:val="bottom"/>
            <w:tcBorders>
              <w:bottom w:val="single" w:sz="8" w:color="CCEEFF"/>
            </w:tcBorders>
          </w:tcPr>
          <w:p>
            <w:pPr>
              <w:spacing w:after="0"/>
              <w:rPr>
                <w:sz w:val="11"/>
                <w:szCs w:val="11"/>
                <w:color w:val="auto"/>
              </w:rPr>
            </w:pPr>
          </w:p>
        </w:tc>
      </w:tr>
      <w:tr>
        <w:trPr>
          <w:trHeight w:val="149"/>
        </w:trPr>
        <w:tc>
          <w:tcPr>
            <w:tcW w:w="69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cash equivalents, and restricted cash end of period</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141,106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44,339</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22"/>
        </w:trPr>
        <w:tc>
          <w:tcPr>
            <w:tcW w:w="6940" w:type="dxa"/>
            <w:vAlign w:val="bottom"/>
          </w:tcPr>
          <w:p>
            <w:pPr>
              <w:spacing w:after="0" w:line="122" w:lineRule="exact"/>
              <w:rPr>
                <w:sz w:val="20"/>
                <w:szCs w:val="20"/>
                <w:color w:val="auto"/>
              </w:rPr>
            </w:pPr>
            <w:r>
              <w:rPr>
                <w:rFonts w:ascii="Arial" w:cs="Arial" w:eastAsia="Arial" w:hAnsi="Arial"/>
                <w:sz w:val="14"/>
                <w:szCs w:val="14"/>
                <w:b w:val="1"/>
                <w:bCs w:val="1"/>
                <w:color w:val="auto"/>
              </w:rPr>
              <w:t>Supplemental disclosure of cash and non-cash activities</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69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Capital expenditures incurred but not yet paid</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1"/>
                <w:szCs w:val="11"/>
                <w:color w:val="auto"/>
              </w:rPr>
            </w:pPr>
          </w:p>
        </w:tc>
      </w:tr>
      <w:tr>
        <w:trPr>
          <w:trHeight w:val="182"/>
        </w:trPr>
        <w:tc>
          <w:tcPr>
            <w:tcW w:w="6940" w:type="dxa"/>
            <w:vAlign w:val="bottom"/>
          </w:tcPr>
          <w:p>
            <w:pPr>
              <w:spacing w:after="0"/>
              <w:rPr>
                <w:sz w:val="20"/>
                <w:szCs w:val="20"/>
                <w:color w:val="auto"/>
              </w:rPr>
            </w:pPr>
            <w:r>
              <w:rPr>
                <w:rFonts w:ascii="Arial" w:cs="Arial" w:eastAsia="Arial" w:hAnsi="Arial"/>
                <w:sz w:val="14"/>
                <w:szCs w:val="14"/>
                <w:color w:val="auto"/>
              </w:rPr>
              <w:t>Impact of adopting new accounting standards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20,050</w:t>
            </w:r>
          </w:p>
        </w:tc>
        <w:tc>
          <w:tcPr>
            <w:tcW w:w="120" w:type="dxa"/>
            <w:vAlign w:val="bottom"/>
          </w:tcPr>
          <w:p>
            <w:pPr>
              <w:spacing w:after="0"/>
              <w:rPr>
                <w:sz w:val="15"/>
                <w:szCs w:val="15"/>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VOYAGER THERAPEUTICS INC.</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Voyager Therapeutics, Inc. (the “Company”) is a clinical-stage gene therapy company focused on developing life-changing treatments for patients suffering from severe neurological diseases. The Company is focused on neurological diseases where it believes an adeno-associated virus (“AAV”) gene therapy approach that either increases or decreases the production of a specific protein can slow or reduce the symptoms experienced by patients, and therefore have a clinically meaningful impact. The Company has built a gene therapy platform that it believes positions itself to be a leading company at the intersection of AAV gene therapy and severe neurological disease. The Company’s gene therapy platform enables it to engineer, optimize, manufacture and deliver its AAV-based gene therapies that have the potential to provide durable efficacy following a single administration. Additionally, the Company is working to identify novel AAV capsids, which are the outer viral protein shells that enclose the genetic material of the virus payload. The Company’s team of experts in the fields of AAV gene therapy and neuroscience first identifies and selects severe neurological diseases that are well-suited for treatment using AAV gene therapy. The Company then engineers and optimizes AAV vectors for delivery of the virus payload to the targeted tissue or cells. The Company’s manufacturing process employs an established system that it believes will enable production of high quality AAV vectors at commercial-scale. Finally, the Company leverages established routes of administration and advances in dosing techniques to optimize delivery of its AAV gene therapies to target cells that are critical to the disease of interest either directly to discrete regions of the brain or, more broadly, to the spinal cord region.</w:t>
      </w:r>
    </w:p>
    <w:p>
      <w:pPr>
        <w:spacing w:after="0" w:line="170"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The Company is devoting substantially all of its efforts to product research and development, market development, and raising capital. The Company is subject to risks common to companies in the biotechnology and gene therapy industry, including but not limited to, risks of failure of preclinical studies and clinical trials, the need to obtain marketing approval for its drug product candidates, the need to successfully commercialize and gain market acceptance of its drug product candidates, dependence on key personnel, protection of proprietary technology, compliance with government regulations, development by competitors of technological innovations, and ability to transition from pilot-scale manufacturing to large-scale production of products.</w:t>
      </w:r>
    </w:p>
    <w:p>
      <w:pPr>
        <w:spacing w:after="0" w:line="165"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The Company has incurred annual net operating losses in every year since inception. As of March 31, 2018, the Company had an accumulated deficit of $200.7 million. The Company has not generated any product revenue and has financed its operations primarily through public offerings and private placements of its equity securities and funding from its collaborations with Sanofi Genzyme and AbbVie. There can be no assurance that the Company will be able to obtain additional debt or equity financing or generate product revenue or revenue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pacing w:after="0" w:line="163"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Through March 31, 2018, the Company has raised approximately $405.0 million of proceeds from sales of convertible preferred stock and common stock, including its initial public offering and follow-on public offering, and proceeds from collaboration agreements. The Company believes that its cash, cash equivalents, and marketable debt securities of $218.2 million as of March 31, 2018 is sufficient to fund its current operating plan into 2020. There can be no assurance, however, that the current operating plan will be achieved in the timeframe anticipated by the Company, or that its cash resources will fund the Company’s operating plan for the period anticipated by the Company, or if the Company needs additional funding, that such funding will be available on terms acceptable to the Company, or at all.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basis of presentation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in accordance with accounting principles generally accepted in the United States (“GAAP”) for interim financial</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reporting and as required by Regulation S-X, Rule 10-01. Accordingly, they do not include all of the information and footnotes required by GAAP for complete financial statements. For further information, refer to the consolidated financial statements and footnotes included in the Company’s Annual Report on Form 10-K for the year ended December 31, 2017 as filed with the Securities and Exchange Commission (“SEC”). These interim condensed consolidated financial statements, in the opinion of management, reflect all normal recurring adjustments necessary for a fair presentation of the Company’s financial position and results of operations for the periods presented.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 See “</w:t>
      </w:r>
      <w:r>
        <w:rPr>
          <w:rFonts w:ascii="Arial" w:cs="Arial" w:eastAsia="Arial" w:hAnsi="Arial"/>
          <w:sz w:val="17"/>
          <w:szCs w:val="17"/>
          <w:i w:val="1"/>
          <w:iCs w:val="1"/>
          <w:color w:val="auto"/>
        </w:rPr>
        <w:t>Recently Adopted Accounting Pronouncements</w:t>
      </w:r>
      <w:r>
        <w:rPr>
          <w:rFonts w:ascii="Arial" w:cs="Arial" w:eastAsia="Arial" w:hAnsi="Arial"/>
          <w:sz w:val="17"/>
          <w:szCs w:val="17"/>
          <w:color w:val="auto"/>
        </w:rPr>
        <w:t>” below for discussion of the Company’s adoption of new revenue recognition guidance using the modified retrospective method as of January 1, 2018. All amounts and disclosures set forth in this Form 10-Q reflect these changes.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unaudited interim consolidated financial statements include the accounts of the Company and its wholly owned subsidiary as disclosed in Note 2, Summary of Significant Accounting Policies, within the “Notes to Consolidated Financial Statements” accompanying its Annual Report on Form 10-K for the fiscal year ended December 31, 2017. Intercompany accounts and transactions have been eliminated.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80" w:firstLine="648"/>
        <w:spacing w:after="0" w:line="218" w:lineRule="exact"/>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revenue recognition, accrued expenses,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income taxes, and the fair value of common stock. The Company bases its estimates on historical experience and other market specific or other relevant assumptions that it believes to be reasonable under the circumstances. Actual results may differ from those estimates or assumptions.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The Company enters into collaboration agreements which are within the scope of ASC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(“ASC 606”), under which the Company licenses rights to certain of the Company’s product candidates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performs research and development services. The terms of these arrangements typically include payment of one or more of the following: non-refundable, upfront fees; reimbursement of research and development costs; development, regulatory, and commercial milestone payments; and royalties on net sales of licensed products.</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16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promised goods or services in the Company’s arrangement typically consist of license rights to the Company’s intellectual property and research and development services. The Company provides options to additional items in the contracts, which are accounted for as separate contracts when the customer elects to exercise such options, unless the option provides a material right to the customer.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Performance obligations are promised goods or services in a contract to transfer a distinct good or service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19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payments and the likelihood that the payments will be received. The Company utilizes either the most likely amount method or expected amount method to estimate the amount expected to be received based on which method best predicts the amount expected to be received. The amount of variable consideration which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Company’s contracts often include development and regulatory milestone payments which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revenues in the period of adjustment. To date, the Company has not recognized any consideration related to the achievement of development, regulatory, or commercial milestone revenue resulting from any of the Company’s collaboration arrangements.</w:t>
      </w:r>
    </w:p>
    <w:p>
      <w:pPr>
        <w:spacing w:after="0" w:line="18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 arrangements that include sales-based royalties, including milestone payments based on the level of sales, and the license is deemed to be the predominant item to which the royalties relate, the Company recognizes revenue at the later of</w:t>
      </w:r>
    </w:p>
    <w:p>
      <w:pPr>
        <w:ind w:right="380" w:firstLine="3"/>
        <w:spacing w:after="0" w:line="302"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when the related sales occur, or (ii) when the performance obligation to which some or all of the royalty has been allocated has been satisfied (or partially satisfied). To date, the Company has not recognized any consideration related to sales-based royalty revenue resulting from any of the Company’s collaboration arrangements.</w:t>
      </w:r>
    </w:p>
    <w:p>
      <w:pPr>
        <w:spacing w:after="0" w:line="15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the Company utilizes comparable transactions, clinical trial success probabilities, and estimates of option exercise likelihood.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Upfront payments and fees are recorded as deferred revenue upon receipt or when due until the Company performs its obligations under these arrangements. Amounts are recorded as accounts receivable when the Company’s right to consideration is unconditional.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January 2016, the Financial Accounting Standard Board (the “FASB”) issued ASC Update No. 2016-01, </w:t>
      </w:r>
      <w:r>
        <w:rPr>
          <w:rFonts w:ascii="Arial" w:cs="Arial" w:eastAsia="Arial" w:hAnsi="Arial"/>
          <w:sz w:val="16"/>
          <w:szCs w:val="16"/>
          <w:i w:val="1"/>
          <w:iCs w:val="1"/>
          <w:color w:val="auto"/>
        </w:rPr>
        <w:t>Financial Instruments - Overall (Subtopic 825-10): Recognition and Measurement of Financial Assets and Financial Liabilities</w:t>
      </w:r>
      <w:r>
        <w:rPr>
          <w:rFonts w:ascii="Arial" w:cs="Arial" w:eastAsia="Arial" w:hAnsi="Arial"/>
          <w:sz w:val="16"/>
          <w:szCs w:val="16"/>
          <w:color w:val="auto"/>
        </w:rPr>
        <w:t>. The purpose of Update No. 2016-01 is to improve financial reporting for financial instruments by reducing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items recorded to other comprehensive income. The Company adopted Update No. 2016-01 in the first quarter of 2018, using the modified retrospective method. Unrealized gains and losses previously recorded to other comprehensive income were reclassified to accumulated deficit and all future fair value changes will be recorded to other income (loss). The adoption of the standard did not have a material impact on the Company’s consolidated financial statements.</w:t>
      </w:r>
    </w:p>
    <w:p>
      <w:pPr>
        <w:spacing w:after="0" w:line="16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xml:space="preserve"> (“ASU 2016-18”). The amendments in ASU 2016-18 require an entity to reconcile and explain the period-over-period change in total cash, cash equivalents and restricted cash within its statements of cash flows and was applied utilizing a full retrospective approach. The Company adopted the new standard on January 1, 2018. The Company has included the necessary reconciliation within Note 4 “Cash, cash equivalents, restricted cash, and available for sale marketable securities.”</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and most industry-specific guidance. The new standard requires that an entity recognize revenue to depict the transfer of promised goods or services to customers in an amount that reflects the consideration to which the entity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Thereafter, a series of clarifying ASUs, narrow scope improvements and practical expedients were issued. This collective guidance resulted in the new revenue standard; ASC 606. ASC 606 is effective for fiscal years, and interim periods within those years, beginning after December 15, 2017 and should be applied retrospectively to each prior reporting period presented or retrospectively with the cumulative effect of initially applying this update recognized at the date of initial application.</w:t>
      </w:r>
    </w:p>
    <w:p>
      <w:pPr>
        <w:spacing w:after="0" w:line="17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Company adopted the new standard effective January 1, 2018 using the modified retrospective approach. The Company had one open contract, with Sanofi Genzyme, on the adoption date and has assessed it under the new revenue standard. The adoption of ASC 606 resulted in the changes to (i) the allocation of arrangement consideration, including the determination of estimated selling price and the allocation of variable consideration to specific performance obligations and (ii) the application of proportional performance as a measure of progress on service related deliverables.</w:t>
      </w:r>
    </w:p>
    <w:p>
      <w:pPr>
        <w:spacing w:after="0" w:line="15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has accounted for the impact of adopting ASC 606 as a cumulative catch-up under the modified retrospective approach, which represented as an increase of $20.0 million to deferred revenue with an offset to accumulated deficit, effective January 1, 2018. The following financial statement line items have been shown to reflect comparative balances under ASC 606 and ASC 605 for the period ended March 31, 2018, for both of the collaborations with Sanofi Genzyme Collaboration and AbbVie.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5"/>
          </w:tcPr>
          <w:p>
            <w:pPr>
              <w:jc w:val="center"/>
              <w:ind w:right="94"/>
              <w:spacing w:after="0"/>
              <w:rPr>
                <w:sz w:val="20"/>
                <w:szCs w:val="20"/>
                <w:color w:val="auto"/>
              </w:rPr>
            </w:pPr>
            <w:r>
              <w:rPr>
                <w:rFonts w:ascii="Arial" w:cs="Arial" w:eastAsia="Arial" w:hAnsi="Arial"/>
                <w:sz w:val="14"/>
                <w:szCs w:val="14"/>
                <w:b w:val="1"/>
                <w:bCs w:val="1"/>
                <w:color w:val="auto"/>
                <w:w w:val="92"/>
              </w:rPr>
              <w:t>Three months ended March 31, 2018</w:t>
            </w:r>
          </w:p>
        </w:tc>
        <w:tc>
          <w:tcPr>
            <w:tcW w:w="80" w:type="dxa"/>
            <w:vAlign w:val="bottom"/>
          </w:tcPr>
          <w:p>
            <w:pPr>
              <w:spacing w:after="0"/>
              <w:rPr>
                <w:sz w:val="14"/>
                <w:szCs w:val="14"/>
                <w:color w:val="auto"/>
              </w:rPr>
            </w:pPr>
          </w:p>
        </w:tc>
      </w:tr>
      <w:tr>
        <w:trPr>
          <w:trHeight w:val="169"/>
        </w:trPr>
        <w:tc>
          <w:tcPr>
            <w:tcW w:w="3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195"/>
              <w:spacing w:after="0"/>
              <w:rPr>
                <w:sz w:val="20"/>
                <w:szCs w:val="20"/>
                <w:color w:val="auto"/>
              </w:rPr>
            </w:pPr>
            <w:r>
              <w:rPr>
                <w:rFonts w:ascii="Arial" w:cs="Arial" w:eastAsia="Arial" w:hAnsi="Arial"/>
                <w:sz w:val="14"/>
                <w:szCs w:val="14"/>
                <w:b w:val="1"/>
                <w:bCs w:val="1"/>
                <w:color w:val="auto"/>
              </w:rPr>
              <w:t>Under ASC 606</w:t>
            </w:r>
          </w:p>
        </w:tc>
        <w:tc>
          <w:tcPr>
            <w:tcW w:w="200" w:type="dxa"/>
            <w:vAlign w:val="bottom"/>
          </w:tcPr>
          <w:p>
            <w:pPr>
              <w:spacing w:after="0"/>
              <w:rPr>
                <w:sz w:val="14"/>
                <w:szCs w:val="14"/>
                <w:color w:val="auto"/>
              </w:rPr>
            </w:pP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Under ASC 605</w:t>
            </w:r>
          </w:p>
        </w:tc>
        <w:tc>
          <w:tcPr>
            <w:tcW w:w="180" w:type="dxa"/>
            <w:vAlign w:val="bottom"/>
          </w:tcPr>
          <w:p>
            <w:pPr>
              <w:spacing w:after="0"/>
              <w:rPr>
                <w:sz w:val="14"/>
                <w:szCs w:val="1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Effect of change</w:t>
            </w:r>
          </w:p>
        </w:tc>
      </w:tr>
      <w:tr>
        <w:trPr>
          <w:trHeight w:val="169"/>
        </w:trPr>
        <w:tc>
          <w:tcPr>
            <w:tcW w:w="3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300" w:type="dxa"/>
            <w:vAlign w:val="bottom"/>
            <w:tcBorders>
              <w:top w:val="single" w:sz="8" w:color="auto"/>
            </w:tcBorders>
            <w:gridSpan w:val="5"/>
          </w:tcPr>
          <w:p>
            <w:pPr>
              <w:jc w:val="center"/>
              <w:ind w:right="94"/>
              <w:spacing w:after="0" w:line="170" w:lineRule="exact"/>
              <w:rPr>
                <w:sz w:val="20"/>
                <w:szCs w:val="20"/>
                <w:color w:val="auto"/>
              </w:rPr>
            </w:pPr>
            <w:r>
              <w:rPr>
                <w:rFonts w:ascii="Arial" w:cs="Arial" w:eastAsia="Arial" w:hAnsi="Arial"/>
                <w:sz w:val="18"/>
                <w:szCs w:val="18"/>
                <w:color w:val="auto"/>
                <w:w w:val="88"/>
              </w:rPr>
              <w:t>(in thousands, except per share data)</w:t>
            </w:r>
          </w:p>
        </w:tc>
        <w:tc>
          <w:tcPr>
            <w:tcW w:w="80" w:type="dxa"/>
            <w:vAlign w:val="bottom"/>
          </w:tcPr>
          <w:p>
            <w:pPr>
              <w:spacing w:after="0"/>
              <w:rPr>
                <w:sz w:val="14"/>
                <w:szCs w:val="14"/>
                <w:color w:val="auto"/>
              </w:rPr>
            </w:pPr>
          </w:p>
        </w:tc>
      </w:tr>
      <w:tr>
        <w:trPr>
          <w:trHeight w:val="176"/>
        </w:trPr>
        <w:tc>
          <w:tcPr>
            <w:tcW w:w="3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160" w:type="dxa"/>
            <w:vAlign w:val="bottom"/>
            <w:gridSpan w:val="2"/>
            <w:shd w:val="clear" w:color="auto" w:fill="CCEEFF"/>
          </w:tcPr>
          <w:p>
            <w:pPr>
              <w:jc w:val="center"/>
              <w:ind w:left="810"/>
              <w:spacing w:after="0" w:line="17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
              <w:spacing w:after="0" w:line="176" w:lineRule="exact"/>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line="176" w:lineRule="exact"/>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5"/>
                <w:szCs w:val="15"/>
                <w:color w:val="auto"/>
              </w:rPr>
            </w:pPr>
          </w:p>
        </w:tc>
      </w:tr>
      <w:tr>
        <w:trPr>
          <w:trHeight w:val="176"/>
        </w:trPr>
        <w:tc>
          <w:tcPr>
            <w:tcW w:w="3520" w:type="dxa"/>
            <w:vAlign w:val="bottom"/>
          </w:tcPr>
          <w:p>
            <w:pPr>
              <w:spacing w:after="0" w:line="176" w:lineRule="exact"/>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8"/>
                <w:szCs w:val="18"/>
                <w:color w:val="auto"/>
              </w:rPr>
              <w:t>(20,106)</w:t>
            </w:r>
          </w:p>
        </w:tc>
        <w:tc>
          <w:tcPr>
            <w:tcW w:w="20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8"/>
                <w:szCs w:val="18"/>
                <w:color w:val="auto"/>
              </w:rPr>
              <w:t>(19,743)</w:t>
            </w: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(363)</w:t>
            </w:r>
          </w:p>
        </w:tc>
        <w:tc>
          <w:tcPr>
            <w:tcW w:w="80" w:type="dxa"/>
            <w:vAlign w:val="bottom"/>
          </w:tcPr>
          <w:p>
            <w:pPr>
              <w:spacing w:after="0"/>
              <w:rPr>
                <w:sz w:val="15"/>
                <w:szCs w:val="15"/>
                <w:color w:val="auto"/>
              </w:rPr>
            </w:pPr>
          </w:p>
        </w:tc>
      </w:tr>
      <w:tr>
        <w:trPr>
          <w:trHeight w:val="176"/>
        </w:trPr>
        <w:tc>
          <w:tcPr>
            <w:tcW w:w="3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(19,926)</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(19,563)</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5"/>
                <w:szCs w:val="15"/>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16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r>
      <w:tr>
        <w:trPr>
          <w:trHeight w:val="796"/>
        </w:trPr>
        <w:tc>
          <w:tcPr>
            <w:tcW w:w="3520" w:type="dxa"/>
            <w:vAlign w:val="bottom"/>
          </w:tcPr>
          <w:p>
            <w:pPr>
              <w:spacing w:after="0"/>
              <w:rPr>
                <w:sz w:val="24"/>
                <w:szCs w:val="24"/>
                <w:color w:val="auto"/>
              </w:rPr>
            </w:pPr>
          </w:p>
        </w:tc>
        <w:tc>
          <w:tcPr>
            <w:tcW w:w="1160" w:type="dxa"/>
            <w:vAlign w:val="bottom"/>
            <w:gridSpan w:val="2"/>
          </w:tcPr>
          <w:p>
            <w:pPr>
              <w:jc w:val="center"/>
              <w:ind w:left="770"/>
              <w:spacing w:after="0"/>
              <w:rPr>
                <w:sz w:val="20"/>
                <w:szCs w:val="20"/>
                <w:color w:val="auto"/>
              </w:rPr>
            </w:pPr>
            <w:r>
              <w:rPr>
                <w:rFonts w:ascii="Arial" w:cs="Arial" w:eastAsia="Arial" w:hAnsi="Arial"/>
                <w:sz w:val="18"/>
                <w:szCs w:val="18"/>
                <w:color w:val="auto"/>
                <w:w w:val="89"/>
              </w:rPr>
              <w:t>11</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2"/>
        </w:trPr>
        <w:tc>
          <w:tcPr>
            <w:tcW w:w="35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As of March 31, 2018</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Under ASC 606</w:t>
            </w:r>
          </w:p>
        </w:tc>
        <w:tc>
          <w:tcPr>
            <w:tcW w:w="1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Under ASC 605</w:t>
            </w:r>
          </w:p>
        </w:tc>
        <w:tc>
          <w:tcPr>
            <w:tcW w:w="240" w:type="dxa"/>
            <w:vAlign w:val="bottom"/>
          </w:tcPr>
          <w:p>
            <w:pPr>
              <w:spacing w:after="0"/>
              <w:rPr>
                <w:sz w:val="14"/>
                <w:szCs w:val="14"/>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Effect of change</w:t>
            </w:r>
          </w:p>
        </w:tc>
        <w:tc>
          <w:tcPr>
            <w:tcW w:w="40" w:type="dxa"/>
            <w:vAlign w:val="bottom"/>
          </w:tcPr>
          <w:p>
            <w:pPr>
              <w:spacing w:after="0"/>
              <w:rPr>
                <w:sz w:val="14"/>
                <w:szCs w:val="14"/>
                <w:color w:val="auto"/>
              </w:rPr>
            </w:pPr>
          </w:p>
        </w:tc>
      </w:tr>
      <w:tr>
        <w:trPr>
          <w:trHeight w:val="169"/>
        </w:trPr>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center"/>
              <w:spacing w:after="0" w:line="170" w:lineRule="exact"/>
              <w:rPr>
                <w:sz w:val="20"/>
                <w:szCs w:val="20"/>
                <w:color w:val="auto"/>
              </w:rPr>
            </w:pPr>
            <w:r>
              <w:rPr>
                <w:rFonts w:ascii="Arial" w:cs="Arial" w:eastAsia="Arial" w:hAnsi="Arial"/>
                <w:sz w:val="18"/>
                <w:szCs w:val="18"/>
                <w:color w:val="auto"/>
                <w:w w:val="91"/>
              </w:rPr>
              <w:t>(in thousands)</w:t>
            </w: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4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revenue, current</w:t>
            </w:r>
          </w:p>
        </w:tc>
        <w:tc>
          <w:tcPr>
            <w:tcW w:w="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
              <w:spacing w:after="0" w:line="176" w:lineRule="exact"/>
              <w:rPr>
                <w:sz w:val="20"/>
                <w:szCs w:val="20"/>
                <w:color w:val="auto"/>
              </w:rPr>
            </w:pPr>
            <w:r>
              <w:rPr>
                <w:rFonts w:ascii="Arial" w:cs="Arial" w:eastAsia="Arial" w:hAnsi="Arial"/>
                <w:sz w:val="18"/>
                <w:szCs w:val="18"/>
                <w:color w:val="auto"/>
              </w:rPr>
              <w:t>20,217</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94"/>
              </w:rPr>
              <w:t>18,967</w:t>
            </w:r>
          </w:p>
        </w:tc>
        <w:tc>
          <w:tcPr>
            <w:tcW w:w="440" w:type="dxa"/>
            <w:vAlign w:val="bottom"/>
            <w:shd w:val="clear" w:color="auto" w:fill="CCEEFF"/>
          </w:tcPr>
          <w:p>
            <w:pPr>
              <w:jc w:val="right"/>
              <w:ind w:right="236"/>
              <w:spacing w:after="0" w:line="17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1,250</w:t>
            </w:r>
          </w:p>
        </w:tc>
        <w:tc>
          <w:tcPr>
            <w:tcW w:w="8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4220" w:type="dxa"/>
            <w:vAlign w:val="bottom"/>
          </w:tcPr>
          <w:p>
            <w:pPr>
              <w:spacing w:after="0" w:line="176" w:lineRule="exact"/>
              <w:rPr>
                <w:sz w:val="20"/>
                <w:szCs w:val="20"/>
                <w:color w:val="auto"/>
              </w:rPr>
            </w:pPr>
            <w:r>
              <w:rPr>
                <w:rFonts w:ascii="Arial" w:cs="Arial" w:eastAsia="Arial" w:hAnsi="Arial"/>
                <w:sz w:val="18"/>
                <w:szCs w:val="18"/>
                <w:color w:val="auto"/>
              </w:rPr>
              <w:t>Deferred revenue, non-current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28"/>
              <w:spacing w:after="0" w:line="176" w:lineRule="exact"/>
              <w:rPr>
                <w:sz w:val="20"/>
                <w:szCs w:val="20"/>
                <w:color w:val="auto"/>
              </w:rPr>
            </w:pPr>
            <w:r>
              <w:rPr>
                <w:rFonts w:ascii="Arial" w:cs="Arial" w:eastAsia="Arial" w:hAnsi="Arial"/>
                <w:sz w:val="18"/>
                <w:szCs w:val="18"/>
                <w:color w:val="auto"/>
              </w:rPr>
              <w:t>99,506</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4"/>
              </w:rPr>
              <w:t>80,463</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19,043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4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Accumulated deficit</w:t>
            </w:r>
          </w:p>
        </w:tc>
        <w:tc>
          <w:tcPr>
            <w:tcW w:w="4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(200,689)</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(180,396)</w:t>
            </w:r>
          </w:p>
        </w:tc>
        <w:tc>
          <w:tcPr>
            <w:tcW w:w="440" w:type="dxa"/>
            <w:vAlign w:val="bottom"/>
            <w:shd w:val="clear" w:color="auto" w:fill="CCEEFF"/>
          </w:tcPr>
          <w:p>
            <w:pPr>
              <w:jc w:val="right"/>
              <w:ind w:right="236"/>
              <w:spacing w:after="0" w:line="17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(20,293)</w:t>
            </w:r>
          </w:p>
        </w:tc>
        <w:tc>
          <w:tcPr>
            <w:tcW w:w="40" w:type="dxa"/>
            <w:vAlign w:val="bottom"/>
          </w:tcPr>
          <w:p>
            <w:pPr>
              <w:spacing w:after="0"/>
              <w:rPr>
                <w:sz w:val="15"/>
                <w:szCs w:val="15"/>
                <w:color w:val="auto"/>
              </w:rPr>
            </w:pPr>
          </w:p>
        </w:tc>
      </w:tr>
      <w:tr>
        <w:trPr>
          <w:trHeight w:val="648"/>
        </w:trPr>
        <w:tc>
          <w:tcPr>
            <w:tcW w:w="4220" w:type="dxa"/>
            <w:vAlign w:val="bottom"/>
          </w:tcPr>
          <w:p>
            <w:pPr>
              <w:spacing w:after="0"/>
              <w:rPr>
                <w:sz w:val="20"/>
                <w:szCs w:val="20"/>
                <w:color w:val="auto"/>
              </w:rPr>
            </w:pPr>
            <w:r>
              <w:rPr>
                <w:rFonts w:ascii="Arial" w:cs="Arial" w:eastAsia="Arial" w:hAnsi="Arial"/>
                <w:sz w:val="18"/>
                <w:szCs w:val="18"/>
                <w:b w:val="1"/>
                <w:bCs w:val="1"/>
                <w:color w:val="auto"/>
                <w:w w:val="94"/>
              </w:rPr>
              <w:t>Condensed Consolidated Statements of Cash Flows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w w:val="96"/>
              </w:rPr>
              <w:t>Three months ended March 31, 2018</w:t>
            </w:r>
          </w:p>
        </w:tc>
        <w:tc>
          <w:tcPr>
            <w:tcW w:w="40" w:type="dxa"/>
            <w:vAlign w:val="bottom"/>
          </w:tcPr>
          <w:p>
            <w:pPr>
              <w:spacing w:after="0"/>
              <w:rPr>
                <w:sz w:val="24"/>
                <w:szCs w:val="24"/>
                <w:color w:val="auto"/>
              </w:rPr>
            </w:pPr>
          </w:p>
        </w:tc>
      </w:tr>
      <w:tr>
        <w:trPr>
          <w:trHeight w:val="169"/>
        </w:trPr>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Under ASC 606</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Under ASC 605</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Effect of change</w:t>
            </w:r>
          </w:p>
        </w:tc>
        <w:tc>
          <w:tcPr>
            <w:tcW w:w="40" w:type="dxa"/>
            <w:vAlign w:val="bottom"/>
          </w:tcPr>
          <w:p>
            <w:pPr>
              <w:spacing w:after="0"/>
              <w:rPr>
                <w:sz w:val="14"/>
                <w:szCs w:val="14"/>
                <w:color w:val="auto"/>
              </w:rPr>
            </w:pPr>
          </w:p>
        </w:tc>
      </w:tr>
      <w:tr>
        <w:trPr>
          <w:trHeight w:val="169"/>
        </w:trPr>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right"/>
              <w:spacing w:after="0" w:line="170" w:lineRule="exact"/>
              <w:rPr>
                <w:sz w:val="20"/>
                <w:szCs w:val="20"/>
                <w:color w:val="auto"/>
              </w:rPr>
            </w:pPr>
            <w:r>
              <w:rPr>
                <w:rFonts w:ascii="Arial" w:cs="Arial" w:eastAsia="Arial" w:hAnsi="Arial"/>
                <w:sz w:val="18"/>
                <w:szCs w:val="18"/>
                <w:color w:val="auto"/>
                <w:w w:val="87"/>
              </w:rPr>
              <w:t>(in thousands)</w:t>
            </w: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4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88"/>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(19,926)</w:t>
            </w:r>
          </w:p>
        </w:tc>
        <w:tc>
          <w:tcPr>
            <w:tcW w:w="400" w:type="dxa"/>
            <w:vAlign w:val="bottom"/>
            <w:shd w:val="clear" w:color="auto" w:fill="CCEEFF"/>
          </w:tcPr>
          <w:p>
            <w:pPr>
              <w:jc w:val="right"/>
              <w:ind w:right="194"/>
              <w:spacing w:after="0" w:line="176"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(19,563)</w:t>
            </w:r>
          </w:p>
        </w:tc>
        <w:tc>
          <w:tcPr>
            <w:tcW w:w="260" w:type="dxa"/>
            <w:vAlign w:val="bottom"/>
            <w:shd w:val="clear" w:color="auto" w:fill="CCEEFF"/>
          </w:tcPr>
          <w:p>
            <w:pPr>
              <w:jc w:val="right"/>
              <w:ind w:right="59"/>
              <w:spacing w:after="0" w:line="176" w:lineRule="exact"/>
              <w:rPr>
                <w:sz w:val="20"/>
                <w:szCs w:val="20"/>
                <w:color w:val="auto"/>
              </w:rPr>
            </w:pPr>
            <w:r>
              <w:rPr>
                <w:rFonts w:ascii="Arial" w:cs="Arial" w:eastAsia="Arial" w:hAnsi="Arial"/>
                <w:sz w:val="18"/>
                <w:szCs w:val="18"/>
                <w:color w:val="auto"/>
                <w:w w:val="99"/>
              </w:rPr>
              <w:t>$</w:t>
            </w:r>
          </w:p>
        </w:tc>
        <w:tc>
          <w:tcPr>
            <w:tcW w:w="840" w:type="dxa"/>
            <w:vAlign w:val="bottom"/>
            <w:tcBorders>
              <w:right w:val="single" w:sz="8" w:color="CCEEFF"/>
            </w:tcBorders>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(363)</w:t>
            </w:r>
          </w:p>
        </w:tc>
        <w:tc>
          <w:tcPr>
            <w:tcW w:w="40" w:type="dxa"/>
            <w:vAlign w:val="bottom"/>
            <w:shd w:val="clear" w:color="auto" w:fill="CCEEFF"/>
          </w:tcPr>
          <w:p>
            <w:pPr>
              <w:spacing w:after="0"/>
              <w:rPr>
                <w:sz w:val="15"/>
                <w:szCs w:val="15"/>
                <w:color w:val="auto"/>
              </w:rPr>
            </w:pPr>
          </w:p>
        </w:tc>
      </w:tr>
      <w:tr>
        <w:trPr>
          <w:trHeight w:val="176"/>
        </w:trPr>
        <w:tc>
          <w:tcPr>
            <w:tcW w:w="6000" w:type="dxa"/>
            <w:vAlign w:val="bottom"/>
            <w:gridSpan w:val="5"/>
          </w:tcPr>
          <w:p>
            <w:pPr>
              <w:spacing w:after="0" w:line="176" w:lineRule="exact"/>
              <w:rPr>
                <w:sz w:val="20"/>
                <w:szCs w:val="20"/>
                <w:color w:val="auto"/>
              </w:rPr>
            </w:pPr>
            <w:r>
              <w:rPr>
                <w:rFonts w:ascii="Arial" w:cs="Arial" w:eastAsia="Arial" w:hAnsi="Arial"/>
                <w:sz w:val="18"/>
                <w:szCs w:val="18"/>
                <w:color w:val="auto"/>
                <w:w w:val="97"/>
              </w:rPr>
              <w:t>Adjustments to reconcile net loss to net cash provided by operating activities: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4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68,057</w:t>
            </w:r>
          </w:p>
        </w:tc>
        <w:tc>
          <w:tcPr>
            <w:tcW w:w="4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67,694</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363</w:t>
            </w:r>
          </w:p>
        </w:tc>
        <w:tc>
          <w:tcPr>
            <w:tcW w:w="8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04" w:lineRule="exact"/>
        <w:rPr>
          <w:sz w:val="20"/>
          <w:szCs w:val="20"/>
          <w:color w:val="auto"/>
        </w:rPr>
      </w:pPr>
    </w:p>
    <w:p>
      <w:pPr>
        <w:ind w:right="320" w:firstLine="648"/>
        <w:spacing w:after="0" w:line="216"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(“ASC 230”), which simplifies certain elements of cash flow classification. The new guidance is intended to reduce diversity in practice in how certain transactions are classified in the statement of cash flows. The new guidance will be effective for annual periods beginning after December 15, 2017. The adoption of this ASU on January 1, 2018 did not have a material impact on the Company's consolidated financial statements.</w:t>
      </w:r>
    </w:p>
    <w:p>
      <w:pPr>
        <w:spacing w:after="0" w:line="17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February 2016, the FASB issued ASU No. 2016-02, a comprehensive new lease accounting standard, which provides revised guidance on accounting for lease arrangements by both lessors and lessees and requires lessees to recognize a lease liability and a right-of-use asset for most leases. The new guidance is effective for fiscal years beginning after December 15, 2018, and interim periods within those fiscal years, with early adoption permitted. The new standard must be applied using a modified retrospective transition approach which requires application of the new guidance for all periods presented. The Company is currently in the process of evaluating the impact that the adoption of this guidance will have on its consolidated financial statements and related disclosures.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Assets and liabilities measured at fair value on a recurring basis as of March 31, 2018 and December 31, 2017 are 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5"/>
                <w:szCs w:val="15"/>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76"/>
        </w:trPr>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3"/>
              <w:spacing w:after="0"/>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Observable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44"/>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4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9"/>
        </w:trPr>
        <w:tc>
          <w:tcPr>
            <w:tcW w:w="48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5"/>
          </w:tcPr>
          <w:p>
            <w:pPr>
              <w:ind w:left="360"/>
              <w:spacing w:after="0" w:line="170" w:lineRule="exact"/>
              <w:rPr>
                <w:sz w:val="20"/>
                <w:szCs w:val="20"/>
                <w:color w:val="auto"/>
              </w:rPr>
            </w:pPr>
            <w:r>
              <w:rPr>
                <w:rFonts w:ascii="Arial" w:cs="Arial" w:eastAsia="Arial" w:hAnsi="Arial"/>
                <w:sz w:val="18"/>
                <w:szCs w:val="18"/>
                <w:color w:val="auto"/>
              </w:rPr>
              <w:t>(in thousands)</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Money market funds included in cash and cash equivalents</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139,269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139,269</w:t>
            </w:r>
          </w:p>
        </w:tc>
        <w:tc>
          <w:tcPr>
            <w:tcW w:w="2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880" w:type="dxa"/>
            <w:vAlign w:val="bottom"/>
          </w:tcPr>
          <w:p>
            <w:pPr>
              <w:spacing w:after="0" w:line="176" w:lineRule="exact"/>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U.S. Treasury notes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77,827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77,827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880" w:type="dxa"/>
            <w:vAlign w:val="bottom"/>
          </w:tcPr>
          <w:p>
            <w:pPr>
              <w:ind w:left="240"/>
              <w:spacing w:after="0" w:line="176" w:lineRule="exact"/>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1,320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1,320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4880" w:type="dxa"/>
            <w:vAlign w:val="bottom"/>
            <w:tcBorders>
              <w:top w:val="single" w:sz="8" w:color="CCEEFF"/>
            </w:tcBorders>
            <w:shd w:val="clear" w:color="auto" w:fill="CCEEFF"/>
          </w:tcPr>
          <w:p>
            <w:pPr>
              <w:ind w:left="440"/>
              <w:spacing w:after="0" w:line="170" w:lineRule="exact"/>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79,147</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79,147</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540"/>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Warrants to purchase equity securities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702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702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540"/>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80" w:type="dxa"/>
            <w:vAlign w:val="bottom"/>
            <w:tcBorders>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219,118</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218,416</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702</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40"/>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880" w:type="dxa"/>
            <w:vAlign w:val="bottom"/>
          </w:tcPr>
          <w:p>
            <w:pPr>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Money market funds included in cash and cash equivalents</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30,469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30,469</w:t>
            </w:r>
          </w:p>
        </w:tc>
        <w:tc>
          <w:tcPr>
            <w:tcW w:w="2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880" w:type="dxa"/>
            <w:vAlign w:val="bottom"/>
          </w:tcPr>
          <w:p>
            <w:pPr>
              <w:spacing w:after="0" w:line="176" w:lineRule="exact"/>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U.S. Treasury notes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137,522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137,522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880" w:type="dxa"/>
            <w:vAlign w:val="bottom"/>
          </w:tcPr>
          <w:p>
            <w:pPr>
              <w:ind w:left="240"/>
              <w:spacing w:after="0" w:line="176" w:lineRule="exact"/>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1,100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1,100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20" w:type="dxa"/>
            <w:vAlign w:val="bottom"/>
            <w:gridSpan w:val="2"/>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4880" w:type="dxa"/>
            <w:vAlign w:val="bottom"/>
            <w:tcBorders>
              <w:top w:val="single" w:sz="8" w:color="CCEEFF"/>
            </w:tcBorders>
            <w:shd w:val="clear" w:color="auto" w:fill="CCEEFF"/>
          </w:tcPr>
          <w:p>
            <w:pPr>
              <w:ind w:left="440"/>
              <w:spacing w:after="0" w:line="170" w:lineRule="exact"/>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138,622</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138,622</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540"/>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Warrants to purchase equity securities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540"/>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169,660</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169,091</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40"/>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The Company measures the fair value of money market funds, U.S. Treasury notes and equity securities based on quoted prices in active markets for identical securities. The Level 2 equity securities include warrants used to purchase equity securities that are valued using the Black-Scholes model. The Black-Scholes option pricing model requires inputs based on certain subjective assumptions, including (a) the expected stock price volatility, (b) the calculation of expected term of the awards, (c) the risk-free interest rate, and (d) expected dividends. The assumptions utilized to value the warrants to purchase equity securities as of March 31, 2018 and December 31, 2017 are as follows: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120" w:type="dxa"/>
            <w:vAlign w:val="bottom"/>
            <w:gridSpan w:val="2"/>
          </w:tcPr>
          <w:p>
            <w:pPr>
              <w:ind w:left="480"/>
              <w:spacing w:after="0"/>
              <w:rPr>
                <w:sz w:val="20"/>
                <w:szCs w:val="20"/>
                <w:color w:val="auto"/>
              </w:rPr>
            </w:pPr>
            <w:r>
              <w:rPr>
                <w:rFonts w:ascii="Arial" w:cs="Arial" w:eastAsia="Arial" w:hAnsi="Arial"/>
                <w:sz w:val="14"/>
                <w:szCs w:val="14"/>
                <w:b w:val="1"/>
                <w:bCs w:val="1"/>
                <w:color w:val="auto"/>
              </w:rPr>
              <w:t>As of March 31,</w:t>
            </w:r>
          </w:p>
        </w:tc>
        <w:tc>
          <w:tcPr>
            <w:tcW w:w="2140" w:type="dxa"/>
            <w:vAlign w:val="bottom"/>
            <w:gridSpan w:val="2"/>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2980" w:type="dxa"/>
            <w:vAlign w:val="bottom"/>
            <w:tcBorders>
              <w:bottom w:val="single" w:sz="8" w:color="CCEEFF"/>
            </w:tcBorders>
          </w:tcPr>
          <w:p>
            <w:pPr>
              <w:spacing w:after="0"/>
              <w:rPr>
                <w:sz w:val="13"/>
                <w:szCs w:val="13"/>
                <w:color w:val="auto"/>
              </w:rPr>
            </w:pPr>
          </w:p>
        </w:tc>
        <w:tc>
          <w:tcPr>
            <w:tcW w:w="1980" w:type="dxa"/>
            <w:vAlign w:val="bottom"/>
            <w:tcBorders>
              <w:top w:val="single" w:sz="8" w:color="auto"/>
              <w:bottom w:val="single" w:sz="8" w:color="auto"/>
            </w:tcBorders>
          </w:tcPr>
          <w:p>
            <w:pPr>
              <w:jc w:val="right"/>
              <w:ind w:right="77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1980" w:type="dxa"/>
            <w:vAlign w:val="bottom"/>
            <w:tcBorders>
              <w:top w:val="single" w:sz="8" w:color="auto"/>
              <w:bottom w:val="single" w:sz="8" w:color="auto"/>
            </w:tcBorders>
          </w:tcPr>
          <w:p>
            <w:pPr>
              <w:jc w:val="right"/>
              <w:ind w:right="776"/>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3"/>
                <w:szCs w:val="13"/>
                <w:color w:val="auto"/>
              </w:rPr>
            </w:pPr>
          </w:p>
        </w:tc>
      </w:tr>
      <w:tr>
        <w:trPr>
          <w:trHeight w:val="169"/>
        </w:trPr>
        <w:tc>
          <w:tcPr>
            <w:tcW w:w="2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980" w:type="dxa"/>
            <w:vAlign w:val="bottom"/>
            <w:shd w:val="clear" w:color="auto" w:fill="CCEEFF"/>
          </w:tcPr>
          <w:p>
            <w:pPr>
              <w:jc w:val="right"/>
              <w:ind w:right="96"/>
              <w:spacing w:after="0" w:line="170" w:lineRule="exact"/>
              <w:rPr>
                <w:sz w:val="20"/>
                <w:szCs w:val="20"/>
                <w:color w:val="auto"/>
              </w:rPr>
            </w:pPr>
            <w:r>
              <w:rPr>
                <w:rFonts w:ascii="Arial" w:cs="Arial" w:eastAsia="Arial" w:hAnsi="Arial"/>
                <w:sz w:val="18"/>
                <w:szCs w:val="18"/>
                <w:color w:val="auto"/>
              </w:rPr>
              <w:t>2.4 %</w:t>
            </w:r>
          </w:p>
        </w:tc>
        <w:tc>
          <w:tcPr>
            <w:tcW w:w="140" w:type="dxa"/>
            <w:vAlign w:val="bottom"/>
            <w:shd w:val="clear" w:color="auto" w:fill="CCEEFF"/>
          </w:tcPr>
          <w:p>
            <w:pPr>
              <w:spacing w:after="0"/>
              <w:rPr>
                <w:sz w:val="14"/>
                <w:szCs w:val="14"/>
                <w:color w:val="auto"/>
              </w:rPr>
            </w:pPr>
          </w:p>
        </w:tc>
        <w:tc>
          <w:tcPr>
            <w:tcW w:w="1980" w:type="dxa"/>
            <w:vAlign w:val="bottom"/>
            <w:shd w:val="clear" w:color="auto" w:fill="CCEEFF"/>
          </w:tcPr>
          <w:p>
            <w:pPr>
              <w:jc w:val="right"/>
              <w:ind w:right="96"/>
              <w:spacing w:after="0" w:line="170" w:lineRule="exact"/>
              <w:rPr>
                <w:sz w:val="20"/>
                <w:szCs w:val="20"/>
                <w:color w:val="auto"/>
              </w:rPr>
            </w:pPr>
            <w:r>
              <w:rPr>
                <w:rFonts w:ascii="Arial" w:cs="Arial" w:eastAsia="Arial" w:hAnsi="Arial"/>
                <w:sz w:val="18"/>
                <w:szCs w:val="18"/>
                <w:color w:val="auto"/>
              </w:rPr>
              <w:t>2.0 %</w:t>
            </w:r>
          </w:p>
        </w:tc>
        <w:tc>
          <w:tcPr>
            <w:tcW w:w="160" w:type="dxa"/>
            <w:vAlign w:val="bottom"/>
            <w:shd w:val="clear" w:color="auto" w:fill="CCEEFF"/>
          </w:tcPr>
          <w:p>
            <w:pPr>
              <w:spacing w:after="0"/>
              <w:rPr>
                <w:sz w:val="14"/>
                <w:szCs w:val="14"/>
                <w:color w:val="auto"/>
              </w:rPr>
            </w:pPr>
          </w:p>
        </w:tc>
      </w:tr>
      <w:tr>
        <w:trPr>
          <w:trHeight w:val="176"/>
        </w:trPr>
        <w:tc>
          <w:tcPr>
            <w:tcW w:w="298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2120" w:type="dxa"/>
            <w:vAlign w:val="bottom"/>
            <w:gridSpan w:val="2"/>
          </w:tcPr>
          <w:p>
            <w:pPr>
              <w:jc w:val="right"/>
              <w:ind w:right="320"/>
              <w:spacing w:after="0" w:line="176" w:lineRule="exact"/>
              <w:rPr>
                <w:sz w:val="20"/>
                <w:szCs w:val="20"/>
                <w:color w:val="auto"/>
              </w:rPr>
            </w:pPr>
            <w:r>
              <w:rPr>
                <w:rFonts w:ascii="Arial" w:cs="Arial" w:eastAsia="Arial" w:hAnsi="Arial"/>
                <w:sz w:val="18"/>
                <w:szCs w:val="18"/>
                <w:color w:val="auto"/>
              </w:rPr>
              <w:t>— %</w:t>
            </w:r>
          </w:p>
        </w:tc>
        <w:tc>
          <w:tcPr>
            <w:tcW w:w="214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 %</w:t>
            </w:r>
          </w:p>
        </w:tc>
      </w:tr>
      <w:tr>
        <w:trPr>
          <w:trHeight w:val="176"/>
        </w:trPr>
        <w:tc>
          <w:tcPr>
            <w:tcW w:w="2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1980" w:type="dxa"/>
            <w:vAlign w:val="bottom"/>
            <w:shd w:val="clear" w:color="auto" w:fill="CCEEFF"/>
          </w:tcPr>
          <w:p>
            <w:pPr>
              <w:jc w:val="right"/>
              <w:ind w:right="296"/>
              <w:spacing w:after="0" w:line="176" w:lineRule="exact"/>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jc w:val="right"/>
              <w:ind w:right="296"/>
              <w:spacing w:after="0" w:line="176" w:lineRule="exact"/>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5"/>
                <w:szCs w:val="15"/>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Expected volatility</w:t>
            </w:r>
          </w:p>
        </w:tc>
        <w:tc>
          <w:tcPr>
            <w:tcW w:w="1980" w:type="dxa"/>
            <w:vAlign w:val="bottom"/>
          </w:tcPr>
          <w:p>
            <w:pPr>
              <w:jc w:val="right"/>
              <w:ind w:right="96"/>
              <w:spacing w:after="0"/>
              <w:rPr>
                <w:sz w:val="20"/>
                <w:szCs w:val="20"/>
                <w:color w:val="auto"/>
              </w:rPr>
            </w:pPr>
            <w:r>
              <w:rPr>
                <w:rFonts w:ascii="Arial" w:cs="Arial" w:eastAsia="Arial" w:hAnsi="Arial"/>
                <w:sz w:val="18"/>
                <w:szCs w:val="18"/>
                <w:color w:val="auto"/>
              </w:rPr>
              <w:t>104.3 %</w:t>
            </w:r>
          </w:p>
        </w:tc>
        <w:tc>
          <w:tcPr>
            <w:tcW w:w="140" w:type="dxa"/>
            <w:vAlign w:val="bottom"/>
          </w:tcPr>
          <w:p>
            <w:pPr>
              <w:spacing w:after="0"/>
              <w:rPr>
                <w:sz w:val="20"/>
                <w:szCs w:val="20"/>
                <w:color w:val="auto"/>
              </w:rPr>
            </w:pPr>
          </w:p>
        </w:tc>
        <w:tc>
          <w:tcPr>
            <w:tcW w:w="1980" w:type="dxa"/>
            <w:vAlign w:val="bottom"/>
          </w:tcPr>
          <w:p>
            <w:pPr>
              <w:jc w:val="right"/>
              <w:ind w:right="96"/>
              <w:spacing w:after="0"/>
              <w:rPr>
                <w:sz w:val="20"/>
                <w:szCs w:val="20"/>
                <w:color w:val="auto"/>
              </w:rPr>
            </w:pPr>
            <w:r>
              <w:rPr>
                <w:rFonts w:ascii="Arial" w:cs="Arial" w:eastAsia="Arial" w:hAnsi="Arial"/>
                <w:sz w:val="18"/>
                <w:szCs w:val="18"/>
                <w:color w:val="auto"/>
              </w:rPr>
              <w:t>103.5 %</w:t>
            </w:r>
          </w:p>
        </w:tc>
        <w:tc>
          <w:tcPr>
            <w:tcW w:w="160" w:type="dxa"/>
            <w:vAlign w:val="bottom"/>
          </w:tcPr>
          <w:p>
            <w:pPr>
              <w:spacing w:after="0"/>
              <w:rPr>
                <w:sz w:val="20"/>
                <w:szCs w:val="20"/>
                <w:color w:val="auto"/>
              </w:rPr>
            </w:pPr>
          </w:p>
        </w:tc>
      </w:tr>
    </w:tbl>
    <w:p>
      <w:pPr>
        <w:spacing w:after="0" w:line="93" w:lineRule="exact"/>
        <w:rPr>
          <w:sz w:val="20"/>
          <w:szCs w:val="20"/>
          <w:color w:val="auto"/>
        </w:rPr>
      </w:pPr>
    </w:p>
    <w:p>
      <w:pPr>
        <w:ind w:right="280" w:firstLine="648"/>
        <w:spacing w:after="0" w:line="244" w:lineRule="auto"/>
        <w:rPr>
          <w:sz w:val="20"/>
          <w:szCs w:val="20"/>
          <w:color w:val="auto"/>
        </w:rPr>
      </w:pPr>
      <w:r>
        <w:rPr>
          <w:rFonts w:ascii="Arial" w:cs="Arial" w:eastAsia="Arial" w:hAnsi="Arial"/>
          <w:sz w:val="16"/>
          <w:szCs w:val="16"/>
          <w:color w:val="auto"/>
        </w:rPr>
        <w:t>The expected volatility is based on the historic volatility for the equity securities underlying the warrants and is calculated based on a period of time commensurate with the expected term assumption. The expected term is based on the remaining contractual life of the warrants on each measurement date. The risk-free interest rate is based on a treasury instrument whose term is consistent with the expected term of the warrants. The expected dividend yield is assumed to be zero as the entity that issued the warrants has never paid and has not indicated any intention to pay dividends.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restricted cash, and available for sale marketable securities</w:t>
      </w:r>
    </w:p>
    <w:p>
      <w:pPr>
        <w:spacing w:after="0" w:line="81"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original maturities greater than 90 days when purchased. The Company classifies these investments as available-for-sale and records them at fair value in the accompanying condensed consolidated balance sheets. Unrealized gains or losses are included in accumulated other comprehensive loss. Premiums or discounts from par value are amortized to investment income over the life of the underlying investment.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The Company classifies marketable debt securities with a remaining maturity when purchased of greater than three months as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Marketable debt securities with a remaining maturity date greater than one year and marketable equity securities are classified as non</w:t>
      </w:r>
      <w:r>
        <w:rPr>
          <w:rFonts w:ascii="MS PGothic" w:cs="MS PGothic" w:eastAsia="MS PGothic" w:hAnsi="MS PGothic"/>
          <w:sz w:val="18"/>
          <w:szCs w:val="18"/>
          <w:color w:val="auto"/>
        </w:rPr>
        <w:t>‑</w:t>
      </w:r>
      <w:r>
        <w:rPr>
          <w:rFonts w:ascii="Arial" w:cs="Arial" w:eastAsia="Arial" w:hAnsi="Arial"/>
          <w:sz w:val="18"/>
          <w:szCs w:val="18"/>
          <w:color w:val="auto"/>
        </w:rPr>
        <w:t>current where the Company has the intent and ability to hold these securities for at least the next 12 months.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debt securities are maintained by an investment manager and consist of U.S. Treasury notes. In 2016, the Company invested in a supplier and received common stock and warrants to purchase common stock in that entity. The common stock is included in non-current marketable securities and the warrants are included in non-current assets.</w:t>
      </w:r>
    </w:p>
    <w:p>
      <w:pPr>
        <w:spacing w:after="0" w:line="107"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All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securities are carried at fair value with the unrealized gains and losses included in other</w:t>
      </w:r>
    </w:p>
    <w:p>
      <w:pPr>
        <w:spacing w:after="0" w:line="229" w:lineRule="auto"/>
        <w:rPr>
          <w:sz w:val="20"/>
          <w:szCs w:val="20"/>
          <w:color w:val="auto"/>
        </w:rPr>
      </w:pPr>
      <w:r>
        <w:rPr>
          <w:rFonts w:ascii="Arial" w:cs="Arial" w:eastAsia="Arial" w:hAnsi="Arial"/>
          <w:sz w:val="16"/>
          <w:szCs w:val="16"/>
          <w:color w:val="auto"/>
        </w:rPr>
        <w:t>comprehensive loss as a component of stockholders’ equity until realized. Any premium or discount arising at purchase is</w:t>
      </w:r>
    </w:p>
    <w:p>
      <w:pPr>
        <w:spacing w:after="0" w:line="229" w:lineRule="auto"/>
        <w:rPr>
          <w:sz w:val="20"/>
          <w:szCs w:val="20"/>
          <w:color w:val="auto"/>
        </w:rPr>
      </w:pPr>
      <w:r>
        <w:rPr>
          <w:rFonts w:ascii="Arial" w:cs="Arial" w:eastAsia="Arial" w:hAnsi="Arial"/>
          <w:sz w:val="16"/>
          <w:szCs w:val="16"/>
          <w:color w:val="auto"/>
        </w:rPr>
        <w:t>amortized and/or accreted to interest income and/or expense. Realized gains and losses are determined using the specific</w:t>
      </w:r>
    </w:p>
    <w:p>
      <w:pPr>
        <w:spacing w:after="0" w:line="229" w:lineRule="auto"/>
        <w:rPr>
          <w:sz w:val="20"/>
          <w:szCs w:val="20"/>
          <w:color w:val="auto"/>
        </w:rPr>
      </w:pPr>
      <w:r>
        <w:rPr>
          <w:rFonts w:ascii="Arial" w:cs="Arial" w:eastAsia="Arial" w:hAnsi="Arial"/>
          <w:sz w:val="16"/>
          <w:szCs w:val="16"/>
          <w:color w:val="auto"/>
        </w:rPr>
        <w:t>identification method and are included in other income (expense). If any adjustment to fair value reflects a decline in value of</w:t>
      </w:r>
    </w:p>
    <w:p>
      <w:pPr>
        <w:spacing w:after="0" w:line="203" w:lineRule="auto"/>
        <w:rPr>
          <w:sz w:val="20"/>
          <w:szCs w:val="20"/>
          <w:color w:val="auto"/>
        </w:rPr>
      </w:pPr>
      <w:r>
        <w:rPr>
          <w:rFonts w:ascii="Arial" w:cs="Arial" w:eastAsia="Arial" w:hAnsi="Arial"/>
          <w:sz w:val="18"/>
          <w:szCs w:val="18"/>
          <w:color w:val="auto"/>
        </w:rPr>
        <w:t>the investment, the Company considers all available evidence to evaluate the extent to which the decline is</w:t>
      </w:r>
    </w:p>
    <w:p>
      <w:pPr>
        <w:spacing w:after="0" w:line="176" w:lineRule="exact"/>
        <w:rPr>
          <w:sz w:val="20"/>
          <w:szCs w:val="20"/>
          <w:color w:val="auto"/>
        </w:rPr>
      </w:pPr>
      <w:r>
        <w:rPr>
          <w:rFonts w:ascii="Arial" w:cs="Arial" w:eastAsia="Arial" w:hAnsi="Arial"/>
          <w:sz w:val="16"/>
          <w:szCs w:val="16"/>
          <w:color w:val="auto"/>
        </w:rPr>
        <w:t>“other</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temporary” and, if so, recognizes the unrealized loss through a charge to the Company’s statement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comprehensive loss. No other than temporary losses have been recognized.</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marketable securities included the following at March 31, 2018 and December 31,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5"/>
                <w:szCs w:val="15"/>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r>
      <w:tr>
        <w:trPr>
          <w:trHeight w:val="171"/>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169"/>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5"/>
          </w:tcPr>
          <w:p>
            <w:pPr>
              <w:ind w:left="400"/>
              <w:spacing w:after="0" w:line="170" w:lineRule="exact"/>
              <w:rPr>
                <w:sz w:val="20"/>
                <w:szCs w:val="20"/>
                <w:color w:val="auto"/>
              </w:rPr>
            </w:pPr>
            <w:r>
              <w:rPr>
                <w:rFonts w:ascii="Arial" w:cs="Arial" w:eastAsia="Arial" w:hAnsi="Arial"/>
                <w:sz w:val="18"/>
                <w:szCs w:val="18"/>
                <w:color w:val="auto"/>
              </w:rPr>
              <w:t>(in thousands)</w:t>
            </w: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4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March 31, 2018</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4500" w:type="dxa"/>
            <w:vAlign w:val="bottom"/>
          </w:tcPr>
          <w:p>
            <w:pPr>
              <w:spacing w:after="0" w:line="176" w:lineRule="exact"/>
              <w:rPr>
                <w:sz w:val="20"/>
                <w:szCs w:val="20"/>
                <w:color w:val="auto"/>
              </w:rPr>
            </w:pPr>
            <w:r>
              <w:rPr>
                <w:rFonts w:ascii="Arial" w:cs="Arial" w:eastAsia="Arial" w:hAnsi="Arial"/>
                <w:sz w:val="18"/>
                <w:szCs w:val="18"/>
                <w:color w:val="auto"/>
                <w:w w:val="95"/>
              </w:rPr>
              <w:t>Money market funds included in cash and cash equivalents</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139,269</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w w:val="98"/>
              </w:rPr>
              <w:t>139,269</w:t>
            </w:r>
          </w:p>
        </w:tc>
        <w:tc>
          <w:tcPr>
            <w:tcW w:w="100" w:type="dxa"/>
            <w:vAlign w:val="bottom"/>
          </w:tcPr>
          <w:p>
            <w:pPr>
              <w:spacing w:after="0"/>
              <w:rPr>
                <w:sz w:val="15"/>
                <w:szCs w:val="15"/>
                <w:color w:val="auto"/>
              </w:rPr>
            </w:pPr>
          </w:p>
        </w:tc>
      </w:tr>
      <w:tr>
        <w:trPr>
          <w:trHeight w:val="176"/>
        </w:trPr>
        <w:tc>
          <w:tcPr>
            <w:tcW w:w="4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4500" w:type="dxa"/>
            <w:vAlign w:val="bottom"/>
          </w:tcPr>
          <w:p>
            <w:pPr>
              <w:ind w:left="220"/>
              <w:spacing w:after="0" w:line="176" w:lineRule="exact"/>
              <w:rPr>
                <w:sz w:val="20"/>
                <w:szCs w:val="20"/>
                <w:color w:val="auto"/>
              </w:rPr>
            </w:pPr>
            <w:r>
              <w:rPr>
                <w:rFonts w:ascii="Arial" w:cs="Arial" w:eastAsia="Arial" w:hAnsi="Arial"/>
                <w:sz w:val="18"/>
                <w:szCs w:val="18"/>
                <w:color w:val="auto"/>
              </w:rPr>
              <w:t>U.S. Treasury notes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77,862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77,827</w:t>
            </w:r>
          </w:p>
        </w:tc>
        <w:tc>
          <w:tcPr>
            <w:tcW w:w="100" w:type="dxa"/>
            <w:vAlign w:val="bottom"/>
          </w:tcPr>
          <w:p>
            <w:pPr>
              <w:spacing w:after="0"/>
              <w:rPr>
                <w:sz w:val="15"/>
                <w:szCs w:val="15"/>
                <w:color w:val="auto"/>
              </w:rPr>
            </w:pPr>
          </w:p>
        </w:tc>
      </w:tr>
      <w:tr>
        <w:trPr>
          <w:trHeight w:val="176"/>
        </w:trPr>
        <w:tc>
          <w:tcPr>
            <w:tcW w:w="45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1,220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5"/>
                <w:szCs w:val="15"/>
                <w:color w:val="auto"/>
              </w:rPr>
            </w:pPr>
          </w:p>
        </w:tc>
      </w:tr>
      <w:tr>
        <w:trPr>
          <w:trHeight w:val="169"/>
        </w:trPr>
        <w:tc>
          <w:tcPr>
            <w:tcW w:w="45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marketable securities</w:t>
            </w:r>
          </w:p>
        </w:tc>
        <w:tc>
          <w:tcPr>
            <w:tcW w:w="2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79,082</w:t>
            </w:r>
          </w:p>
        </w:tc>
        <w:tc>
          <w:tcPr>
            <w:tcW w:w="2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79,147</w:t>
            </w:r>
          </w:p>
        </w:tc>
        <w:tc>
          <w:tcPr>
            <w:tcW w:w="100" w:type="dxa"/>
            <w:vAlign w:val="bottom"/>
            <w:tcBorders>
              <w:bottom w:val="single" w:sz="8" w:color="CCEEFF"/>
            </w:tcBorders>
          </w:tcPr>
          <w:p>
            <w:pPr>
              <w:spacing w:after="0"/>
              <w:rPr>
                <w:sz w:val="14"/>
                <w:szCs w:val="14"/>
                <w:color w:val="auto"/>
              </w:rPr>
            </w:pPr>
          </w:p>
        </w:tc>
      </w:tr>
      <w:tr>
        <w:trPr>
          <w:trHeight w:val="189"/>
        </w:trPr>
        <w:tc>
          <w:tcPr>
            <w:tcW w:w="45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money market funds and marketable securities</w:t>
            </w: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218,351</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218,416</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63"/>
        </w:trPr>
        <w:tc>
          <w:tcPr>
            <w:tcW w:w="4500" w:type="dxa"/>
            <w:vAlign w:val="bottom"/>
          </w:tcPr>
          <w:p>
            <w:pPr>
              <w:spacing w:after="0"/>
              <w:rPr>
                <w:sz w:val="20"/>
                <w:szCs w:val="20"/>
                <w:color w:val="auto"/>
              </w:rPr>
            </w:pPr>
            <w:r>
              <w:rPr>
                <w:rFonts w:ascii="Arial" w:cs="Arial" w:eastAsia="Arial" w:hAnsi="Arial"/>
                <w:sz w:val="14"/>
                <w:szCs w:val="14"/>
                <w:b w:val="1"/>
                <w:bCs w:val="1"/>
                <w:color w:val="auto"/>
              </w:rPr>
              <w:t>As of December 31, 2017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4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Money market funds included in cash and cash equivalents</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30,469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30,469</w:t>
            </w:r>
          </w:p>
        </w:tc>
        <w:tc>
          <w:tcPr>
            <w:tcW w:w="100" w:type="dxa"/>
            <w:vAlign w:val="bottom"/>
            <w:shd w:val="clear" w:color="auto" w:fill="CCEEFF"/>
          </w:tcPr>
          <w:p>
            <w:pPr>
              <w:spacing w:after="0"/>
              <w:rPr>
                <w:sz w:val="15"/>
                <w:szCs w:val="15"/>
                <w:color w:val="auto"/>
              </w:rPr>
            </w:pPr>
          </w:p>
        </w:tc>
      </w:tr>
      <w:tr>
        <w:trPr>
          <w:trHeight w:val="176"/>
        </w:trPr>
        <w:tc>
          <w:tcPr>
            <w:tcW w:w="4500" w:type="dxa"/>
            <w:vAlign w:val="bottom"/>
          </w:tcPr>
          <w:p>
            <w:pPr>
              <w:spacing w:after="0" w:line="176" w:lineRule="exact"/>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5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notes</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137,560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137,522</w:t>
            </w:r>
          </w:p>
        </w:tc>
        <w:tc>
          <w:tcPr>
            <w:tcW w:w="100" w:type="dxa"/>
            <w:vAlign w:val="bottom"/>
            <w:shd w:val="clear" w:color="auto" w:fill="CCEEFF"/>
          </w:tcPr>
          <w:p>
            <w:pPr>
              <w:spacing w:after="0"/>
              <w:rPr>
                <w:sz w:val="15"/>
                <w:szCs w:val="15"/>
                <w:color w:val="auto"/>
              </w:rPr>
            </w:pPr>
          </w:p>
        </w:tc>
      </w:tr>
      <w:tr>
        <w:trPr>
          <w:trHeight w:val="176"/>
        </w:trPr>
        <w:tc>
          <w:tcPr>
            <w:tcW w:w="45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1,220</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tcPr>
          <w:p>
            <w:pPr>
              <w:spacing w:after="0"/>
              <w:rPr>
                <w:sz w:val="15"/>
                <w:szCs w:val="15"/>
                <w:color w:val="auto"/>
              </w:rPr>
            </w:pPr>
          </w:p>
        </w:tc>
      </w:tr>
      <w:tr>
        <w:trPr>
          <w:trHeight w:val="169"/>
        </w:trPr>
        <w:tc>
          <w:tcPr>
            <w:tcW w:w="45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marketable securities</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138,780</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138,622</w:t>
            </w:r>
          </w:p>
        </w:tc>
        <w:tc>
          <w:tcPr>
            <w:tcW w:w="100" w:type="dxa"/>
            <w:vAlign w:val="bottom"/>
            <w:shd w:val="clear" w:color="auto" w:fill="CCEEFF"/>
          </w:tcPr>
          <w:p>
            <w:pPr>
              <w:spacing w:after="0"/>
              <w:rPr>
                <w:sz w:val="14"/>
                <w:szCs w:val="14"/>
                <w:color w:val="auto"/>
              </w:rPr>
            </w:pPr>
          </w:p>
        </w:tc>
      </w:tr>
      <w:tr>
        <w:trPr>
          <w:trHeight w:val="176"/>
        </w:trPr>
        <w:tc>
          <w:tcPr>
            <w:tcW w:w="45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money market funds and marketable securities</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169,249</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169,091</w:t>
            </w:r>
          </w:p>
        </w:tc>
        <w:tc>
          <w:tcPr>
            <w:tcW w:w="100" w:type="dxa"/>
            <w:vAlign w:val="bottom"/>
            <w:tcBorders>
              <w:bottom w:val="single" w:sz="8" w:color="CCEEFF"/>
            </w:tcBorders>
          </w:tcPr>
          <w:p>
            <w:pPr>
              <w:spacing w:after="0"/>
              <w:rPr>
                <w:sz w:val="15"/>
                <w:szCs w:val="15"/>
                <w:color w:val="auto"/>
              </w:rPr>
            </w:pPr>
          </w:p>
        </w:tc>
      </w:tr>
      <w:tr>
        <w:trPr>
          <w:trHeight w:val="176"/>
        </w:trPr>
        <w:tc>
          <w:tcPr>
            <w:tcW w:w="4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of the Company’s marketable debt securities at March 31, 2018, have a contractual maturity of one year or less.</w:t>
      </w:r>
    </w:p>
    <w:p>
      <w:pPr>
        <w:spacing w:after="0" w:line="208" w:lineRule="exact"/>
        <w:rPr>
          <w:sz w:val="20"/>
          <w:szCs w:val="20"/>
          <w:color w:val="auto"/>
        </w:rPr>
      </w:pPr>
    </w:p>
    <w:p>
      <w:pPr>
        <w:ind w:right="200" w:firstLine="648"/>
        <w:spacing w:after="0" w:line="258" w:lineRule="auto"/>
        <w:rPr>
          <w:sz w:val="20"/>
          <w:szCs w:val="20"/>
          <w:color w:val="auto"/>
        </w:rPr>
      </w:pPr>
      <w:r>
        <w:rPr>
          <w:rFonts w:ascii="Arial" w:cs="Arial" w:eastAsia="Arial" w:hAnsi="Arial"/>
          <w:sz w:val="17"/>
          <w:szCs w:val="17"/>
          <w:color w:val="auto"/>
        </w:rPr>
        <w:t>The following table provides a reconciliation of cash, cash equivalents, and restricted cash within the statement of financial position that sum to the total of the same such amounts shown in the statement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As of March 31,</w:t>
            </w:r>
          </w:p>
        </w:tc>
        <w:tc>
          <w:tcPr>
            <w:tcW w:w="10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6"/>
        </w:trPr>
        <w:tc>
          <w:tcPr>
            <w:tcW w:w="55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r>
      <w:tr>
        <w:trPr>
          <w:trHeight w:val="169"/>
        </w:trPr>
        <w:tc>
          <w:tcPr>
            <w:tcW w:w="5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ind w:left="720"/>
              <w:spacing w:after="0" w:line="170" w:lineRule="exact"/>
              <w:rPr>
                <w:sz w:val="20"/>
                <w:szCs w:val="20"/>
                <w:color w:val="auto"/>
              </w:rPr>
            </w:pPr>
            <w:r>
              <w:rPr>
                <w:rFonts w:ascii="Arial" w:cs="Arial" w:eastAsia="Arial" w:hAnsi="Arial"/>
                <w:sz w:val="18"/>
                <w:szCs w:val="18"/>
                <w:color w:val="auto"/>
                <w:w w:val="96"/>
              </w:rPr>
              <w:t>(in thousands)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6"/>
        </w:trPr>
        <w:tc>
          <w:tcPr>
            <w:tcW w:w="5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140,371</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43,604</w:t>
            </w:r>
          </w:p>
        </w:tc>
        <w:tc>
          <w:tcPr>
            <w:tcW w:w="260" w:type="dxa"/>
            <w:vAlign w:val="bottom"/>
            <w:shd w:val="clear" w:color="auto" w:fill="CCEEFF"/>
          </w:tcPr>
          <w:p>
            <w:pPr>
              <w:spacing w:after="0"/>
              <w:rPr>
                <w:sz w:val="15"/>
                <w:szCs w:val="15"/>
                <w:color w:val="auto"/>
              </w:rPr>
            </w:pPr>
          </w:p>
        </w:tc>
      </w:tr>
      <w:tr>
        <w:trPr>
          <w:trHeight w:val="176"/>
        </w:trPr>
        <w:tc>
          <w:tcPr>
            <w:tcW w:w="55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Restricted cash included in deposits and other noncurrent assets</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735</w:t>
            </w: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735</w:t>
            </w:r>
          </w:p>
        </w:tc>
        <w:tc>
          <w:tcPr>
            <w:tcW w:w="260" w:type="dxa"/>
            <w:vAlign w:val="bottom"/>
            <w:tcBorders>
              <w:bottom w:val="single" w:sz="8" w:color="CCEEFF"/>
            </w:tcBorders>
          </w:tcPr>
          <w:p>
            <w:pPr>
              <w:spacing w:after="0"/>
              <w:rPr>
                <w:sz w:val="15"/>
                <w:szCs w:val="15"/>
                <w:color w:val="auto"/>
              </w:rPr>
            </w:pPr>
          </w:p>
        </w:tc>
      </w:tr>
      <w:tr>
        <w:trPr>
          <w:trHeight w:val="176"/>
        </w:trPr>
        <w:tc>
          <w:tcPr>
            <w:tcW w:w="55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shd w:val="clear" w:color="auto" w:fill="CCEEFF"/>
          </w:tcPr>
          <w:p>
            <w:pPr>
              <w:jc w:val="right"/>
              <w:ind w:right="150"/>
              <w:spacing w:after="0" w:line="170"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141,106</w:t>
            </w:r>
          </w:p>
        </w:tc>
        <w:tc>
          <w:tcPr>
            <w:tcW w:w="1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90"/>
              <w:spacing w:after="0" w:line="17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44,339</w:t>
            </w:r>
          </w:p>
        </w:tc>
        <w:tc>
          <w:tcPr>
            <w:tcW w:w="260" w:type="dxa"/>
            <w:vAlign w:val="bottom"/>
            <w:tcBorders>
              <w:bottom w:val="single" w:sz="8" w:color="CCEEFF"/>
            </w:tcBorders>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as of March 31, 2018 and December 31, 2017 consist of the following:</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As of March 31,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As of December 31,</w:t>
            </w:r>
          </w:p>
        </w:tc>
      </w:tr>
      <w:tr>
        <w:trPr>
          <w:trHeight w:val="129"/>
        </w:trPr>
        <w:tc>
          <w:tcPr>
            <w:tcW w:w="3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34"/>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534"/>
              <w:spacing w:after="0" w:line="129" w:lineRule="exact"/>
              <w:rPr>
                <w:sz w:val="20"/>
                <w:szCs w:val="20"/>
                <w:color w:val="auto"/>
              </w:rPr>
            </w:pPr>
            <w:r>
              <w:rPr>
                <w:rFonts w:ascii="Arial" w:cs="Arial" w:eastAsia="Arial" w:hAnsi="Arial"/>
                <w:sz w:val="14"/>
                <w:szCs w:val="14"/>
                <w:b w:val="1"/>
                <w:bCs w:val="1"/>
                <w:color w:val="auto"/>
              </w:rPr>
              <w:t>2017</w:t>
            </w:r>
          </w:p>
        </w:tc>
      </w:tr>
      <w:tr>
        <w:trPr>
          <w:trHeight w:val="169"/>
        </w:trPr>
        <w:tc>
          <w:tcPr>
            <w:tcW w:w="3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4"/>
          </w:tcPr>
          <w:p>
            <w:pPr>
              <w:jc w:val="right"/>
              <w:ind w:right="974"/>
              <w:spacing w:after="0" w:line="170" w:lineRule="exact"/>
              <w:rPr>
                <w:sz w:val="20"/>
                <w:szCs w:val="20"/>
                <w:color w:val="auto"/>
              </w:rPr>
            </w:pPr>
            <w:r>
              <w:rPr>
                <w:rFonts w:ascii="Arial" w:cs="Arial" w:eastAsia="Arial" w:hAnsi="Arial"/>
                <w:sz w:val="18"/>
                <w:szCs w:val="18"/>
                <w:color w:val="auto"/>
              </w:rPr>
              <w:t>(in thousands)</w:t>
            </w:r>
          </w:p>
        </w:tc>
      </w:tr>
      <w:tr>
        <w:trPr>
          <w:trHeight w:val="176"/>
        </w:trPr>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 costs</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4,665</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5,780</w:t>
            </w: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8"/>
                <w:szCs w:val="18"/>
                <w:color w:val="auto"/>
              </w:rPr>
              <w:t>Professional services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1,824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1,762</w:t>
            </w:r>
          </w:p>
        </w:tc>
      </w:tr>
      <w:tr>
        <w:trPr>
          <w:trHeight w:val="176"/>
        </w:trPr>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Employee compensation costs</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1,726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3,383</w:t>
            </w: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8"/>
                <w:szCs w:val="18"/>
                <w:color w:val="auto"/>
              </w:rPr>
              <w:t>Accrued goods and services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951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388</w:t>
            </w:r>
          </w:p>
        </w:tc>
      </w:tr>
      <w:tr>
        <w:trPr>
          <w:trHeight w:val="176"/>
        </w:trPr>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Patent costs</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r>
      <w:tr>
        <w:trPr>
          <w:trHeight w:val="176"/>
        </w:trPr>
        <w:tc>
          <w:tcPr>
            <w:tcW w:w="32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64</w:t>
            </w:r>
          </w:p>
        </w:tc>
      </w:tr>
      <w:tr>
        <w:trPr>
          <w:trHeight w:val="176"/>
        </w:trPr>
        <w:tc>
          <w:tcPr>
            <w:tcW w:w="322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9,351</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11,497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firstLine="648"/>
        <w:spacing w:after="0" w:line="189" w:lineRule="exact"/>
        <w:rPr>
          <w:sz w:val="20"/>
          <w:szCs w:val="20"/>
          <w:color w:val="auto"/>
        </w:rPr>
      </w:pPr>
      <w:r>
        <w:rPr>
          <w:rFonts w:ascii="Arial" w:cs="Arial" w:eastAsia="Arial" w:hAnsi="Arial"/>
          <w:sz w:val="16"/>
          <w:szCs w:val="16"/>
          <w:color w:val="auto"/>
        </w:rPr>
        <w:t>In March 2014, the Company entered into an agreement to lease the 75 Sidney Street facility under a non</w:t>
      </w:r>
      <w:r>
        <w:rPr>
          <w:rFonts w:ascii="MS PGothic" w:cs="MS PGothic" w:eastAsia="MS PGothic" w:hAnsi="MS PGothic"/>
          <w:sz w:val="16"/>
          <w:szCs w:val="16"/>
          <w:color w:val="auto"/>
        </w:rPr>
        <w:t>‑</w:t>
      </w:r>
      <w:r>
        <w:rPr>
          <w:rFonts w:ascii="Arial" w:cs="Arial" w:eastAsia="Arial" w:hAnsi="Arial"/>
          <w:sz w:val="16"/>
          <w:szCs w:val="16"/>
          <w:color w:val="auto"/>
        </w:rPr>
        <w:t>cancelable operating lease that would expire December 15, 2019. The lease includes two renewal options, each for five-year terms and at fair market value upon exercise. The lease contains escalating rent clauses which require higher rent payments in future years. The Company expenses rent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term of the lease, including any rent</w:t>
      </w:r>
      <w:r>
        <w:rPr>
          <w:rFonts w:ascii="MS PGothic" w:cs="MS PGothic" w:eastAsia="MS PGothic" w:hAnsi="MS PGothic"/>
          <w:sz w:val="16"/>
          <w:szCs w:val="16"/>
          <w:color w:val="auto"/>
        </w:rPr>
        <w:t>‑</w:t>
      </w:r>
      <w:r>
        <w:rPr>
          <w:rFonts w:ascii="Arial" w:cs="Arial" w:eastAsia="Arial" w:hAnsi="Arial"/>
          <w:sz w:val="16"/>
          <w:szCs w:val="16"/>
          <w:color w:val="auto"/>
        </w:rPr>
        <w:t>free periods.</w:t>
      </w:r>
    </w:p>
    <w:p>
      <w:pPr>
        <w:spacing w:after="0" w:line="123" w:lineRule="exact"/>
        <w:rPr>
          <w:sz w:val="20"/>
          <w:szCs w:val="20"/>
          <w:color w:val="auto"/>
        </w:rPr>
      </w:pPr>
    </w:p>
    <w:p>
      <w:pPr>
        <w:jc w:val="both"/>
        <w:ind w:right="380" w:firstLine="648"/>
        <w:spacing w:after="0" w:line="224" w:lineRule="auto"/>
        <w:rPr>
          <w:sz w:val="20"/>
          <w:szCs w:val="20"/>
          <w:color w:val="auto"/>
        </w:rPr>
      </w:pPr>
      <w:r>
        <w:rPr>
          <w:rFonts w:ascii="Arial" w:cs="Arial" w:eastAsia="Arial" w:hAnsi="Arial"/>
          <w:sz w:val="18"/>
          <w:szCs w:val="18"/>
          <w:color w:val="auto"/>
        </w:rPr>
        <w:t>In December 2015, the Company executed an amendment to extend the 75 Sidney Street lease and executed an agreement to lease the 64 Sidney Street facility until December 31, 2024. The additional facility includes laboratory and office space, and was ready for occupancy in early 2017.</w:t>
      </w:r>
    </w:p>
    <w:p>
      <w:pPr>
        <w:spacing w:after="0" w:line="123"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In February 2018, the Company executed an amendment to lease additional space at 75 Sidney Street to support its continued growth. The additional facility includes laboratory and office space, and will be fully ready for occupancy in the first half of 2018.</w:t>
      </w:r>
    </w:p>
    <w:p>
      <w:pPr>
        <w:spacing w:after="0" w:line="136" w:lineRule="exact"/>
        <w:rPr>
          <w:sz w:val="20"/>
          <w:szCs w:val="20"/>
          <w:color w:val="auto"/>
        </w:rPr>
      </w:pPr>
    </w:p>
    <w:p>
      <w:pPr>
        <w:ind w:right="120" w:firstLine="648"/>
        <w:spacing w:after="0" w:line="244" w:lineRule="auto"/>
        <w:rPr>
          <w:sz w:val="20"/>
          <w:szCs w:val="20"/>
          <w:color w:val="auto"/>
        </w:rPr>
      </w:pPr>
      <w:r>
        <w:rPr>
          <w:rFonts w:ascii="Arial" w:cs="Arial" w:eastAsia="Arial" w:hAnsi="Arial"/>
          <w:sz w:val="16"/>
          <w:szCs w:val="16"/>
          <w:color w:val="auto"/>
        </w:rPr>
        <w:t>The Company has received leasehold improvement incentives from the landlord totaling $1.3 million and $3.5 million for 75 Sidney Street and 64 Sidney Street, respectively, as of March 31, 2018. The Company recorded these incentives as a component of deferred rent and is amortizing these incentives as a reduction of rent expense over the life of the leases. The leasehold improvements have been recorded as fixed assets. The Company is entitled to receive approximately $0.3 million of leasehold improvements for the additional space at 75 Sidney Street leased in February 2018.</w:t>
      </w:r>
    </w:p>
    <w:p>
      <w:pPr>
        <w:spacing w:after="0" w:line="105"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6"/>
          <w:szCs w:val="16"/>
          <w:color w:val="auto"/>
        </w:rPr>
        <w:t>The Company’s lease agreements require the Company to maintain a cash deposit or irrevocable letter of credit of $0.7 million payable to the landlord as security for the performance of its obligations under the leases. These amounts are recorded as restricted cash and included in deposits and other noncurrent assets in the accompanying balance sheets.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following table summarizes the Company’s significant contractual obligations as of payment due date by period at March 31, 2018:</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Total Minimum</w:t>
            </w:r>
          </w:p>
        </w:tc>
      </w:tr>
      <w:tr>
        <w:trPr>
          <w:trHeight w:val="17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Lease Payments</w:t>
            </w:r>
          </w:p>
        </w:tc>
      </w:tr>
      <w:tr>
        <w:trPr>
          <w:trHeight w:val="169"/>
        </w:trPr>
        <w:tc>
          <w:tcPr>
            <w:tcW w:w="56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4"/>
              <w:spacing w:after="0" w:line="170" w:lineRule="exact"/>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14"/>
                <w:szCs w:val="14"/>
                <w:color w:val="auto"/>
              </w:rPr>
            </w:pPr>
          </w:p>
        </w:tc>
      </w:tr>
      <w:tr>
        <w:trPr>
          <w:trHeight w:val="176"/>
        </w:trPr>
        <w:tc>
          <w:tcPr>
            <w:tcW w:w="5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2018 (remainder of year)</w:t>
            </w: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3,160</w:t>
            </w:r>
          </w:p>
        </w:tc>
        <w:tc>
          <w:tcPr>
            <w:tcW w:w="140" w:type="dxa"/>
            <w:vAlign w:val="bottom"/>
            <w:shd w:val="clear" w:color="auto" w:fill="CCEEFF"/>
          </w:tcPr>
          <w:p>
            <w:pPr>
              <w:spacing w:after="0"/>
              <w:rPr>
                <w:sz w:val="15"/>
                <w:szCs w:val="15"/>
                <w:color w:val="auto"/>
              </w:rPr>
            </w:pPr>
          </w:p>
        </w:tc>
      </w:tr>
      <w:tr>
        <w:trPr>
          <w:trHeight w:val="176"/>
        </w:trPr>
        <w:tc>
          <w:tcPr>
            <w:tcW w:w="5600" w:type="dxa"/>
            <w:vAlign w:val="bottom"/>
          </w:tcPr>
          <w:p>
            <w:pPr>
              <w:spacing w:after="0" w:line="176" w:lineRule="exact"/>
              <w:rPr>
                <w:sz w:val="20"/>
                <w:szCs w:val="20"/>
                <w:color w:val="auto"/>
              </w:rPr>
            </w:pPr>
            <w:r>
              <w:rPr>
                <w:rFonts w:ascii="Arial" w:cs="Arial" w:eastAsia="Arial" w:hAnsi="Arial"/>
                <w:sz w:val="18"/>
                <w:szCs w:val="18"/>
                <w:color w:val="auto"/>
              </w:rPr>
              <w:t>2019</w:t>
            </w:r>
          </w:p>
        </w:tc>
        <w:tc>
          <w:tcPr>
            <w:tcW w:w="16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4,325</w:t>
            </w:r>
          </w:p>
        </w:tc>
        <w:tc>
          <w:tcPr>
            <w:tcW w:w="140" w:type="dxa"/>
            <w:vAlign w:val="bottom"/>
          </w:tcPr>
          <w:p>
            <w:pPr>
              <w:spacing w:after="0"/>
              <w:rPr>
                <w:sz w:val="15"/>
                <w:szCs w:val="15"/>
                <w:color w:val="auto"/>
              </w:rPr>
            </w:pPr>
          </w:p>
        </w:tc>
      </w:tr>
      <w:tr>
        <w:trPr>
          <w:trHeight w:val="176"/>
        </w:trPr>
        <w:tc>
          <w:tcPr>
            <w:tcW w:w="5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4,731</w:t>
            </w:r>
          </w:p>
        </w:tc>
        <w:tc>
          <w:tcPr>
            <w:tcW w:w="140" w:type="dxa"/>
            <w:vAlign w:val="bottom"/>
            <w:shd w:val="clear" w:color="auto" w:fill="CCEEFF"/>
          </w:tcPr>
          <w:p>
            <w:pPr>
              <w:spacing w:after="0"/>
              <w:rPr>
                <w:sz w:val="15"/>
                <w:szCs w:val="15"/>
                <w:color w:val="auto"/>
              </w:rPr>
            </w:pPr>
          </w:p>
        </w:tc>
      </w:tr>
      <w:tr>
        <w:trPr>
          <w:trHeight w:val="176"/>
        </w:trPr>
        <w:tc>
          <w:tcPr>
            <w:tcW w:w="5600" w:type="dxa"/>
            <w:vAlign w:val="bottom"/>
          </w:tcPr>
          <w:p>
            <w:pPr>
              <w:spacing w:after="0" w:line="176"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4,863</w:t>
            </w:r>
          </w:p>
        </w:tc>
        <w:tc>
          <w:tcPr>
            <w:tcW w:w="140" w:type="dxa"/>
            <w:vAlign w:val="bottom"/>
          </w:tcPr>
          <w:p>
            <w:pPr>
              <w:spacing w:after="0"/>
              <w:rPr>
                <w:sz w:val="15"/>
                <w:szCs w:val="15"/>
                <w:color w:val="auto"/>
              </w:rPr>
            </w:pPr>
          </w:p>
        </w:tc>
      </w:tr>
      <w:tr>
        <w:trPr>
          <w:trHeight w:val="176"/>
        </w:trPr>
        <w:tc>
          <w:tcPr>
            <w:tcW w:w="5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5,001</w:t>
            </w:r>
          </w:p>
        </w:tc>
        <w:tc>
          <w:tcPr>
            <w:tcW w:w="140" w:type="dxa"/>
            <w:vAlign w:val="bottom"/>
            <w:shd w:val="clear" w:color="auto" w:fill="CCEEFF"/>
          </w:tcPr>
          <w:p>
            <w:pPr>
              <w:spacing w:after="0"/>
              <w:rPr>
                <w:sz w:val="15"/>
                <w:szCs w:val="15"/>
                <w:color w:val="auto"/>
              </w:rPr>
            </w:pPr>
          </w:p>
        </w:tc>
      </w:tr>
      <w:tr>
        <w:trPr>
          <w:trHeight w:val="176"/>
        </w:trPr>
        <w:tc>
          <w:tcPr>
            <w:tcW w:w="56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10,427</w:t>
            </w:r>
          </w:p>
        </w:tc>
        <w:tc>
          <w:tcPr>
            <w:tcW w:w="140" w:type="dxa"/>
            <w:vAlign w:val="bottom"/>
            <w:tcBorders>
              <w:bottom w:val="single" w:sz="8" w:color="CCEEFF"/>
            </w:tcBorders>
          </w:tcPr>
          <w:p>
            <w:pPr>
              <w:spacing w:after="0"/>
              <w:rPr>
                <w:sz w:val="15"/>
                <w:szCs w:val="15"/>
                <w:color w:val="auto"/>
              </w:rPr>
            </w:pPr>
          </w:p>
        </w:tc>
      </w:tr>
      <w:tr>
        <w:trPr>
          <w:trHeight w:val="176"/>
        </w:trPr>
        <w:tc>
          <w:tcPr>
            <w:tcW w:w="56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32,507</w:t>
            </w:r>
          </w:p>
        </w:tc>
        <w:tc>
          <w:tcPr>
            <w:tcW w:w="14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 Genzyme Collaboration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31"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In February 2015, the Company entered into an agreement with Sanofi Genzyme (the “Sanofi Genzyme Collaboration Agreement”) which included a non</w:t>
      </w:r>
      <w:r>
        <w:rPr>
          <w:rFonts w:ascii="MS PGothic" w:cs="MS PGothic" w:eastAsia="MS PGothic" w:hAnsi="MS PGothic"/>
          <w:sz w:val="18"/>
          <w:szCs w:val="18"/>
          <w:color w:val="auto"/>
        </w:rPr>
        <w:t>‑</w:t>
      </w:r>
      <w:r>
        <w:rPr>
          <w:rFonts w:ascii="Arial" w:cs="Arial" w:eastAsia="Arial" w:hAnsi="Arial"/>
          <w:sz w:val="18"/>
          <w:szCs w:val="18"/>
          <w:color w:val="auto"/>
        </w:rPr>
        <w:t>refundable upfront payment of $65.0 million. In addition, contemporaneously with entering into the Sanofi Genzyme Collaboration Agreement, Sanofi Genzyme entered into a Series B Stock Purchase Agreement, under which Sanofi Genzyme purchased 10,000,000 shares of Series B Preferred Stock for $30.0 million. The fair value of the Series B Preferred Stock at the time of issuance was approximately $25.0 million. The $5.0 million premium over the fair value was accounted for as additional consideration under the Sanofi Genzyme Collaboration Agreement.</w:t>
      </w:r>
    </w:p>
    <w:p>
      <w:pPr>
        <w:spacing w:after="0" w:line="125"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Under the Sanofi Genzyme Collaboration Agreement, the Company granted Sanofi Genzyme an exclusive option to license, develop, and commercialize (i) ex</w:t>
      </w:r>
      <w:r>
        <w:rPr>
          <w:rFonts w:ascii="MS PGothic" w:cs="MS PGothic" w:eastAsia="MS PGothic" w:hAnsi="MS PGothic"/>
          <w:sz w:val="16"/>
          <w:szCs w:val="16"/>
          <w:color w:val="auto"/>
        </w:rPr>
        <w:t>‑</w:t>
      </w:r>
      <w:r>
        <w:rPr>
          <w:rFonts w:ascii="Arial" w:cs="Arial" w:eastAsia="Arial" w:hAnsi="Arial"/>
          <w:sz w:val="16"/>
          <w:szCs w:val="16"/>
          <w:color w:val="auto"/>
        </w:rPr>
        <w:t>U.S. rights to the following programs, which are referred to as “Split Territory Programs”; VY</w:t>
      </w:r>
      <w:r>
        <w:rPr>
          <w:rFonts w:ascii="MS PGothic" w:cs="MS PGothic" w:eastAsia="MS PGothic" w:hAnsi="MS PGothic"/>
          <w:sz w:val="16"/>
          <w:szCs w:val="16"/>
          <w:color w:val="auto"/>
        </w:rPr>
        <w:t>‑</w:t>
      </w:r>
      <w:r>
        <w:rPr>
          <w:rFonts w:ascii="Arial" w:cs="Arial" w:eastAsia="Arial" w:hAnsi="Arial"/>
          <w:sz w:val="16"/>
          <w:szCs w:val="16"/>
          <w:color w:val="auto"/>
        </w:rPr>
        <w:t>AADC (“Parkinson’s Program”), VY</w:t>
      </w:r>
      <w:r>
        <w:rPr>
          <w:rFonts w:ascii="MS PGothic" w:cs="MS PGothic" w:eastAsia="MS PGothic" w:hAnsi="MS PGothic"/>
          <w:sz w:val="16"/>
          <w:szCs w:val="16"/>
          <w:color w:val="auto"/>
        </w:rPr>
        <w:t>‑</w:t>
      </w:r>
      <w:r>
        <w:rPr>
          <w:rFonts w:ascii="Arial" w:cs="Arial" w:eastAsia="Arial" w:hAnsi="Arial"/>
          <w:sz w:val="16"/>
          <w:szCs w:val="16"/>
          <w:color w:val="auto"/>
        </w:rPr>
        <w:t>FXN01 (“Friedreich’s Ataxia Program”), a future program to be designated by Sanofi Genzyme (“Future Program”), and VY</w:t>
      </w:r>
      <w:r>
        <w:rPr>
          <w:rFonts w:ascii="MS PGothic" w:cs="MS PGothic" w:eastAsia="MS PGothic" w:hAnsi="MS PGothic"/>
          <w:sz w:val="16"/>
          <w:szCs w:val="16"/>
          <w:color w:val="auto"/>
        </w:rPr>
        <w:t>‑</w:t>
      </w:r>
      <w:r>
        <w:rPr>
          <w:rFonts w:ascii="Arial" w:cs="Arial" w:eastAsia="Arial" w:hAnsi="Arial"/>
          <w:sz w:val="16"/>
          <w:szCs w:val="16"/>
          <w:color w:val="auto"/>
        </w:rPr>
        <w:t>HTT01 (“Huntington’s Program”), with an incremental option to co</w:t>
      </w:r>
      <w:r>
        <w:rPr>
          <w:rFonts w:ascii="MS PGothic" w:cs="MS PGothic" w:eastAsia="MS PGothic" w:hAnsi="MS PGothic"/>
          <w:sz w:val="16"/>
          <w:szCs w:val="16"/>
          <w:color w:val="auto"/>
        </w:rPr>
        <w:t>‑</w:t>
      </w:r>
      <w:r>
        <w:rPr>
          <w:rFonts w:ascii="Arial" w:cs="Arial" w:eastAsia="Arial" w:hAnsi="Arial"/>
          <w:sz w:val="16"/>
          <w:szCs w:val="16"/>
          <w:color w:val="auto"/>
        </w:rPr>
        <w:t>commercialize VY</w:t>
      </w:r>
      <w:r>
        <w:rPr>
          <w:rFonts w:ascii="MS PGothic" w:cs="MS PGothic" w:eastAsia="MS PGothic" w:hAnsi="MS PGothic"/>
          <w:sz w:val="16"/>
          <w:szCs w:val="16"/>
          <w:color w:val="auto"/>
        </w:rPr>
        <w:t>‑</w:t>
      </w:r>
      <w:r>
        <w:rPr>
          <w:rFonts w:ascii="Arial" w:cs="Arial" w:eastAsia="Arial" w:hAnsi="Arial"/>
          <w:sz w:val="16"/>
          <w:szCs w:val="16"/>
          <w:color w:val="auto"/>
        </w:rPr>
        <w:t>HTT01 in the United States and (ii) worldwide rights to VY</w:t>
      </w:r>
      <w:r>
        <w:rPr>
          <w:rFonts w:ascii="MS PGothic" w:cs="MS PGothic" w:eastAsia="MS PGothic" w:hAnsi="MS PGothic"/>
          <w:sz w:val="16"/>
          <w:szCs w:val="16"/>
          <w:color w:val="auto"/>
        </w:rPr>
        <w:t>‑</w:t>
      </w:r>
      <w:r>
        <w:rPr>
          <w:rFonts w:ascii="Arial" w:cs="Arial" w:eastAsia="Arial" w:hAnsi="Arial"/>
          <w:sz w:val="16"/>
          <w:szCs w:val="16"/>
          <w:color w:val="auto"/>
        </w:rPr>
        <w:t>SMN101 (“Spinal Muscular Atrophy Program”). Sanofi Genzyme’s option for the Split Territory Programs and the Spinal Muscular Atrophy Program is triggered following the completion of the first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principle human clinical study (“POP Study”), on a program-by-program basis.</w:t>
      </w:r>
    </w:p>
    <w:p>
      <w:pPr>
        <w:spacing w:after="0" w:line="122"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Prior to any option exercise by Sanofi Genzyme, the Company will collaborate with Sanofi Genzyme in the development of products under each Split Territory Program and the Spinal Muscular Atrophy Program pursuant to a written development plan and under the guidance of an Alliance Joint Steering Committee (“AJSC”), comprised of an equal number of employees from the Company and Sanofi Genzyme.</w:t>
      </w:r>
    </w:p>
    <w:p>
      <w:pPr>
        <w:spacing w:after="0" w:line="136" w:lineRule="exact"/>
        <w:rPr>
          <w:sz w:val="20"/>
          <w:szCs w:val="20"/>
          <w:color w:val="auto"/>
        </w:rPr>
      </w:pPr>
    </w:p>
    <w:p>
      <w:pPr>
        <w:ind w:right="180" w:firstLine="648"/>
        <w:spacing w:after="0" w:line="229" w:lineRule="auto"/>
        <w:rPr>
          <w:sz w:val="20"/>
          <w:szCs w:val="20"/>
          <w:color w:val="auto"/>
        </w:rPr>
      </w:pPr>
      <w:r>
        <w:rPr>
          <w:rFonts w:ascii="Arial" w:cs="Arial" w:eastAsia="Arial" w:hAnsi="Arial"/>
          <w:sz w:val="17"/>
          <w:szCs w:val="17"/>
          <w:color w:val="auto"/>
        </w:rPr>
        <w:t>The Company is required to use commercially reasonable efforts to develop products under each Split Territory Program and the Spinal Muscular Atrophy Program through the completion of the applicable POP Study. During the development of these joint programs, the activities are guided by a Development Advisory Committee (“DAC”). The DAC may elect to utilize certain Sanofi Genzyme technology relating to the Parkinson’s Program, the Huntington’s Program, or generally with the manufacture of Split Territory Program products.</w:t>
      </w:r>
    </w:p>
    <w:p>
      <w:pPr>
        <w:spacing w:after="0" w:line="121" w:lineRule="exact"/>
        <w:rPr>
          <w:sz w:val="20"/>
          <w:szCs w:val="20"/>
          <w:color w:val="auto"/>
        </w:rPr>
      </w:pPr>
    </w:p>
    <w:p>
      <w:pPr>
        <w:ind w:right="20" w:firstLine="648"/>
        <w:spacing w:after="0" w:line="185" w:lineRule="exact"/>
        <w:rPr>
          <w:sz w:val="20"/>
          <w:szCs w:val="20"/>
          <w:color w:val="auto"/>
        </w:rPr>
      </w:pPr>
      <w:r>
        <w:rPr>
          <w:rFonts w:ascii="Arial" w:cs="Arial" w:eastAsia="Arial" w:hAnsi="Arial"/>
          <w:sz w:val="17"/>
          <w:szCs w:val="17"/>
          <w:color w:val="auto"/>
        </w:rPr>
        <w:t>The Company is solely responsible for all costs incurred in connection with the development of the Split Territory Programs and the Spinal Muscular Atrophy Program products prior to the exercise of an option by Sanofi Genzyme with the exception of the following: (i) at the Company’s request and upon mutual agreement, Sanofi Genzyme will provide “in</w:t>
      </w:r>
      <w:r>
        <w:rPr>
          <w:rFonts w:ascii="MS PGothic" w:cs="MS PGothic" w:eastAsia="MS PGothic" w:hAnsi="MS PGothic"/>
          <w:sz w:val="17"/>
          <w:szCs w:val="17"/>
          <w:color w:val="auto"/>
        </w:rPr>
        <w:t>‑</w:t>
      </w:r>
      <w:r>
        <w:rPr>
          <w:rFonts w:ascii="Arial" w:cs="Arial" w:eastAsia="Arial" w:hAnsi="Arial"/>
          <w:sz w:val="17"/>
          <w:szCs w:val="17"/>
          <w:color w:val="auto"/>
        </w:rPr>
        <w:t>kind” services valued at up to $5.0 million and (ii) Sanofi Genzyme shall be responsible for the costs and expenses of activities under the Huntington’s Program development plan to the extent such activities are covered by financial support Sanofi Genzyme is entitled to receive from a patient advocacy group.</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Other than the Parkinson’s Program (for which a POP Study has already been completed), if the Company does not initiate a POP Study for a given Split Territory Program by December 31, 2026 (or for the Future Program by the tenth anniversary of the date the Future Program is nominated by Sanofi Genzyme), and Sanofi Genzyme has not terminated the Sanofi Genzyme Collaboration Agreement with respect to the collaboration program, then Sanofi Genzyme shall be entitled, as its sole and exclusive remedy, to a credit of $10.0 million for each such program against other milestone or royalty payments payable by Sanofi Genzyme under the Sanofi Genzyme Collaboration Agreement. However, if the POP Study is not initiated due to a regulatory delay or a force majeure event, such time period shall be extended for so long as such delay continues.</w:t>
      </w:r>
    </w:p>
    <w:p>
      <w:pPr>
        <w:spacing w:after="0" w:line="127" w:lineRule="exact"/>
        <w:rPr>
          <w:sz w:val="20"/>
          <w:szCs w:val="20"/>
          <w:color w:val="auto"/>
        </w:rPr>
      </w:pPr>
    </w:p>
    <w:p>
      <w:pPr>
        <w:ind w:right="220" w:firstLine="648"/>
        <w:spacing w:after="0" w:line="258" w:lineRule="auto"/>
        <w:rPr>
          <w:sz w:val="20"/>
          <w:szCs w:val="20"/>
          <w:color w:val="auto"/>
        </w:rPr>
      </w:pPr>
      <w:r>
        <w:rPr>
          <w:rFonts w:ascii="Arial" w:cs="Arial" w:eastAsia="Arial" w:hAnsi="Arial"/>
          <w:sz w:val="17"/>
          <w:szCs w:val="17"/>
          <w:color w:val="auto"/>
        </w:rPr>
        <w:t>With the exception of the Parkinson’s Program, Sanofi Genzyme is required to pay an option exercise payment of $20.0 million or $30.0 million for each Split Territory Program and Spinal Muscular Atrophy Program.</w:t>
      </w:r>
    </w:p>
    <w:p>
      <w:pPr>
        <w:spacing w:after="0" w:line="120" w:lineRule="exact"/>
        <w:rPr>
          <w:sz w:val="20"/>
          <w:szCs w:val="20"/>
          <w:color w:val="auto"/>
        </w:rPr>
      </w:pPr>
    </w:p>
    <w:p>
      <w:pPr>
        <w:ind w:firstLine="648"/>
        <w:spacing w:after="0" w:line="181" w:lineRule="exact"/>
        <w:rPr>
          <w:sz w:val="20"/>
          <w:szCs w:val="20"/>
          <w:color w:val="auto"/>
        </w:rPr>
      </w:pPr>
      <w:r>
        <w:rPr>
          <w:rFonts w:ascii="Arial" w:cs="Arial" w:eastAsia="Arial" w:hAnsi="Arial"/>
          <w:sz w:val="18"/>
          <w:szCs w:val="18"/>
          <w:color w:val="auto"/>
        </w:rPr>
        <w:t>Upon Sanofi Genzyme’s exercise of its option to license a given product in a Split Territory Program (“Split Territory Licensed Product”), the Company will have sole responsibility for the development of such Split Territory Licensed Product in the United States and Sanofi Genzyme shall have sole responsibility for development of such Split Territory Licensed Product in the rest of the world. The Company and Sanofi Genzyme will have shared responsibility for execution of ongoing development of such Split Territory Licensed Product that is not specific to either territory, including costs associated therewith. The Company is responsible for all commercialization activities relating to Split Territory Licensed Products in the United States, including all of the associated costs. Sanofi Genzyme is responsible for all commercialization activities relating to the Split Territory Licensed Products in the rest of the world, including all of the associated costs. If Sanofi Genzyme exercises its co</w:t>
      </w:r>
      <w:r>
        <w:rPr>
          <w:rFonts w:ascii="MS PGothic" w:cs="MS PGothic" w:eastAsia="MS PGothic" w:hAnsi="MS PGothic"/>
          <w:sz w:val="18"/>
          <w:szCs w:val="18"/>
          <w:color w:val="auto"/>
        </w:rPr>
        <w:t>‑</w:t>
      </w:r>
      <w:r>
        <w:rPr>
          <w:rFonts w:ascii="Arial" w:cs="Arial" w:eastAsia="Arial" w:hAnsi="Arial"/>
          <w:sz w:val="18"/>
          <w:szCs w:val="18"/>
          <w:color w:val="auto"/>
        </w:rPr>
        <w:t>commercialization rights, Sanofi Genzyme will be the lead party responsible for all commercialization activities related to the Huntington’s Program product (the “Huntington’s Licensed Product”) in the United States.</w:t>
      </w:r>
    </w:p>
    <w:p>
      <w:pPr>
        <w:spacing w:after="0" w:line="124"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Upon exercise of the option, Sanofi Genzyme shall have the sole right to develop the Spinal Muscular Atrophy Product worldwide. Sanofi Genzyme shall be responsible for all of the development costs that occur after the option exercise date for the Spinal Muscular Atrophy Program. Sanofi Genzyme is also responsible for worldwide commercialization activities relating to the product licensed pursuant to such option exercise (the “Spinal Muscular Atrophy Product”).</w:t>
      </w:r>
    </w:p>
    <w:p>
      <w:pPr>
        <w:spacing w:after="0" w:line="155"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In October 2017, Sanofi Genzyme decided not to exercise its option for the Parkinson’s Program (the “PD Opt-Out”). Sanofi Genzyme is required to pay the Company for specified regulatory and commercial milestones, if achieved, up to $540.0 million across all remaining programs. The Company is no longer entitled to receive a total of $105.0 million related to regulatory and commercial milestone payments for the Parkinson’s Program as a result of the PD Opt-Out. The regulatory approval milestones are payable upon either regulatory approval in the United States or regulatory and reimbursement approval in the European Union and range from $40.0 million to $50.0 million per milestone, with an aggregate total of $220.0 million, after accounting for the PD Opt-Out. The commercial milestones are payable upon achievement of specified annual net sales in each program and range from $50.0 million to $100.0 million per milestone, with an aggregate total of $320.0 million, after accounting for the PD Opt-Out.</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addition, to the extent any Split Territory Licensed Products or the Spinal Muscular Atrophy Licensed Product are commercialized, the Company is entitled to tiered royalty payments ranging from the mid</w:t>
      </w:r>
      <w:r>
        <w:rPr>
          <w:rFonts w:ascii="MS PGothic" w:cs="MS PGothic" w:eastAsia="MS PGothic" w:hAnsi="MS PGothic"/>
          <w:sz w:val="16"/>
          <w:szCs w:val="16"/>
          <w:color w:val="auto"/>
        </w:rPr>
        <w:t>‑</w:t>
      </w:r>
      <w:r>
        <w:rPr>
          <w:rFonts w:ascii="Arial" w:cs="Arial" w:eastAsia="Arial" w:hAnsi="Arial"/>
          <w:sz w:val="16"/>
          <w:szCs w:val="16"/>
          <w:color w:val="auto"/>
        </w:rPr>
        <w:t>single digits to mid</w:t>
      </w:r>
      <w:r>
        <w:rPr>
          <w:rFonts w:ascii="MS PGothic" w:cs="MS PGothic" w:eastAsia="MS PGothic" w:hAnsi="MS PGothic"/>
          <w:sz w:val="16"/>
          <w:szCs w:val="16"/>
          <w:color w:val="auto"/>
        </w:rPr>
        <w:t>‑</w:t>
      </w:r>
      <w:r>
        <w:rPr>
          <w:rFonts w:ascii="Arial" w:cs="Arial" w:eastAsia="Arial" w:hAnsi="Arial"/>
          <w:sz w:val="16"/>
          <w:szCs w:val="16"/>
          <w:color w:val="auto"/>
        </w:rPr>
        <w:t>teens based on a percentage of net sales by Sanofi Genzyme. Sanofi Genzyme is entitled to receive tiered royalty payments related to sales of Split Territory Licensed Product ranging from the low</w:t>
      </w:r>
      <w:r>
        <w:rPr>
          <w:rFonts w:ascii="MS PGothic" w:cs="MS PGothic" w:eastAsia="MS PGothic" w:hAnsi="MS PGothic"/>
          <w:sz w:val="16"/>
          <w:szCs w:val="16"/>
          <w:color w:val="auto"/>
        </w:rPr>
        <w:t>‑</w:t>
      </w:r>
      <w:r>
        <w:rPr>
          <w:rFonts w:ascii="Arial" w:cs="Arial" w:eastAsia="Arial" w:hAnsi="Arial"/>
          <w:sz w:val="16"/>
          <w:szCs w:val="16"/>
          <w:color w:val="auto"/>
        </w:rPr>
        <w:t>single digits to mid</w:t>
      </w:r>
      <w:r>
        <w:rPr>
          <w:rFonts w:ascii="MS PGothic" w:cs="MS PGothic" w:eastAsia="MS PGothic" w:hAnsi="MS PGothic"/>
          <w:sz w:val="16"/>
          <w:szCs w:val="16"/>
          <w:color w:val="auto"/>
        </w:rPr>
        <w:t>‑</w:t>
      </w:r>
      <w:r>
        <w:rPr>
          <w:rFonts w:ascii="Arial" w:cs="Arial" w:eastAsia="Arial" w:hAnsi="Arial"/>
          <w:sz w:val="16"/>
          <w:szCs w:val="16"/>
          <w:color w:val="auto"/>
        </w:rPr>
        <w:t>single digits based on a percentage of net sales by the Company depending on whether the Company uses Sanofi Genzyme technology in the Split Territory Licensed Product. If Sanofi Genzyme elects to co</w:t>
      </w:r>
      <w:r>
        <w:rPr>
          <w:rFonts w:ascii="MS PGothic" w:cs="MS PGothic" w:eastAsia="MS PGothic" w:hAnsi="MS PGothic"/>
          <w:sz w:val="16"/>
          <w:szCs w:val="16"/>
          <w:color w:val="auto"/>
        </w:rPr>
        <w:t>‑</w:t>
      </w:r>
      <w:r>
        <w:rPr>
          <w:rFonts w:ascii="Arial" w:cs="Arial" w:eastAsia="Arial" w:hAnsi="Arial"/>
          <w:sz w:val="16"/>
          <w:szCs w:val="16"/>
          <w:color w:val="auto"/>
        </w:rPr>
        <w:t>commercialize the Huntington’s Licensed Product in the United States, the Company and Sanofi Genzyme will share in any profits or losses from Huntington’s Licensed Product sales.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60" w:firstLine="648"/>
        <w:spacing w:after="0" w:line="216" w:lineRule="auto"/>
        <w:rPr>
          <w:sz w:val="20"/>
          <w:szCs w:val="20"/>
          <w:color w:val="auto"/>
        </w:rPr>
      </w:pPr>
      <w:r>
        <w:rPr>
          <w:rFonts w:ascii="Arial" w:cs="Arial" w:eastAsia="Arial" w:hAnsi="Arial"/>
          <w:sz w:val="18"/>
          <w:szCs w:val="18"/>
          <w:color w:val="auto"/>
        </w:rPr>
        <w:t>The Sanofi Genzyme Collaboration Agreement will continue in effect until the later of (i) the expiration of the last to expire of the option rights and (ii) the expiration of all payment obligations unless sooner terminated by the Company or Sanofi Genzyme. The Company and Sanofi Genzyme have customary termination rights including the right to terminate for an uncured material breach of the agreement committed by the other party and Sanofi Genzyme has the right to terminate for convenience.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77" w:lineRule="exact"/>
        <w:rPr>
          <w:sz w:val="20"/>
          <w:szCs w:val="20"/>
          <w:color w:val="auto"/>
        </w:rPr>
      </w:pPr>
    </w:p>
    <w:p>
      <w:pPr>
        <w:ind w:right="60" w:firstLine="648"/>
        <w:spacing w:after="0" w:line="235" w:lineRule="auto"/>
        <w:rPr>
          <w:sz w:val="20"/>
          <w:szCs w:val="20"/>
          <w:color w:val="auto"/>
        </w:rPr>
      </w:pPr>
      <w:r>
        <w:rPr>
          <w:rFonts w:ascii="Arial" w:cs="Arial" w:eastAsia="Arial" w:hAnsi="Arial"/>
          <w:sz w:val="16"/>
          <w:szCs w:val="16"/>
          <w:color w:val="auto"/>
        </w:rPr>
        <w:t>At inception, the Sanofi Genzyme Collaboration Agreement included the following performance obligations: (i) research and development services for each of the Split Territory License Programs and the Spinal Muscular Atrophy Program, (ii) participation in the AJSC, (iii) participation in the DAC and (iv) a material right associated with an option to obtain a development and commercial license in the Parkinson’s Program (“PD Material Right”). The Company determined that the option to obtain a development and commercial license in the Parkinson’s Program was a material right under ASC 606 primarily because there were no additional option exercise payments payable by Sanofi Genzyme at the time of option exercise. Therefore, the PD Material Right was considered a performance obligation at the inception of the arrangement. The options in the other Split Territory Programs and the Spinal Muscular Atrophy Program do not provide a material right to the customer that it would receive without entering into the contract principally because the option fees are at least equal to the standalone selling price for the underlying goods. Therefore, the other Split Territory Programs and the Spinal Muscular Atrophy Program options are not performance obligations at inception.</w:t>
      </w:r>
    </w:p>
    <w:p>
      <w:pPr>
        <w:spacing w:after="0" w:line="112" w:lineRule="exact"/>
        <w:rPr>
          <w:sz w:val="20"/>
          <w:szCs w:val="20"/>
          <w:color w:val="auto"/>
        </w:rPr>
      </w:pPr>
    </w:p>
    <w:p>
      <w:pPr>
        <w:ind w:right="160" w:firstLine="648"/>
        <w:spacing w:after="0" w:line="185" w:lineRule="exact"/>
        <w:rPr>
          <w:sz w:val="20"/>
          <w:szCs w:val="20"/>
          <w:color w:val="auto"/>
        </w:rPr>
      </w:pPr>
      <w:r>
        <w:rPr>
          <w:rFonts w:ascii="Arial" w:cs="Arial" w:eastAsia="Arial" w:hAnsi="Arial"/>
          <w:sz w:val="18"/>
          <w:szCs w:val="18"/>
          <w:color w:val="auto"/>
        </w:rPr>
        <w:t>The Company has identified $74.6 million of total transaction price consisting of the $65.0 million upfront fee, the $5.0 million premium paid in excess of fair value of the Series B Preferred Stock and $4.6 million of Sanofi Genzyme “in</w:t>
      </w:r>
      <w:r>
        <w:rPr>
          <w:rFonts w:ascii="MS PGothic" w:cs="MS PGothic" w:eastAsia="MS PGothic" w:hAnsi="MS PGothic"/>
          <w:sz w:val="18"/>
          <w:szCs w:val="18"/>
          <w:color w:val="auto"/>
        </w:rPr>
        <w:t>‑</w:t>
      </w:r>
      <w:r>
        <w:rPr>
          <w:rFonts w:ascii="Arial" w:cs="Arial" w:eastAsia="Arial" w:hAnsi="Arial"/>
          <w:sz w:val="18"/>
          <w:szCs w:val="18"/>
          <w:color w:val="auto"/>
        </w:rPr>
        <w:t>kind” funding, which represents the transaction price at adoption. Additional consideration to be paid to the Company upon the exercise of the license options by Sanofi Genzyme or upon reaching certain milestones are excluded from the transaction price as they relate to option fees and milestones that can only be achieved subsequent to the option exercise or are outside of the initial contract term.</w:t>
      </w:r>
    </w:p>
    <w:p>
      <w:pPr>
        <w:spacing w:after="0" w:line="108"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The Company has allocated the transaction price to the separate performance obligations based on their relative standalone selling price. For all performance obligations, the Company determined the standalone selling price at contract inception estimated based on each obligation’s estimated standalone selling price (“ESP”). The Company determined the ESP for the service related deliverable for the research and development activities based on internal estimates of the costs to perform the services, including expected internal expenses and expenses with third parties for services and supplies, marked up to include a reasonable profit margin and adjusted for the scope of the potential license. Significant inputs used to determine the total expense of the research and development activities include, the length of time required and the number and costs of various studies that will be performed to complete the applicable POP Study. The ESP for the AJSC and DAC have been estimated based on the costs incurred to participate in the committees, marked up to include a reasonable profit margin. The ESP for the PD Material Right was determined based on the estimated value of the license adjusted for the estimated probability that the option would be exercised by Sanofi Genzyme.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540" w:firstLine="648"/>
        <w:spacing w:after="0" w:line="235" w:lineRule="auto"/>
        <w:rPr>
          <w:sz w:val="20"/>
          <w:szCs w:val="20"/>
          <w:color w:val="auto"/>
        </w:rPr>
      </w:pPr>
      <w:r>
        <w:rPr>
          <w:rFonts w:ascii="Arial" w:cs="Arial" w:eastAsia="Arial" w:hAnsi="Arial"/>
          <w:sz w:val="18"/>
          <w:szCs w:val="18"/>
          <w:color w:val="auto"/>
        </w:rPr>
        <w:t>Based on the relative standalone selling price allocation, the allocation of the transaction price to the separate performance obligations was as follows: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20" w:type="dxa"/>
            <w:vAlign w:val="bottom"/>
          </w:tcPr>
          <w:p>
            <w:pPr>
              <w:spacing w:after="0"/>
              <w:rPr>
                <w:sz w:val="20"/>
                <w:szCs w:val="20"/>
                <w:color w:val="auto"/>
              </w:rPr>
            </w:pPr>
            <w:r>
              <w:rPr>
                <w:rFonts w:ascii="Arial" w:cs="Arial" w:eastAsia="Arial" w:hAnsi="Arial"/>
                <w:sz w:val="14"/>
                <w:szCs w:val="14"/>
                <w:b w:val="1"/>
                <w:bCs w:val="1"/>
                <w:color w:val="auto"/>
              </w:rPr>
              <w:t>Performance Obligation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r>
      <w:tr>
        <w:trPr>
          <w:trHeight w:val="169"/>
        </w:trPr>
        <w:tc>
          <w:tcPr>
            <w:tcW w:w="6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auto"/>
            </w:tcBorders>
            <w:gridSpan w:val="2"/>
          </w:tcPr>
          <w:p>
            <w:pPr>
              <w:jc w:val="center"/>
              <w:spacing w:after="0" w:line="170" w:lineRule="exact"/>
              <w:rPr>
                <w:sz w:val="20"/>
                <w:szCs w:val="20"/>
                <w:color w:val="auto"/>
              </w:rPr>
            </w:pPr>
            <w:r>
              <w:rPr>
                <w:rFonts w:ascii="Arial" w:cs="Arial" w:eastAsia="Arial" w:hAnsi="Arial"/>
                <w:sz w:val="18"/>
                <w:szCs w:val="18"/>
                <w:color w:val="auto"/>
                <w:w w:val="91"/>
              </w:rPr>
              <w:t>(in thousands)</w:t>
            </w:r>
          </w:p>
        </w:tc>
        <w:tc>
          <w:tcPr>
            <w:tcW w:w="60" w:type="dxa"/>
            <w:vAlign w:val="bottom"/>
          </w:tcPr>
          <w:p>
            <w:pPr>
              <w:spacing w:after="0"/>
              <w:rPr>
                <w:sz w:val="14"/>
                <w:szCs w:val="14"/>
                <w:color w:val="auto"/>
              </w:rPr>
            </w:pPr>
          </w:p>
        </w:tc>
      </w:tr>
      <w:tr>
        <w:trPr>
          <w:trHeight w:val="176"/>
        </w:trPr>
        <w:tc>
          <w:tcPr>
            <w:tcW w:w="6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 Services for:</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6"/>
        </w:trPr>
        <w:tc>
          <w:tcPr>
            <w:tcW w:w="6020" w:type="dxa"/>
            <w:vAlign w:val="bottom"/>
          </w:tcPr>
          <w:p>
            <w:pPr>
              <w:ind w:left="220"/>
              <w:spacing w:after="0" w:line="176" w:lineRule="exact"/>
              <w:rPr>
                <w:sz w:val="20"/>
                <w:szCs w:val="20"/>
                <w:color w:val="auto"/>
              </w:rPr>
            </w:pPr>
            <w:r>
              <w:rPr>
                <w:rFonts w:ascii="Arial" w:cs="Arial" w:eastAsia="Arial" w:hAnsi="Arial"/>
                <w:sz w:val="18"/>
                <w:szCs w:val="18"/>
                <w:color w:val="auto"/>
              </w:rPr>
              <w:t>Huntington’s Program</w:t>
            </w:r>
          </w:p>
        </w:tc>
        <w:tc>
          <w:tcPr>
            <w:tcW w:w="260" w:type="dxa"/>
            <w:vAlign w:val="bottom"/>
            <w:gridSpan w:val="2"/>
          </w:tcPr>
          <w:p>
            <w:pPr>
              <w:jc w:val="right"/>
              <w:ind w:right="17"/>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14,228</w:t>
            </w:r>
          </w:p>
        </w:tc>
        <w:tc>
          <w:tcPr>
            <w:tcW w:w="60" w:type="dxa"/>
            <w:vAlign w:val="bottom"/>
          </w:tcPr>
          <w:p>
            <w:pPr>
              <w:spacing w:after="0"/>
              <w:rPr>
                <w:sz w:val="15"/>
                <w:szCs w:val="15"/>
                <w:color w:val="auto"/>
              </w:rPr>
            </w:pPr>
          </w:p>
        </w:tc>
      </w:tr>
      <w:tr>
        <w:trPr>
          <w:trHeight w:val="176"/>
        </w:trPr>
        <w:tc>
          <w:tcPr>
            <w:tcW w:w="6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Parkinson’s Program</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6,040</w:t>
            </w:r>
          </w:p>
        </w:tc>
        <w:tc>
          <w:tcPr>
            <w:tcW w:w="60" w:type="dxa"/>
            <w:vAlign w:val="bottom"/>
            <w:shd w:val="clear" w:color="auto" w:fill="CCEEFF"/>
          </w:tcPr>
          <w:p>
            <w:pPr>
              <w:spacing w:after="0"/>
              <w:rPr>
                <w:sz w:val="15"/>
                <w:szCs w:val="15"/>
                <w:color w:val="auto"/>
              </w:rPr>
            </w:pPr>
          </w:p>
        </w:tc>
      </w:tr>
      <w:tr>
        <w:trPr>
          <w:trHeight w:val="176"/>
        </w:trPr>
        <w:tc>
          <w:tcPr>
            <w:tcW w:w="6020" w:type="dxa"/>
            <w:vAlign w:val="bottom"/>
          </w:tcPr>
          <w:p>
            <w:pPr>
              <w:ind w:left="220"/>
              <w:spacing w:after="0" w:line="176" w:lineRule="exact"/>
              <w:rPr>
                <w:sz w:val="20"/>
                <w:szCs w:val="20"/>
                <w:color w:val="auto"/>
              </w:rPr>
            </w:pPr>
            <w:r>
              <w:rPr>
                <w:rFonts w:ascii="Arial" w:cs="Arial" w:eastAsia="Arial" w:hAnsi="Arial"/>
                <w:sz w:val="18"/>
                <w:szCs w:val="18"/>
                <w:color w:val="auto"/>
              </w:rPr>
              <w:t>Friedreich’s Ataxia Program</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14,821</w:t>
            </w:r>
          </w:p>
        </w:tc>
        <w:tc>
          <w:tcPr>
            <w:tcW w:w="60" w:type="dxa"/>
            <w:vAlign w:val="bottom"/>
          </w:tcPr>
          <w:p>
            <w:pPr>
              <w:spacing w:after="0"/>
              <w:rPr>
                <w:sz w:val="15"/>
                <w:szCs w:val="15"/>
                <w:color w:val="auto"/>
              </w:rPr>
            </w:pPr>
          </w:p>
        </w:tc>
      </w:tr>
      <w:tr>
        <w:trPr>
          <w:trHeight w:val="176"/>
        </w:trPr>
        <w:tc>
          <w:tcPr>
            <w:tcW w:w="6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Spinal Muscular Atrophy Program</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29,116</w:t>
            </w:r>
          </w:p>
        </w:tc>
        <w:tc>
          <w:tcPr>
            <w:tcW w:w="60" w:type="dxa"/>
            <w:vAlign w:val="bottom"/>
            <w:shd w:val="clear" w:color="auto" w:fill="CCEEFF"/>
          </w:tcPr>
          <w:p>
            <w:pPr>
              <w:spacing w:after="0"/>
              <w:rPr>
                <w:sz w:val="15"/>
                <w:szCs w:val="15"/>
                <w:color w:val="auto"/>
              </w:rPr>
            </w:pPr>
          </w:p>
        </w:tc>
      </w:tr>
      <w:tr>
        <w:trPr>
          <w:trHeight w:val="176"/>
        </w:trPr>
        <w:tc>
          <w:tcPr>
            <w:tcW w:w="6020" w:type="dxa"/>
            <w:vAlign w:val="bottom"/>
          </w:tcPr>
          <w:p>
            <w:pPr>
              <w:ind w:left="220"/>
              <w:spacing w:after="0" w:line="176" w:lineRule="exact"/>
              <w:rPr>
                <w:sz w:val="20"/>
                <w:szCs w:val="20"/>
                <w:color w:val="auto"/>
              </w:rPr>
            </w:pPr>
            <w:r>
              <w:rPr>
                <w:rFonts w:ascii="Arial" w:cs="Arial" w:eastAsia="Arial" w:hAnsi="Arial"/>
                <w:sz w:val="18"/>
                <w:szCs w:val="18"/>
                <w:color w:val="auto"/>
              </w:rPr>
              <w:t>Future Program</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2,239</w:t>
            </w:r>
          </w:p>
        </w:tc>
        <w:tc>
          <w:tcPr>
            <w:tcW w:w="60" w:type="dxa"/>
            <w:vAlign w:val="bottom"/>
          </w:tcPr>
          <w:p>
            <w:pPr>
              <w:spacing w:after="0"/>
              <w:rPr>
                <w:sz w:val="15"/>
                <w:szCs w:val="15"/>
                <w:color w:val="auto"/>
              </w:rPr>
            </w:pPr>
          </w:p>
        </w:tc>
      </w:tr>
      <w:tr>
        <w:trPr>
          <w:trHeight w:val="176"/>
        </w:trPr>
        <w:tc>
          <w:tcPr>
            <w:tcW w:w="6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Committee Obligations: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6"/>
        </w:trPr>
        <w:tc>
          <w:tcPr>
            <w:tcW w:w="6020" w:type="dxa"/>
            <w:vAlign w:val="bottom"/>
          </w:tcPr>
          <w:p>
            <w:pPr>
              <w:ind w:left="220"/>
              <w:spacing w:after="0" w:line="176" w:lineRule="exact"/>
              <w:rPr>
                <w:sz w:val="20"/>
                <w:szCs w:val="20"/>
                <w:color w:val="auto"/>
              </w:rPr>
            </w:pPr>
            <w:r>
              <w:rPr>
                <w:rFonts w:ascii="Arial" w:cs="Arial" w:eastAsia="Arial" w:hAnsi="Arial"/>
                <w:sz w:val="18"/>
                <w:szCs w:val="18"/>
                <w:color w:val="auto"/>
              </w:rPr>
              <w:t>AJSC</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133</w:t>
            </w:r>
          </w:p>
        </w:tc>
        <w:tc>
          <w:tcPr>
            <w:tcW w:w="60" w:type="dxa"/>
            <w:vAlign w:val="bottom"/>
          </w:tcPr>
          <w:p>
            <w:pPr>
              <w:spacing w:after="0"/>
              <w:rPr>
                <w:sz w:val="15"/>
                <w:szCs w:val="15"/>
                <w:color w:val="auto"/>
              </w:rPr>
            </w:pPr>
          </w:p>
        </w:tc>
      </w:tr>
      <w:tr>
        <w:trPr>
          <w:trHeight w:val="176"/>
        </w:trPr>
        <w:tc>
          <w:tcPr>
            <w:tcW w:w="6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DAC</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5"/>
                <w:szCs w:val="15"/>
                <w:color w:val="auto"/>
              </w:rPr>
            </w:pPr>
          </w:p>
        </w:tc>
      </w:tr>
      <w:tr>
        <w:trPr>
          <w:trHeight w:val="176"/>
        </w:trPr>
        <w:tc>
          <w:tcPr>
            <w:tcW w:w="6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PD Material Right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7,855</w:t>
            </w:r>
          </w:p>
        </w:tc>
        <w:tc>
          <w:tcPr>
            <w:tcW w:w="60" w:type="dxa"/>
            <w:vAlign w:val="bottom"/>
            <w:tcBorders>
              <w:bottom w:val="single" w:sz="8" w:color="CCEEFF"/>
            </w:tcBorders>
          </w:tcPr>
          <w:p>
            <w:pPr>
              <w:spacing w:after="0"/>
              <w:rPr>
                <w:sz w:val="15"/>
                <w:szCs w:val="15"/>
                <w:color w:val="auto"/>
              </w:rPr>
            </w:pPr>
          </w:p>
        </w:tc>
      </w:tr>
      <w:tr>
        <w:trPr>
          <w:trHeight w:val="176"/>
        </w:trPr>
        <w:tc>
          <w:tcPr>
            <w:tcW w:w="602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74,639</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Company recognizes the amounts associated with research and development services and committee obligations on a proportional performance basis over the period of service using input-based measurements such as costs incurred to date, to estimate proportion performed, and remeasures its progress towards completion at the end of each reporting period. The amount allocated to the PD Material Right was initially deferred and recognized in full prior to the adoption of ASC 606.</w:t>
      </w:r>
    </w:p>
    <w:p>
      <w:pPr>
        <w:spacing w:after="0" w:line="155"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During the three months ended March 31, 2018, the Company recognized $0.5 million of revenue associated with its collaboration with Sanofi Genzyme related to research and development services and committee obligations performed during the period. As of March 31, 2018, there is $51.2 million of deferred revenue related to the Sanofi Genzyme Collaboration Agreement, which is classified as either current or noncurrent in the accompanying balance sheet based on the period the services are expected to be delivered.</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Contingent consideration related to the performance of in-kind services is considered in the transaction price based on the most-likely amount, which is the full amount of the services that the Company can require Sanofi Genzyme to complete. There is no other available contingent consideration until such point as Sanofi Genzyme exercises an option to one of the research programs.</w:t>
      </w:r>
    </w:p>
    <w:p>
      <w:pPr>
        <w:spacing w:after="0" w:line="163"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Costs incurred relating to the programs that Sanofi Genzyme has the option to license under the Sanofi Genzyme Collaboration Agreement consist of internal and external research and development costs, which primarily include: salaries and benefits, lab supplies and preclinical research studies. These costs are included in research and development expenses in the Company’s statement of operations during the three months ended March 31, 2018 and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Collaboration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44"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February 2018, the Company entered into an exclusive collaboration and option agreement (the “AbbVie Collaboration Agreement”) with AbbVie Biotechnology Ltd (“AbbVie”) for the research, development and commercialization of AAV and other virus-based gene therapy products for the treatment of diseases of the central nervous system and other neurodegenerative diseases related to defective or excess aggregation of tau protein in the human brain, including Alzheimer’s disease. Under the AbbVie Collaboration Agreement, the Company and AbbVie have agreed to collaborate on the research and development of specified vectorized antibody compounds comprised of an AAV or other viral capsid and a virus vector genome that encodes one or more antibodies that target and bind to a tau protein. The collaboration is comprised of a research period (the “Research Period”), a development period (the “Development Period”), and an exclusive license option (the “License Option”). The AbbVie Collaboration Agreement included a non-refundable upfront payment of $69.0 million for services during the Research Period.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During the Research Period, each party has agreed to identify up to five antibodies for inclusion in the collaboration. Subject to certain conditions and exceptions, the parties will select up to three antibodies (each, a “Research Antibody”) as candidates for creation of research compounds (each, a “Research Compound”), with AbbVie having the right to select two of the three Research Antibodies. The Company is required to use diligent efforts to conduct antibody engineering and other research activities to create Research Compounds and to develop product candidates containing or comprised of such Research Compounds (“Product Candidates”). The Company is solely responsible for its costs and expenses during the Research Period. During a specified portion of the Research Period, AbbVie may exercise one or more of its exclusive development options (each, a “Development Option”) to select up to a total of three Research Compounds (the “Selected Research Compounds”) and their corresponding Product Candidates (the “Selected Product Candidates”) to proceed to the Development Period.</w:t>
      </w:r>
    </w:p>
    <w:p>
      <w:pPr>
        <w:spacing w:after="0" w:line="12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Upon AbbVie’s exercise of a Development Option, AbbVie will pay the Company $80.0 million for the first Selected Research Compound and $30.0 million each for up to two additional Selected Research Compounds. During the Development Period, the Company is obligated to use diligent efforts to conduct development activities, including Investigational New Drug application-enabling and Phase 1 clinical trial activities, for the Selected Research Compounds and corresponding Selected Product Candidates. The Company will be solely responsible for the costs and expenses during the Development Period. During a specified portion of the Development Period (the “License Option Period”), AbbVie may exercise its License Option to further develop and commercialize all of the Research Compounds (the “Licensed Compounds”), and corresponding product candidates (the “Licensed Products”). Upon AbbVie’s exercise of its License Option, AbbVie will provide a one-time payment of $75.0 million to the Company, and the Company will grant to AbbVie an exclusive, worldwide license, with the right to sublicense, under certain of the Company’s intellectual property rights to develop and commercialize the Licensed Compounds and the Licensed Products for all human diagnostic, prophylactic and therapeutic uses. In addition, after AbbVie’s exercise of the License Option, the Company has certain obligations to complete any remaining research and development activities that have not been completed for any Research Compounds and Product Candidates.</w:t>
      </w:r>
    </w:p>
    <w:p>
      <w:pPr>
        <w:spacing w:after="0" w:line="125"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Company’s research and development activities will be conducted pursuant to the plans agreed to by the parties and overseen by a joint governance committee (“JGC”) as detailed in the AbbVie Collaboration Agreement. Any material amendment to the research or development plans must be mutually agreed to by the Company and AbbVie, which may be through the JGC.</w:t>
      </w:r>
    </w:p>
    <w:p>
      <w:pPr>
        <w:spacing w:after="0" w:line="12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Under the AbbVie Collaboration Agreement, AbbVie is required to use commercially reasonable efforts to develop and commercialize at least one Licensed Product in each of the United States, Japan, the United Kingdom, Germany, France, Italy, and Spain. After exercise of the License Option, AbbVie is solely responsible for all development and commercialization activities relating to Licensed Compounds and Licensed Products at its sole cost and expense, subject to the agreed-upon research and development plans. The Company may elect to share in AbbVie’s development costs relating to a Licensed Product on an indication-by-indication basis in exchange for a specified increase in royalties (a “Cost-Sharing Option”). If the Company exercises a Cost-Sharing Option, the Company may either reimburse AbbVie for AbbVie’s applicable development costs or, in the case of certain budget overruns, AbbVie may instead deduct applicable development costs, up to a specified cap, from milestone and royalty payments owed by AbbVie to the Company.</w:t>
      </w:r>
    </w:p>
    <w:p>
      <w:pPr>
        <w:spacing w:after="0" w:line="127"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Under its collaboration with AbbVie, the Company is eligible to receive specified development and first-sale milestone payments for each Licensed Compound of up to an aggregate of $550.0 million in the case of an Alzheimer’s disease indication, up to $230.0 million in the case of the first indication other than Alzheimer’s disease and up to $115.0 million for a subsequent non-Alzheimer’s disease indication. Additionally, the Company is eligible to receive tiered, escalating royalties, in a range from a high-single digit to a mid-to-high teen (or, if the Company has exercised its Cost-Sharing Option, low-twenties) percentage of aggregate net sales of Licensed Products on a Licensed Compound by Licensed Compound basis, subject to potential reductions in certain circumstances. For each Licensed Product, AbbVie also has the right to decrease or eliminate its royalty payments on such Licensed Product in exchange for a one-time payment by AbbVie at a fair market value to be negotiated by the parties or determined pursuant to dispute resolution procedures specified in the AbbVie Collaboration Agreement.</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Unless earlier terminated, the AbbVie Collaboration Agreement will expire on the earliest to occur of the expiration of (i) the Development Option Period, without AbbVie’s exercise of a Development Option; (ii) the License Option Period, without AbbVie’s exercise of its License Option; and (iii) the last-to-expire royalty term with respect to all Licensed Products in all countries. The Company and AbbVie have customary termination rights including the right to terminate for an uncured material breach of the agreement committed by the other party, and AbbVie has the right to terminate for convenience.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The Company assessed the promised goods and services under the AbbVie Collaboration Agreement, in accordance with ASC 606, and determined that the AbbVie Collaboration Agreement includes the following performance obligations: (i) research services during the Research Period (through the delivery of the Final Research Report) including the identification of the antibodies, conduct of research activities and provision of information to AbbVie to allow AbbVie to determine whether to exercise up to three development options to be rendered (“Research Services”), and (ii) a material right associated with the Development Option on the first Research Compound and associated Product Candidates (“First Development Option Material Right”). The first Development Option provides AbbVie with (i) additional development services on a selected Research Compound and (ii) the ability to exercise the License Option. The Company has concluded the option provides a material right as the consideration paid by AbbVie upon exercise of the first Development Option is less than the amount that the Company would otherwise expect to receive outside the context of the contract.</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Company has concluded that the First Development Option Material Right is a separate performance obligation under ASC 606 as AbbVie is provided additional services and a License Option for additional consideration that represents a significant discount from amounts that would otherwise be offered outside the context of the contract. The First Development Option Material Right is distinct from the other performance obligations in the arrangement as it is an option in the contract that is not required for AbbVie to obtain the benefit of the other promised goods or services in the arrangement. The First Development Option Material Right does not include the underlying goods or services that are delivered upon exercise of the option, but rather represents the value to the customer of having the right to obtain development services and the right to the License Option at an advantageous price.</w:t>
      </w:r>
    </w:p>
    <w:p>
      <w:pPr>
        <w:spacing w:after="0" w:line="168" w:lineRule="exact"/>
        <w:rPr>
          <w:sz w:val="20"/>
          <w:szCs w:val="20"/>
          <w:color w:val="auto"/>
        </w:rPr>
      </w:pPr>
    </w:p>
    <w:p>
      <w:pPr>
        <w:ind w:right="180" w:firstLine="648"/>
        <w:spacing w:after="0" w:line="229" w:lineRule="auto"/>
        <w:rPr>
          <w:sz w:val="20"/>
          <w:szCs w:val="20"/>
          <w:color w:val="auto"/>
        </w:rPr>
      </w:pPr>
      <w:r>
        <w:rPr>
          <w:rFonts w:ascii="Arial" w:cs="Arial" w:eastAsia="Arial" w:hAnsi="Arial"/>
          <w:sz w:val="17"/>
          <w:szCs w:val="17"/>
          <w:color w:val="auto"/>
        </w:rPr>
        <w:t>The Company received a nonrefundable, upfront payment of $69.0 million as consideration under the AbbVie Collaboration Agreement, which represents the transaction price at inception. Additional consideration to be paid to the Company upon the exercise of the Development and License Options by AbbVie or upon reaching certain milestones are excluded from the transaction price as they relate to option fees and milestones that can only be achieved subsequent to the option exercise or are outside of the initial contact term.</w:t>
      </w:r>
    </w:p>
    <w:p>
      <w:pPr>
        <w:spacing w:after="0" w:line="161"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Company has allocated the transaction price to the separate performance obligations based on their relative standalone selling price. The Company determined the standalone selling price at contract inception based on each obligation’s ESP. The Company determined the ESP for the research services obligation based on internal estimates of the costs to perform the services, including expected internal expenses and expenses with third parties for services and supplies, inclusive of a reasonable profit margin. Significant inputs used to determine the total expense of the research services include the length of time required, the internal hours expected to be incurred on the services and the number and costs of various studies that will be performed to complete the Research Plan. The ESP for the First Development Option Material Right was determined based on the fees AbbVie would pay to exercise the Development and License Options, the estimated costs to perform the development services, inclusive of a reasonable profit margin, the estimated value of the License Option using comparable transactions, and the probability that the Development and License Options would be exercised by AbbVie.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Based on the relative standalone selling price, the allocation of the transaction price to the separate performance obligations was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20"/>
                <w:szCs w:val="20"/>
                <w:color w:val="auto"/>
              </w:rPr>
            </w:pPr>
            <w:r>
              <w:rPr>
                <w:rFonts w:ascii="Arial" w:cs="Arial" w:eastAsia="Arial" w:hAnsi="Arial"/>
                <w:sz w:val="14"/>
                <w:szCs w:val="14"/>
                <w:b w:val="1"/>
                <w:bCs w:val="1"/>
                <w:color w:val="auto"/>
              </w:rPr>
              <w:t>Performance Obligation</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2"/>
          </w:tcPr>
          <w:p>
            <w:pPr>
              <w:ind w:left="540"/>
              <w:spacing w:after="0"/>
              <w:rPr>
                <w:sz w:val="20"/>
                <w:szCs w:val="20"/>
                <w:color w:val="auto"/>
              </w:rPr>
            </w:pPr>
            <w:r>
              <w:rPr>
                <w:rFonts w:ascii="Arial" w:cs="Arial" w:eastAsia="Arial" w:hAnsi="Arial"/>
                <w:sz w:val="14"/>
                <w:szCs w:val="14"/>
                <w:b w:val="1"/>
                <w:bCs w:val="1"/>
                <w:color w:val="auto"/>
              </w:rPr>
              <w:t>Amount</w:t>
            </w:r>
          </w:p>
        </w:tc>
      </w:tr>
      <w:tr>
        <w:trPr>
          <w:trHeight w:val="169"/>
        </w:trPr>
        <w:tc>
          <w:tcPr>
            <w:tcW w:w="44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right"/>
              <w:ind w:right="594"/>
              <w:spacing w:after="0" w:line="170" w:lineRule="exact"/>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4"/>
                <w:szCs w:val="14"/>
                <w:color w:val="auto"/>
              </w:rPr>
            </w:pPr>
          </w:p>
        </w:tc>
      </w:tr>
      <w:tr>
        <w:trPr>
          <w:trHeight w:val="176"/>
        </w:trPr>
        <w:tc>
          <w:tcPr>
            <w:tcW w:w="4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Services</w:t>
            </w:r>
          </w:p>
        </w:tc>
        <w:tc>
          <w:tcPr>
            <w:tcW w:w="640" w:type="dxa"/>
            <w:vAlign w:val="bottom"/>
            <w:gridSpan w:val="2"/>
            <w:shd w:val="clear" w:color="auto" w:fill="CCEEFF"/>
          </w:tcPr>
          <w:p>
            <w:pPr>
              <w:jc w:val="right"/>
              <w:ind w:right="225"/>
              <w:spacing w:after="0" w:line="176" w:lineRule="exact"/>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34,482</w:t>
            </w:r>
          </w:p>
        </w:tc>
        <w:tc>
          <w:tcPr>
            <w:tcW w:w="220" w:type="dxa"/>
            <w:vAlign w:val="bottom"/>
            <w:shd w:val="clear" w:color="auto" w:fill="CCEEFF"/>
          </w:tcPr>
          <w:p>
            <w:pPr>
              <w:spacing w:after="0"/>
              <w:rPr>
                <w:sz w:val="15"/>
                <w:szCs w:val="15"/>
                <w:color w:val="auto"/>
              </w:rPr>
            </w:pPr>
          </w:p>
        </w:tc>
      </w:tr>
      <w:tr>
        <w:trPr>
          <w:trHeight w:val="176"/>
        </w:trPr>
        <w:tc>
          <w:tcPr>
            <w:tcW w:w="44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First Development Option Material Right</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34,518</w:t>
            </w:r>
          </w:p>
        </w:tc>
        <w:tc>
          <w:tcPr>
            <w:tcW w:w="220" w:type="dxa"/>
            <w:vAlign w:val="bottom"/>
            <w:tcBorders>
              <w:bottom w:val="single" w:sz="8" w:color="CCEEFF"/>
            </w:tcBorders>
          </w:tcPr>
          <w:p>
            <w:pPr>
              <w:spacing w:after="0"/>
              <w:rPr>
                <w:sz w:val="15"/>
                <w:szCs w:val="15"/>
                <w:color w:val="auto"/>
              </w:rPr>
            </w:pPr>
          </w:p>
        </w:tc>
      </w:tr>
      <w:tr>
        <w:trPr>
          <w:trHeight w:val="176"/>
        </w:trPr>
        <w:tc>
          <w:tcPr>
            <w:tcW w:w="440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5"/>
              <w:spacing w:after="0" w:line="169" w:lineRule="exact"/>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69,000</w:t>
            </w:r>
          </w:p>
        </w:tc>
        <w:tc>
          <w:tcPr>
            <w:tcW w:w="22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The Company recognizes the amounts associated with Research Services on a proportional performance basis over the period of service using input-based measurements of total cost of research incurred to estimate proportion performed and remeasures its progress towards completion at the end of each reporting period. The amount allocated to the First Development Option Material Right is recorded as deferred revenue and will be recognized either over the period in which goods and services underlying the option are transferred or upon expiry of the option.</w:t>
      </w:r>
    </w:p>
    <w:p>
      <w:pPr>
        <w:spacing w:after="0" w:line="161"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During the three months ended March 31, 2018, the Company recognized $0.4 million of revenue associated with its collaboration with AbbVie related to research services performed during the period. As of March 31, 2018, there is $68.6 million of deferred revenue related to the AbbVie Collaboration Agreement, which is classified as either current or noncurrent in the accompanying balance sheet based on the period the goods or services are expected to be delivered.</w:t>
      </w:r>
    </w:p>
    <w:p>
      <w:pPr>
        <w:spacing w:after="0" w:line="15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Costs incurred relating to the AbbVie Collaboration Agreement consist of internal and external research and development costs, which primarily include: salaries and benefits, lab supplies, and preclinical research studies. All of these costs are included in research and development expenses in the Company’s statement of operations during the three months ended March 31,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MRI Interventions License and Securities Purchase Agreements</w:t>
      </w:r>
    </w:p>
    <w:p>
      <w:pPr>
        <w:spacing w:after="0" w:line="148"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In September 2016, the Company entered into securities purchase and license agreements with MRI Interventions, Inc. (“MRIC”). MRIC is the primary supplier of the ClearPoint System, which is being used by the Company in ongoing development and clinical trials. Under the securities purchase agreement, the Company paid $2.0 million for shares of MRIC common stock and a warrant to purchase additional shares of MRIC common stock. The license agreement provided for certain rights to MRIC technology, and for MRIC to transfer the rights and know-how to manufacture the ClearPoint System, in order to enable the Company to utilize an alternative supplier for the ClearPoint System for use in the Company’s development and clinical trials.</w:t>
      </w:r>
    </w:p>
    <w:p>
      <w:pPr>
        <w:spacing w:after="0" w:line="16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6"/>
          <w:szCs w:val="16"/>
          <w:color w:val="auto"/>
        </w:rPr>
        <w:t>During 2017, the Company terminated the license agreement with MRIC and all prior and future commitments and obligations under such agreement became null and void. The Company continues to hold the common stock and warrants to purchase additional shares of common stock as an available-for-sale security and non-current asset,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During September 2016, the Company entered into a research and development funding arrangement with a non-profit organization that provides up to $4.0 million in funding upon the achievement of clinical and development milestones. The agreement provides that the Company repay amounts received under certain circumstances including termination of the agreement, and to pay an amount up to 2.6 times the funding received upon successful development and commercialization of any products developed. During 2017, the Company earned a milestone payment of $1.0 million. During the three months ended March 31, 2018, the Company did not earn any additional milestone payments. The Company has evaluated the arrangement and has concluded that it represents a research and development financing arrangement as it is probable that the Company will repay amounts received under the arrangement. As a result, the $1.0 million earned to date is recorded as a long-term liability in the accompanying consolidated balance sheet.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as of March 31, 2018 or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w:t>
      </w:r>
    </w:p>
    <w:p>
      <w:pPr>
        <w:spacing w:after="0" w:line="189" w:lineRule="exact"/>
        <w:rPr>
          <w:sz w:val="20"/>
          <w:szCs w:val="20"/>
          <w:color w:val="auto"/>
        </w:rPr>
      </w:pPr>
    </w:p>
    <w:p>
      <w:pPr>
        <w:ind w:right="660" w:firstLine="648"/>
        <w:spacing w:after="0" w:line="224" w:lineRule="auto"/>
        <w:rPr>
          <w:sz w:val="20"/>
          <w:szCs w:val="20"/>
          <w:color w:val="auto"/>
        </w:rPr>
      </w:pPr>
      <w:r>
        <w:rPr>
          <w:rFonts w:ascii="Arial" w:cs="Arial" w:eastAsia="Arial" w:hAnsi="Arial"/>
          <w:sz w:val="18"/>
          <w:szCs w:val="18"/>
          <w:color w:val="auto"/>
        </w:rPr>
        <w:t>The Company has authorized preferred stock amounting to 5,000,000 shares as of March 31, 2018 and December 31, 2017. The authorized preferred stock was classified under stockholders’ equity at March 31, 2018 and December 31, 2017.</w:t>
      </w:r>
    </w:p>
    <w:p>
      <w:pPr>
        <w:spacing w:after="0" w:line="15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8.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Option and Grant Plan</w:t>
      </w:r>
    </w:p>
    <w:p>
      <w:pPr>
        <w:spacing w:after="0" w:line="104" w:lineRule="exact"/>
        <w:rPr>
          <w:sz w:val="20"/>
          <w:szCs w:val="20"/>
          <w:color w:val="auto"/>
        </w:rPr>
      </w:pPr>
    </w:p>
    <w:p>
      <w:pPr>
        <w:ind w:right="160" w:firstLine="648"/>
        <w:spacing w:after="0" w:line="189" w:lineRule="exact"/>
        <w:rPr>
          <w:sz w:val="20"/>
          <w:szCs w:val="20"/>
          <w:color w:val="auto"/>
        </w:rPr>
      </w:pPr>
      <w:r>
        <w:rPr>
          <w:rFonts w:ascii="Arial" w:cs="Arial" w:eastAsia="Arial" w:hAnsi="Arial"/>
          <w:sz w:val="18"/>
          <w:szCs w:val="18"/>
          <w:color w:val="auto"/>
        </w:rPr>
        <w:t>In January 2014, the Company adopted the 2014 Stock Option and Grant Plan (the “2014 Plan”), under which it could grant incentive stock options,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options, restricted stock awards, unrestricted stock awards, or restricted stock units to purchase up to 823,529 shares of common stock to employees, officers, directors and consultants of the Company.</w:t>
      </w:r>
    </w:p>
    <w:p>
      <w:pPr>
        <w:spacing w:after="0" w:line="95"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In April 2014, the Company amended the 2014 Plan to allow for the issuance of up to 1,411,764 shares of common stock. In August 2014, April 2015, August 2015, and October 2015, the Company further amended the 2014 Plan to allow for the issuance of up to 2,000,000, 2,047,058, 2,669,411, and 2,998,823 shares of common stock, respectively. During 2014 the Company issued only restricted stock awards under the 2014 Plan and during 2015 the Company only granted stock options under the 2014 Plan.</w:t>
      </w:r>
    </w:p>
    <w:p>
      <w:pPr>
        <w:spacing w:after="0" w:line="95"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The terms of equity award agreements, including vesting requirements, are determined by the Board of Directors and are subject to the provisions of the 2014 Plan.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Awards</w:t>
      </w:r>
    </w:p>
    <w:p>
      <w:pPr>
        <w:spacing w:after="0" w:line="117" w:lineRule="exact"/>
        <w:rPr>
          <w:sz w:val="20"/>
          <w:szCs w:val="20"/>
          <w:color w:val="auto"/>
        </w:rPr>
      </w:pPr>
    </w:p>
    <w:p>
      <w:pPr>
        <w:ind w:right="200" w:firstLine="648"/>
        <w:spacing w:after="0" w:line="214" w:lineRule="auto"/>
        <w:rPr>
          <w:sz w:val="20"/>
          <w:szCs w:val="20"/>
          <w:color w:val="auto"/>
        </w:rPr>
      </w:pPr>
      <w:r>
        <w:rPr>
          <w:rFonts w:ascii="Arial" w:cs="Arial" w:eastAsia="Arial" w:hAnsi="Arial"/>
          <w:sz w:val="18"/>
          <w:szCs w:val="18"/>
          <w:color w:val="auto"/>
        </w:rPr>
        <w:t>In January 2014, the Company issued 1,188,233 shares of restricted stock to its founders at an original issuance price of $0.0425 per share. Of the total restricted shares awarded to the founders, 835,292 shares generally vest over one to four years, based on each founder’s continued service to the Company in varying capacity as a Scientific Advisory Board member, consultant, director, officer or employee, as set forth in each grantee’s individual restricted stock purchase agreement. Stock based compensation expense associated with these time-based awards is recognized over the vesting period.</w:t>
      </w:r>
    </w:p>
    <w:p>
      <w:pPr>
        <w:spacing w:after="0" w:line="9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remaining 352,941 of the shares issued will begin vesting upon the achievement of certain performance objectives as well as continued service to the Company, as set forth in the agreements. These performance conditions are tied to certain milestone events specific to the Company’s corporate goals, including but not limited to preclinical and clinical development milestones related to the Company’s product candidates.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associated with these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is recognized when the achievement of the performance condition is considered probable, using management’s best estimates. During 2016, management determined that the achievement of the performance milestone for one of the three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had become probable. Accordingly, stock-based compensation expense in the amount of $0.2 million and $1.5 million, was recorded related to this award during the three months ended and term to date ended March 31, 2018. No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was recorded for the remaining two founders’ awards with performance-based vesting as of March 31, 2018 as the performance-based milestones related to these awards were not probable.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Plan</w:t>
      </w:r>
    </w:p>
    <w:p>
      <w:pPr>
        <w:spacing w:after="0" w:line="117"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In October 2015, the Company’s board of directors and stockholders approved the 2015 Stock Option and Incentive Plan (the “2015 Stock Option Plan”), which became effective upon the completion of the Company’s initial public offering (the “IPO”). The 2015 Stock Option Plan provides the Company with the flexibility to use various equity-based incentive and other awards as compensation tools to motivate its workforce. These tools include stock options, stock appreciation rights, restricted stock, restricted stock units, unrestricted stock, performance share awards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and cash-based awards. The 2015 Stock Option Plan replaced the 2014 Plan. Any options or awards outstanding under the 2014 Plan remained outstanding and effective. The number of shares initially reserved for issuance under the 2015 Stock Option Plan is the sum of (i) 1,311,812 shares of common stock and (ii) the number of shares under the 2014 Plan that are not needed to fulfill the Company’s obligations for awards issued under the 2014 Plan as a result of forfeiture, expiration, cancellation, termination or net issuances of awards thereunder. The number of shares of common stock that may be issued under the 2015 Stock Option Plan is also subject to increase on the first day of each fiscal year by up to 4% of the Company’s issued and outstanding shares of common stock on the immediately preceding December 31.</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Effective January 1, 2016, 2017, and 2018, an additional 1,069,971, 1,070,635, and 1,285,200 shares, respectively, were added to the Company’s 2015 Stock Option Plan for future issuance. As of March 31, 2018, there were 1,988,503 shares of common stock available for future award grants under the 2015 Stock Option Plan. During the three months ended March 31, 2018, the Company issued a total of 926,091 stock options to employees under the 2015 Stock Option Plan. There were no new stock options issued to non-employees under the 2015 Stock Option Plan during the three months ended March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17" w:lineRule="exact"/>
        <w:rPr>
          <w:sz w:val="20"/>
          <w:szCs w:val="20"/>
          <w:color w:val="auto"/>
        </w:rPr>
      </w:pPr>
    </w:p>
    <w:p>
      <w:pPr>
        <w:ind w:right="60" w:firstLine="648"/>
        <w:spacing w:after="0" w:line="231" w:lineRule="auto"/>
        <w:rPr>
          <w:sz w:val="20"/>
          <w:szCs w:val="20"/>
          <w:color w:val="auto"/>
        </w:rPr>
      </w:pPr>
      <w:r>
        <w:rPr>
          <w:rFonts w:ascii="Arial" w:cs="Arial" w:eastAsia="Arial" w:hAnsi="Arial"/>
          <w:sz w:val="16"/>
          <w:szCs w:val="16"/>
          <w:color w:val="auto"/>
        </w:rPr>
        <w:t>In October 2015, the Company’s board of directors and stockholders approved the 2015 Employee Stock Purchase Plan (the “2015 ESPP”). Under the 2015 ESPP, all full-time employees of the Company are eligible to purchase common stock of the Company twice per year, at the end of each six-month payment period. During each payment period, eligible employees who so elect, may authorize payroll deductions in an amount of 1% to 10% (whole percentages only) of the employee’s base pay for each payroll period. At the end of each payment period, the accumulated deductions are used to purchase shares of common stock from the Company at a discount. A total of 262,362 shares of common stock were initially authorized for issuance under this plan. The 2015 ESPP became effective upon the completion of the IPO. The number of shares of common stock that may be issued under the 2015 ESPP is also subject to increase on the first day of each fiscal year by up to 1% of the Company’s issued and outstanding shares of common stock on the immediately preceding December</w:t>
      </w:r>
    </w:p>
    <w:p>
      <w:pPr>
        <w:spacing w:after="0" w:line="2" w:lineRule="exact"/>
        <w:rPr>
          <w:sz w:val="20"/>
          <w:szCs w:val="20"/>
          <w:color w:val="auto"/>
        </w:rPr>
      </w:pPr>
    </w:p>
    <w:p>
      <w:pPr>
        <w:ind w:right="180" w:firstLine="3"/>
        <w:spacing w:after="0" w:line="226"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January 1, 2016, 2017, and 2018, 267,492, 267,658, and 321,300 shares of common stock, respectively, were added to the 2015 ESPP.</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04" w:lineRule="exact"/>
        <w:rPr>
          <w:sz w:val="20"/>
          <w:szCs w:val="20"/>
          <w:color w:val="auto"/>
        </w:rPr>
      </w:pPr>
    </w:p>
    <w:p>
      <w:pPr>
        <w:ind w:right="300" w:firstLine="648"/>
        <w:spacing w:after="0" w:line="203" w:lineRule="exact"/>
        <w:rPr>
          <w:sz w:val="20"/>
          <w:szCs w:val="20"/>
          <w:color w:val="auto"/>
        </w:rPr>
      </w:pPr>
      <w:r>
        <w:rPr>
          <w:rFonts w:ascii="Arial" w:cs="Arial" w:eastAsia="Arial" w:hAnsi="Arial"/>
          <w:sz w:val="18"/>
          <w:szCs w:val="18"/>
          <w:color w:val="auto"/>
        </w:rPr>
        <w:t>Total compensation cost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statements of operations and comprehensive loss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5"/>
                <w:szCs w:val="15"/>
                <w:color w:val="auto"/>
              </w:rPr>
            </w:pPr>
          </w:p>
        </w:tc>
      </w:tr>
      <w:tr>
        <w:trPr>
          <w:trHeight w:val="171"/>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9"/>
        </w:trPr>
        <w:tc>
          <w:tcPr>
            <w:tcW w:w="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ind w:left="400"/>
              <w:spacing w:after="0" w:line="170"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68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7"/>
              </w:rPr>
              <w:t>1,198</w:t>
            </w:r>
          </w:p>
        </w:tc>
        <w:tc>
          <w:tcPr>
            <w:tcW w:w="460" w:type="dxa"/>
            <w:vAlign w:val="bottom"/>
            <w:gridSpan w:val="2"/>
            <w:shd w:val="clear" w:color="auto" w:fill="CCEEFF"/>
          </w:tcPr>
          <w:p>
            <w:pPr>
              <w:jc w:val="right"/>
              <w:ind w:right="145"/>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400"/>
              <w:spacing w:after="0" w:line="176" w:lineRule="exact"/>
              <w:rPr>
                <w:sz w:val="20"/>
                <w:szCs w:val="20"/>
                <w:color w:val="auto"/>
              </w:rPr>
            </w:pPr>
            <w:r>
              <w:rPr>
                <w:rFonts w:ascii="Arial" w:cs="Arial" w:eastAsia="Arial" w:hAnsi="Arial"/>
                <w:sz w:val="18"/>
                <w:szCs w:val="18"/>
                <w:color w:val="auto"/>
                <w:w w:val="97"/>
              </w:rPr>
              <w:t>1,124</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334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w w:val="93"/>
              </w:rPr>
              <w:t>Total stock-based compensation expense</w:t>
            </w:r>
          </w:p>
        </w:tc>
        <w:tc>
          <w:tcPr>
            <w:tcW w:w="14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400"/>
              <w:spacing w:after="0" w:line="170" w:lineRule="exact"/>
              <w:rPr>
                <w:sz w:val="20"/>
                <w:szCs w:val="20"/>
                <w:color w:val="auto"/>
              </w:rPr>
            </w:pPr>
            <w:r>
              <w:rPr>
                <w:rFonts w:ascii="Arial" w:cs="Arial" w:eastAsia="Arial" w:hAnsi="Arial"/>
                <w:sz w:val="18"/>
                <w:szCs w:val="18"/>
                <w:color w:val="auto"/>
                <w:w w:val="97"/>
              </w:rPr>
              <w:t>2,322</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2,165</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Pr>
          <w:p>
            <w:pPr>
              <w:spacing w:after="0"/>
              <w:rPr>
                <w:sz w:val="16"/>
                <w:szCs w:val="16"/>
                <w:color w:val="auto"/>
              </w:rPr>
            </w:pPr>
          </w:p>
        </w:tc>
      </w:tr>
      <w:tr>
        <w:trPr>
          <w:trHeight w:val="797"/>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tcPr>
          <w:p>
            <w:pPr>
              <w:jc w:val="right"/>
              <w:ind w:right="97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8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A summary of the status of and changes in unvested restricted stock activity under the Company’s equity award plan for the three months ended March 31, 2018 was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69"/>
        </w:trPr>
        <w:tc>
          <w:tcPr>
            <w:tcW w:w="51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Unvested restricted common stock as of December 31, 2017</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557,979</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0.70</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40" w:type="dxa"/>
            <w:vAlign w:val="bottom"/>
          </w:tcPr>
          <w:p>
            <w:pPr>
              <w:ind w:left="220"/>
              <w:spacing w:after="0" w:line="176" w:lineRule="exact"/>
              <w:rPr>
                <w:sz w:val="20"/>
                <w:szCs w:val="20"/>
                <w:color w:val="auto"/>
              </w:rPr>
            </w:pPr>
            <w:r>
              <w:rPr>
                <w:rFonts w:ascii="Arial" w:cs="Arial" w:eastAsia="Arial" w:hAnsi="Arial"/>
                <w:sz w:val="18"/>
                <w:szCs w:val="18"/>
                <w:color w:val="auto"/>
              </w:rPr>
              <w:t>Issued</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(145,829)</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0.77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Repurchased</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Unvested restricted common stock as of March 31, 2018</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412,150</w:t>
            </w:r>
          </w:p>
        </w:tc>
        <w:tc>
          <w:tcPr>
            <w:tcW w:w="26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0.68</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60" w:firstLine="648"/>
        <w:spacing w:after="0" w:line="259" w:lineRule="auto"/>
        <w:rPr>
          <w:sz w:val="20"/>
          <w:szCs w:val="20"/>
          <w:color w:val="auto"/>
        </w:rPr>
      </w:pPr>
      <w:r>
        <w:rPr>
          <w:rFonts w:ascii="Arial" w:cs="Arial" w:eastAsia="Arial" w:hAnsi="Arial"/>
          <w:sz w:val="16"/>
          <w:szCs w:val="16"/>
          <w:color w:val="auto"/>
        </w:rPr>
        <w:t>The expense related to awards granted to employees and non-employees was $0.1 million and $0.2 million, respectively, for the three months ended March 31, 2018. The expense related to awards granted to employees and non-employees was $0.1 million and $0.6 million, respectively, for the three months ended March 31, 2017.</w:t>
      </w:r>
    </w:p>
    <w:p>
      <w:pPr>
        <w:spacing w:after="0" w:line="147"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As of March 31, 2018, the Company had unrecognized stock-based compensation expense related to its unvested restricted stock awards of $0.2 million, which is expected to be recognized over the remaining average vesting period of 0.3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stock option activity for the three months ended March 31,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69"/>
        </w:trPr>
        <w:tc>
          <w:tcPr>
            <w:tcW w:w="45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3,143,566</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11.82</w:t>
            </w:r>
          </w:p>
        </w:tc>
        <w:tc>
          <w:tcPr>
            <w:tcW w:w="1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2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926,091</w:t>
            </w:r>
          </w:p>
        </w:tc>
        <w:tc>
          <w:tcPr>
            <w:tcW w:w="14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24.76</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(132,733)</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10.64</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tcPr>
          <w:p>
            <w:pPr>
              <w:ind w:left="220"/>
              <w:spacing w:after="0" w:line="176" w:lineRule="exact"/>
              <w:rPr>
                <w:sz w:val="20"/>
                <w:szCs w:val="20"/>
                <w:color w:val="auto"/>
              </w:rPr>
            </w:pPr>
            <w:r>
              <w:rPr>
                <w:rFonts w:ascii="Arial" w:cs="Arial" w:eastAsia="Arial" w:hAnsi="Arial"/>
                <w:sz w:val="18"/>
                <w:szCs w:val="18"/>
                <w:color w:val="auto"/>
              </w:rPr>
              <w:t>Cancelled or forfeited</w:t>
            </w:r>
          </w:p>
        </w:tc>
        <w:tc>
          <w:tcPr>
            <w:tcW w:w="13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(128,389)</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14.52</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March 31, 2018</w:t>
            </w:r>
          </w:p>
        </w:tc>
        <w:tc>
          <w:tcPr>
            <w:tcW w:w="1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3,808,535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14.92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8.5</w:t>
            </w:r>
          </w:p>
        </w:tc>
        <w:tc>
          <w:tcPr>
            <w:tcW w:w="300" w:type="dxa"/>
            <w:vAlign w:val="bottom"/>
            <w:tcBorders>
              <w:top w:val="single" w:sz="8" w:color="CCEEFF"/>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21,020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52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Exercisable at March 31, 2018</w:t>
            </w:r>
          </w:p>
        </w:tc>
        <w:tc>
          <w:tcPr>
            <w:tcW w:w="1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1,039,408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10.61</w:t>
            </w: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7.4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8,548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March 31, 2018</w:t>
            </w: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3,808,535</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14.92</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3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21,020</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weighted-average fair value of options granted to employees and directors during the three months ended March 31, 2018 was $16.49 per share. The expense related to awards granted to employees and directors was $1.9 million for the three months ended March 31, 2018. The weighted-average fair value of options granted to employees and directors during the three months ended March 31, 2017 was $7.82 per share. The expense related to awards granted to employees and directors was $1.3 million for the three months ended March 31, 2017.</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of each option issued to employees and directors was estimated at the date of grant using the</w:t>
      </w:r>
    </w:p>
    <w:p>
      <w:pPr>
        <w:spacing w:after="0" w:line="207"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300" w:type="dxa"/>
            <w:vAlign w:val="bottom"/>
            <w:gridSpan w:val="3"/>
          </w:tcPr>
          <w:p>
            <w:pPr>
              <w:jc w:val="center"/>
              <w:ind w:left="858"/>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30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auto"/>
            </w:tcBorders>
          </w:tcPr>
          <w:p>
            <w:pPr>
              <w:jc w:val="right"/>
              <w:ind w:right="53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1540" w:type="dxa"/>
            <w:vAlign w:val="bottom"/>
          </w:tcPr>
          <w:p>
            <w:pPr>
              <w:jc w:val="right"/>
              <w:ind w:right="158"/>
              <w:spacing w:after="0" w:line="170" w:lineRule="exact"/>
              <w:rPr>
                <w:sz w:val="20"/>
                <w:szCs w:val="20"/>
                <w:color w:val="auto"/>
              </w:rPr>
            </w:pPr>
            <w:r>
              <w:rPr>
                <w:rFonts w:ascii="Arial" w:cs="Arial" w:eastAsia="Arial" w:hAnsi="Arial"/>
                <w:sz w:val="18"/>
                <w:szCs w:val="18"/>
                <w:color w:val="auto"/>
              </w:rPr>
              <w:t>2.7 %</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ind w:right="154"/>
              <w:spacing w:after="0" w:line="170" w:lineRule="exact"/>
              <w:rPr>
                <w:sz w:val="20"/>
                <w:szCs w:val="20"/>
                <w:color w:val="auto"/>
              </w:rPr>
            </w:pPr>
            <w:r>
              <w:rPr>
                <w:rFonts w:ascii="Arial" w:cs="Arial" w:eastAsia="Arial" w:hAnsi="Arial"/>
                <w:sz w:val="18"/>
                <w:szCs w:val="18"/>
                <w:color w:val="auto"/>
              </w:rPr>
              <w:t>2.0 %</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 yield</w:t>
            </w:r>
          </w:p>
        </w:tc>
        <w:tc>
          <w:tcPr>
            <w:tcW w:w="2300" w:type="dxa"/>
            <w:vAlign w:val="bottom"/>
            <w:gridSpan w:val="3"/>
            <w:shd w:val="clear" w:color="auto" w:fill="CCEEFF"/>
          </w:tcPr>
          <w:p>
            <w:pPr>
              <w:jc w:val="right"/>
              <w:ind w:right="1000"/>
              <w:spacing w:after="0" w:line="176" w:lineRule="exact"/>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3860" w:type="dxa"/>
            <w:vAlign w:val="bottom"/>
          </w:tcPr>
          <w:p>
            <w:pPr>
              <w:spacing w:after="0" w:line="176" w:lineRule="exact"/>
              <w:rPr>
                <w:sz w:val="20"/>
                <w:szCs w:val="20"/>
                <w:color w:val="auto"/>
              </w:rPr>
            </w:pPr>
            <w:r>
              <w:rPr>
                <w:rFonts w:ascii="Arial" w:cs="Arial" w:eastAsia="Arial" w:hAnsi="Arial"/>
                <w:sz w:val="18"/>
                <w:szCs w:val="18"/>
                <w:color w:val="auto"/>
              </w:rPr>
              <w:t>Expected term (in years)</w:t>
            </w:r>
          </w:p>
        </w:tc>
        <w:tc>
          <w:tcPr>
            <w:tcW w:w="1540" w:type="dxa"/>
            <w:vAlign w:val="bottom"/>
          </w:tcPr>
          <w:p>
            <w:pPr>
              <w:jc w:val="right"/>
              <w:ind w:right="358"/>
              <w:spacing w:after="0" w:line="176"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354"/>
              <w:spacing w:after="0" w:line="176" w:lineRule="exact"/>
              <w:rPr>
                <w:sz w:val="20"/>
                <w:szCs w:val="20"/>
                <w:color w:val="auto"/>
              </w:rPr>
            </w:pPr>
            <w:r>
              <w:rPr>
                <w:rFonts w:ascii="Arial" w:cs="Arial" w:eastAsia="Arial" w:hAnsi="Arial"/>
                <w:sz w:val="18"/>
                <w:szCs w:val="18"/>
                <w:color w:val="auto"/>
              </w:rPr>
              <w:t>6.0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CEEFF"/>
          </w:tcPr>
          <w:p>
            <w:pPr>
              <w:jc w:val="right"/>
              <w:ind w:right="158"/>
              <w:spacing w:after="0" w:line="176" w:lineRule="exact"/>
              <w:rPr>
                <w:sz w:val="20"/>
                <w:szCs w:val="20"/>
                <w:color w:val="auto"/>
              </w:rPr>
            </w:pPr>
            <w:r>
              <w:rPr>
                <w:rFonts w:ascii="Arial" w:cs="Arial" w:eastAsia="Arial" w:hAnsi="Arial"/>
                <w:sz w:val="18"/>
                <w:szCs w:val="18"/>
                <w:color w:val="auto"/>
              </w:rPr>
              <w:t>74.3 %</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54"/>
              <w:spacing w:after="0" w:line="176" w:lineRule="exact"/>
              <w:rPr>
                <w:sz w:val="20"/>
                <w:szCs w:val="20"/>
                <w:color w:val="auto"/>
              </w:rPr>
            </w:pPr>
            <w:r>
              <w:rPr>
                <w:rFonts w:ascii="Arial" w:cs="Arial" w:eastAsia="Arial" w:hAnsi="Arial"/>
                <w:sz w:val="18"/>
                <w:szCs w:val="18"/>
                <w:color w:val="auto"/>
              </w:rPr>
              <w:t>73.6 %</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There were no new options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during the three months ended March 31, 2018 and 2017. Unvested options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are revalued at each measurement period until fully vested. The expense related to awards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was $0.1 million and $0.2 million for the three months ended March 31, 2018 and 2017, respectively.</w:t>
      </w:r>
    </w:p>
    <w:p>
      <w:pPr>
        <w:spacing w:after="0" w:line="122" w:lineRule="exact"/>
        <w:rPr>
          <w:sz w:val="20"/>
          <w:szCs w:val="20"/>
          <w:color w:val="auto"/>
        </w:rPr>
      </w:pPr>
    </w:p>
    <w:p>
      <w:pPr>
        <w:jc w:val="both"/>
        <w:ind w:right="280" w:firstLine="648"/>
        <w:spacing w:after="0" w:line="194" w:lineRule="exact"/>
        <w:rPr>
          <w:sz w:val="20"/>
          <w:szCs w:val="20"/>
          <w:color w:val="auto"/>
        </w:rPr>
      </w:pPr>
      <w:r>
        <w:rPr>
          <w:rFonts w:ascii="Arial" w:cs="Arial" w:eastAsia="Arial" w:hAnsi="Arial"/>
          <w:sz w:val="18"/>
          <w:szCs w:val="18"/>
          <w:color w:val="auto"/>
        </w:rPr>
        <w:t>The fair value of each option issued to non</w:t>
      </w:r>
      <w:r>
        <w:rPr>
          <w:rFonts w:ascii="MS PGothic" w:cs="MS PGothic" w:eastAsia="MS PGothic" w:hAnsi="MS PGothic"/>
          <w:sz w:val="18"/>
          <w:szCs w:val="18"/>
          <w:color w:val="auto"/>
        </w:rPr>
        <w:t>‑</w:t>
      </w:r>
      <w:r>
        <w:rPr>
          <w:rFonts w:ascii="Arial" w:cs="Arial" w:eastAsia="Arial" w:hAnsi="Arial"/>
          <w:sz w:val="18"/>
          <w:szCs w:val="18"/>
          <w:color w:val="auto"/>
        </w:rPr>
        <w:t>employees was estimated at each vesting and reporting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reporting date fair value was determined using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2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As of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80" w:type="dxa"/>
            <w:vAlign w:val="bottom"/>
            <w:vMerge w:val="continue"/>
          </w:tcPr>
          <w:p>
            <w:pPr>
              <w:spacing w:after="0"/>
              <w:rPr>
                <w:sz w:val="14"/>
                <w:szCs w:val="14"/>
                <w:color w:val="auto"/>
              </w:rPr>
            </w:pPr>
          </w:p>
        </w:tc>
        <w:tc>
          <w:tcPr>
            <w:tcW w:w="1600" w:type="dxa"/>
            <w:vAlign w:val="bottom"/>
          </w:tcPr>
          <w:p>
            <w:pPr>
              <w:jc w:val="right"/>
              <w:ind w:right="136"/>
              <w:spacing w:after="0" w:line="170" w:lineRule="exact"/>
              <w:rPr>
                <w:sz w:val="20"/>
                <w:szCs w:val="20"/>
                <w:color w:val="auto"/>
              </w:rPr>
            </w:pPr>
            <w:r>
              <w:rPr>
                <w:rFonts w:ascii="Arial" w:cs="Arial" w:eastAsia="Arial" w:hAnsi="Arial"/>
                <w:sz w:val="18"/>
                <w:szCs w:val="18"/>
                <w:color w:val="auto"/>
              </w:rPr>
              <w:t>2.7 %</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134"/>
              <w:spacing w:after="0" w:line="170" w:lineRule="exact"/>
              <w:rPr>
                <w:sz w:val="20"/>
                <w:szCs w:val="20"/>
                <w:color w:val="auto"/>
              </w:rPr>
            </w:pPr>
            <w:r>
              <w:rPr>
                <w:rFonts w:ascii="Arial" w:cs="Arial" w:eastAsia="Arial" w:hAnsi="Arial"/>
                <w:sz w:val="18"/>
                <w:szCs w:val="18"/>
                <w:color w:val="auto"/>
              </w:rPr>
              <w:t>2.0 %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 yield</w:t>
            </w:r>
          </w:p>
        </w:tc>
        <w:tc>
          <w:tcPr>
            <w:tcW w:w="2280" w:type="dxa"/>
            <w:vAlign w:val="bottom"/>
            <w:gridSpan w:val="3"/>
            <w:shd w:val="clear" w:color="auto" w:fill="CCEEFF"/>
          </w:tcPr>
          <w:p>
            <w:pPr>
              <w:jc w:val="right"/>
              <w:ind w:right="900"/>
              <w:spacing w:after="0" w:line="176" w:lineRule="exact"/>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3780" w:type="dxa"/>
            <w:vAlign w:val="bottom"/>
          </w:tcPr>
          <w:p>
            <w:pPr>
              <w:spacing w:after="0" w:line="176" w:lineRule="exact"/>
              <w:rPr>
                <w:sz w:val="20"/>
                <w:szCs w:val="20"/>
                <w:color w:val="auto"/>
              </w:rPr>
            </w:pPr>
            <w:r>
              <w:rPr>
                <w:rFonts w:ascii="Arial" w:cs="Arial" w:eastAsia="Arial" w:hAnsi="Arial"/>
                <w:sz w:val="18"/>
                <w:szCs w:val="18"/>
                <w:color w:val="auto"/>
              </w:rPr>
              <w:t>Expected term (in years)</w:t>
            </w:r>
          </w:p>
        </w:tc>
        <w:tc>
          <w:tcPr>
            <w:tcW w:w="1600" w:type="dxa"/>
            <w:vAlign w:val="bottom"/>
          </w:tcPr>
          <w:p>
            <w:pPr>
              <w:jc w:val="right"/>
              <w:ind w:right="336"/>
              <w:spacing w:after="0" w:line="176" w:lineRule="exact"/>
              <w:rPr>
                <w:sz w:val="20"/>
                <w:szCs w:val="20"/>
                <w:color w:val="auto"/>
              </w:rPr>
            </w:pPr>
            <w:r>
              <w:rPr>
                <w:rFonts w:ascii="Arial" w:cs="Arial" w:eastAsia="Arial" w:hAnsi="Arial"/>
                <w:sz w:val="18"/>
                <w:szCs w:val="18"/>
                <w:color w:val="auto"/>
              </w:rPr>
              <w:t>8.4</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334"/>
              <w:spacing w:after="0" w:line="176"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CCEEFF"/>
          </w:tcPr>
          <w:p>
            <w:pPr>
              <w:jc w:val="right"/>
              <w:ind w:right="136"/>
              <w:spacing w:after="0" w:line="176" w:lineRule="exact"/>
              <w:rPr>
                <w:sz w:val="20"/>
                <w:szCs w:val="20"/>
                <w:color w:val="auto"/>
              </w:rPr>
            </w:pPr>
            <w:r>
              <w:rPr>
                <w:rFonts w:ascii="Arial" w:cs="Arial" w:eastAsia="Arial" w:hAnsi="Arial"/>
                <w:sz w:val="18"/>
                <w:szCs w:val="18"/>
                <w:color w:val="auto"/>
              </w:rPr>
              <w:t>76.1 %</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34"/>
              <w:spacing w:after="0" w:line="176" w:lineRule="exact"/>
              <w:rPr>
                <w:sz w:val="20"/>
                <w:szCs w:val="20"/>
                <w:color w:val="auto"/>
              </w:rPr>
            </w:pPr>
            <w:r>
              <w:rPr>
                <w:rFonts w:ascii="Arial" w:cs="Arial" w:eastAsia="Arial" w:hAnsi="Arial"/>
                <w:sz w:val="18"/>
                <w:szCs w:val="18"/>
                <w:color w:val="auto"/>
              </w:rPr>
              <w:t>83.6 %</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As of March 31, 2018, the Company had unrecognized stock-based compensation expense related to its unvested stock options of $28.2 million which is expected to be recognized over the remaining weighted-average vesting period of 2.8 years.</w:t>
      </w:r>
    </w:p>
    <w:p>
      <w:pPr>
        <w:spacing w:after="0" w:line="163"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color w:val="auto"/>
        </w:rPr>
        <w:t>For the three months ended March 31, 2018 and March 31, 2017, due to a lack of company-specific historical and implied volatility data, the Company has based its estimate of expected volatility on the historical volatility of a group of similar companies that are publicly traded. In the three months ended March 31, 2018, the Company’s estimate has also included the volatility of its common stock for the most recent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89"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Due to the uncertainty surrounding the realization of the favorable tax attributes in future tax returns, the Company has recorded a full valuation allowance against the Company’s otherwise recognizable net deferred tax assets.</w:t>
      </w:r>
    </w:p>
    <w:p>
      <w:pPr>
        <w:spacing w:after="0" w:line="16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For the three months ended March 31, 2018, the Company recognized a de minimis tax expense in other comprehensive income related to the unrealized gain on available-for-sale securities. For the three months ended March 31, 2017, the Company recognized a tax expense in other comprehensive income of $0.2 million related to the unrealized gain on available-for-sale securities.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89" w:lineRule="exact"/>
        <w:rPr>
          <w:sz w:val="20"/>
          <w:szCs w:val="20"/>
          <w:color w:val="auto"/>
        </w:rPr>
      </w:pPr>
    </w:p>
    <w:p>
      <w:pPr>
        <w:ind w:right="760" w:firstLine="648"/>
        <w:spacing w:after="0" w:line="258" w:lineRule="auto"/>
        <w:rPr>
          <w:sz w:val="20"/>
          <w:szCs w:val="20"/>
          <w:color w:val="auto"/>
        </w:rPr>
      </w:pPr>
      <w:r>
        <w:rPr>
          <w:rFonts w:ascii="Arial" w:cs="Arial" w:eastAsia="Arial" w:hAnsi="Arial"/>
          <w:sz w:val="17"/>
          <w:szCs w:val="17"/>
          <w:color w:val="auto"/>
        </w:rPr>
        <w:t>The following table sets forth the outstanding potentially dilutive securities that have been excluded in the calculation of diluted net loss per share because to so include them would be anti-dilutive:</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7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4"/>
              </w:rPr>
              <w:t>As of March 31,</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5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r>
      <w:tr>
        <w:trPr>
          <w:trHeight w:val="169"/>
        </w:trPr>
        <w:tc>
          <w:tcPr>
            <w:tcW w:w="45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Unvested restricted common stock</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412,150</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997,142</w:t>
            </w:r>
          </w:p>
        </w:tc>
        <w:tc>
          <w:tcPr>
            <w:tcW w:w="120" w:type="dxa"/>
            <w:vAlign w:val="bottom"/>
            <w:shd w:val="clear" w:color="auto" w:fill="CCEEFF"/>
          </w:tcPr>
          <w:p>
            <w:pPr>
              <w:spacing w:after="0"/>
              <w:rPr>
                <w:sz w:val="14"/>
                <w:szCs w:val="14"/>
                <w:color w:val="auto"/>
              </w:rPr>
            </w:pPr>
          </w:p>
        </w:tc>
      </w:tr>
      <w:tr>
        <w:trPr>
          <w:trHeight w:val="176"/>
        </w:trPr>
        <w:tc>
          <w:tcPr>
            <w:tcW w:w="45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Shares reserved for issuance under stock plans</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6,810,806</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89"/>
              </w:rPr>
              <w:t>5,481,511</w:t>
            </w:r>
          </w:p>
        </w:tc>
        <w:tc>
          <w:tcPr>
            <w:tcW w:w="120" w:type="dxa"/>
            <w:vAlign w:val="bottom"/>
            <w:tcBorders>
              <w:bottom w:val="single" w:sz="8" w:color="CCEEFF"/>
            </w:tcBorders>
          </w:tcPr>
          <w:p>
            <w:pPr>
              <w:spacing w:after="0"/>
              <w:rPr>
                <w:sz w:val="15"/>
                <w:szCs w:val="15"/>
                <w:color w:val="auto"/>
              </w:rPr>
            </w:pPr>
          </w:p>
        </w:tc>
      </w:tr>
      <w:tr>
        <w:trPr>
          <w:trHeight w:val="176"/>
        </w:trPr>
        <w:tc>
          <w:tcPr>
            <w:tcW w:w="456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7,222,956</w:t>
            </w:r>
          </w:p>
        </w:tc>
        <w:tc>
          <w:tcPr>
            <w:tcW w:w="1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6,478,653</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11.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2017, the Company received consulting and management services from</w:t>
      </w:r>
    </w:p>
    <w:p>
      <w:pPr>
        <w:spacing w:after="0"/>
        <w:rPr>
          <w:sz w:val="20"/>
          <w:szCs w:val="20"/>
          <w:color w:val="auto"/>
        </w:rPr>
      </w:pPr>
      <w:r>
        <w:rPr>
          <w:rFonts w:ascii="Arial" w:cs="Arial" w:eastAsia="Arial" w:hAnsi="Arial"/>
          <w:sz w:val="16"/>
          <w:szCs w:val="16"/>
          <w:color w:val="auto"/>
        </w:rPr>
        <w:t>one of its investors. The total amount of consulting and management services provided by this investor was approximately</w:t>
      </w:r>
    </w:p>
    <w:p>
      <w:pPr>
        <w:spacing w:after="0" w:line="229" w:lineRule="auto"/>
        <w:rPr>
          <w:sz w:val="20"/>
          <w:szCs w:val="20"/>
          <w:color w:val="auto"/>
        </w:rPr>
      </w:pPr>
      <w:r>
        <w:rPr>
          <w:rFonts w:ascii="Arial" w:cs="Arial" w:eastAsia="Arial" w:hAnsi="Arial"/>
          <w:sz w:val="16"/>
          <w:szCs w:val="16"/>
          <w:color w:val="auto"/>
        </w:rPr>
        <w:t>$10.0 thousand during the three months ended March 31, 2017. As of March 31, 2018, there were no amounts payable related</w:t>
      </w:r>
    </w:p>
    <w:p>
      <w:pPr>
        <w:spacing w:after="0"/>
        <w:rPr>
          <w:sz w:val="20"/>
          <w:szCs w:val="20"/>
          <w:color w:val="auto"/>
        </w:rPr>
      </w:pPr>
      <w:r>
        <w:rPr>
          <w:rFonts w:ascii="Arial" w:cs="Arial" w:eastAsia="Arial" w:hAnsi="Arial"/>
          <w:sz w:val="18"/>
          <w:szCs w:val="18"/>
          <w:color w:val="auto"/>
        </w:rPr>
        <w:t>to consulting and management service fees charged by this investor.</w:t>
      </w:r>
    </w:p>
    <w:p>
      <w:pPr>
        <w:spacing w:after="0" w:line="169" w:lineRule="exact"/>
        <w:rPr>
          <w:sz w:val="20"/>
          <w:szCs w:val="20"/>
          <w:color w:val="auto"/>
        </w:rPr>
      </w:pPr>
    </w:p>
    <w:p>
      <w:pPr>
        <w:ind w:right="80" w:firstLine="648"/>
        <w:spacing w:after="0" w:line="183" w:lineRule="exact"/>
        <w:rPr>
          <w:sz w:val="20"/>
          <w:szCs w:val="20"/>
          <w:color w:val="auto"/>
        </w:rPr>
      </w:pPr>
      <w:r>
        <w:rPr>
          <w:rFonts w:ascii="Arial" w:cs="Arial" w:eastAsia="Arial" w:hAnsi="Arial"/>
          <w:sz w:val="18"/>
          <w:szCs w:val="18"/>
          <w:color w:val="auto"/>
        </w:rPr>
        <w:t>During the three months ended March 31, 2018, the Company recognized $0.5 million of revenue associated with the Sanofi Genzyme Collaboration Agreement related to research and development services provided during this period. During the three months ended March 31, 2017, the Company recognized $1.5 million of revenue associated with the Sanofi Genzyme Collaboration Agreement related to research and development services provided during the period. The Company also recognized $0.2 million and $43.8 thousand of expense during the three months ended March 31, 2018 and 2017, respectively, related to in</w:t>
      </w:r>
      <w:r>
        <w:rPr>
          <w:rFonts w:ascii="MS PGothic" w:cs="MS PGothic" w:eastAsia="MS PGothic" w:hAnsi="MS PGothic"/>
          <w:sz w:val="18"/>
          <w:szCs w:val="18"/>
          <w:color w:val="auto"/>
        </w:rPr>
        <w:t>‑</w:t>
      </w:r>
      <w:r>
        <w:rPr>
          <w:rFonts w:ascii="Arial" w:cs="Arial" w:eastAsia="Arial" w:hAnsi="Arial"/>
          <w:sz w:val="18"/>
          <w:szCs w:val="18"/>
          <w:color w:val="auto"/>
        </w:rPr>
        <w:t>kind services provided by Sanofi Genzyme associated with the Sanofi Genzyme Collaboration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840" w:right="140" w:hanging="842"/>
        <w:spacing w:after="0" w:line="237" w:lineRule="auto"/>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2"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financial information and the notes thereto included in our Annual Report on Form 10-K for the year ended December 31, 2017, which was filed with the Securities and Exchange Commission, or the SEC, on March 14, 2018.</w:t>
      </w:r>
    </w:p>
    <w:p>
      <w:pPr>
        <w:spacing w:after="0" w:line="162"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p>
    <w:p>
      <w:pPr>
        <w:spacing w:after="0" w:line="162" w:lineRule="exact"/>
        <w:rPr>
          <w:sz w:val="20"/>
          <w:szCs w:val="20"/>
          <w:color w:val="auto"/>
        </w:rPr>
      </w:pPr>
    </w:p>
    <w:p>
      <w:pPr>
        <w:ind w:right="280" w:firstLine="648"/>
        <w:spacing w:after="0" w:line="289" w:lineRule="auto"/>
        <w:rPr>
          <w:sz w:val="20"/>
          <w:szCs w:val="20"/>
          <w:color w:val="auto"/>
        </w:rPr>
      </w:pPr>
      <w:r>
        <w:rPr>
          <w:rFonts w:ascii="Arial" w:cs="Arial" w:eastAsia="Arial" w:hAnsi="Arial"/>
          <w:sz w:val="16"/>
          <w:szCs w:val="16"/>
          <w:i w:val="1"/>
          <w:iCs w:val="1"/>
          <w:color w:val="auto"/>
        </w:rPr>
        <w:t>The following information and any forward-looking statements should be considered in light of factors discussed elsewhere in the Quarterly Report on Form 10-Q, including those risks identified under Part II, Item 1-A. Risk Factors.</w:t>
      </w:r>
    </w:p>
    <w:p>
      <w:pPr>
        <w:spacing w:after="0" w:line="124"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i w:val="1"/>
          <w:iCs w:val="1"/>
          <w:color w:val="auto"/>
        </w:rPr>
        <w:t>These forward-looking statements are made under the safe harbor provisions of Section 27A of the Securities Act of 1933, as amended, or the Securities Act, and Section 21E of the Securities Exchange Act of 1934, as amended. These statements are neither promises nor guarantees. 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We are a clinical-stage gene therapy company focused on developing life-changing treatments for patients suffering from severe neurological diseases. We focus on neurological diseases where we believe an adeno-associated virus, or AAV, gene therapy approach that either increases or decreases the production of a specific protein can slow or reduce the symptoms experienced by patients, and therefore have a clinically meaningful impact. We have built a gene therapy platform, that we believe positions us to be a leading company at the intersection of AAV gene therapy and severe neurological disease. Our gene therapy platform enables us to engineer, optimize, manufacture and deliver our AAV-based gene therapies that have the potential to provide durable efficacy following a single administration. Additionally, we are working to identify novel AAV capsids, which are the outer viral protein shells that enclose the genetic material of the virus payload. Our team of experts in the fields of AAV gene therapy and neuroscience first identifies and selects severe neurological diseases that are well-suited for treatment using AAV gene therapy. We then engineer and optimize AAV vectors for delivery of the virus payload to the targeted tissue or cells. Our manufacturing process employs an established system that we believe will enable production of high quality AAV vectors at commercial-scale. Finally, we leverage established routes of administration and advances in dosing techniques to optimize delivery of our AAV gene therapies to target cells that are critical to the disease of interest either directly to discrete regions of the brain, or, more broadly, to the spinal cord region.</w:t>
      </w:r>
    </w:p>
    <w:p>
      <w:pPr>
        <w:spacing w:after="0" w:line="163"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Since our inception, our operations have focused on organizing and staffing our company, business planning, raising capital, establishing our intellectual property portfolio, determining which neurological diseases to pursue and conducting preclinical studies and clinical trials. We do not have any product candidates approved for sale and have not generated any revenue from product sales. We have funded our operations primarily through private placements of redeemable convertible preferred stock, public offerings of our common stock, and our collaborations with Sanofi Genzyme, or the Sanofi Genzyme Collaboration, which commenced in February 2015 and AbbVie, or the AbbVie Collaboration, which commenced in February 2018.</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pipeline of gene therapy programs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135255</wp:posOffset>
            </wp:positionV>
            <wp:extent cx="5360035" cy="3447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6003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9" w:firstLine="648"/>
        <w:spacing w:after="0" w:line="216" w:lineRule="auto"/>
        <w:rPr>
          <w:sz w:val="20"/>
          <w:szCs w:val="20"/>
          <w:color w:val="auto"/>
        </w:rPr>
      </w:pPr>
      <w:r>
        <w:rPr>
          <w:rFonts w:ascii="Arial" w:cs="Arial" w:eastAsia="Arial" w:hAnsi="Arial"/>
          <w:sz w:val="18"/>
          <w:szCs w:val="18"/>
          <w:color w:val="auto"/>
        </w:rPr>
        <w:t>Our pipeline consists of six programs for severe neurological indications, including Parkinson’s disease; a monogenic form of amyotrophic lateral sclerosis, or ALS; Huntington’s disease; Friedreich’s ataxia; tau-related diseases including Alzheimer’s disease, frontotemporal dementia, and progressive supranuclear palsy; and severe, chronic pain. Our product candidates may be eligible for orphan drug designation, breakthrough therapy designation, or other expedited review processes in the U.S., Europe, and Japan.</w:t>
      </w:r>
    </w:p>
    <w:p>
      <w:pPr>
        <w:spacing w:after="0" w:line="162"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Our most advanced clinical candidate, VY-AADC for the treatment of Parkinson’s disease, is being evaluated in an open-label, Phase 1b clinical trial. Preliminary data from Cohorts 1 through 3 from this trial were reported beginning in late 2016 and most recently in March 2018. As discussed more fully in our most recent Annual Report on Form 10-K, the results of this Phase 1b clinical trial continue to demonstrate durable, dose-dependent and time-dependent improvements across multiple measures of patients’ motor function after a one-time administration of the gene therapy. These measures include patient-reported diaries, Parkinson’s disease rating scales, and quality of life, with diary on-time without troublesome dyskinesia at twelve months as the proposed primary endpoint of the planned pivotal program. Infusions of VY-AADC have been well-tolerated in all fifteen patients treated in these Cohorts with no vector-related serious adverse events, or SAEs. Fourteen of the 15 patients were discharged from the hospital within two days following surgery. As previously reported, one patient experienced two SAEs: a pulmonary embolism or blood clot in the lungs, and related heart arrhythmia or irregular heartbeat. Investigators determined that these SAEs were most likely related to immobility during the administration of the product; consequently, deep vein thrombosis prophylaxis has been added to the clinical trial protocol.</w:t>
      </w:r>
    </w:p>
    <w:p>
      <w:pPr>
        <w:spacing w:after="0" w:line="170" w:lineRule="exact"/>
        <w:rPr>
          <w:sz w:val="20"/>
          <w:szCs w:val="20"/>
          <w:color w:val="auto"/>
        </w:rPr>
      </w:pPr>
    </w:p>
    <w:p>
      <w:pPr>
        <w:ind w:right="39" w:firstLine="648"/>
        <w:spacing w:after="0" w:line="229" w:lineRule="auto"/>
        <w:rPr>
          <w:sz w:val="20"/>
          <w:szCs w:val="20"/>
          <w:color w:val="auto"/>
        </w:rPr>
      </w:pPr>
      <w:r>
        <w:rPr>
          <w:rFonts w:ascii="Arial" w:cs="Arial" w:eastAsia="Arial" w:hAnsi="Arial"/>
          <w:sz w:val="17"/>
          <w:szCs w:val="17"/>
          <w:color w:val="auto"/>
        </w:rPr>
        <w:t>In December 2017, we submitted an investigational new drug, or IND, application to the U.S. Food and Drug Administration, or FDA, for VY-AADC for a vector produced using our baculovirus/Sf9 system, as opposed to the vector manufactured using human embryonic kidney, or HEK293, cells which we have used in prior clinical trials including the ongoing Phase 1b clinical trial. This IND, which has subsequently become effective, allows us to initiate clinical trials and to begin screening and dosing patients in our planned pivotal Phase 2-3 clinical program. Clinical trial</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sites have been identified, and we plan to dose the first patient in this planned pivotal Phase 2-3 clinical program for Parkinson’s disease in mid-2018. We are evaluating the dose that we may use in our planned Phase 2-3 program, as informed by our ongoing clinical trials. The dose that we select may not be the same as any dose given to a cohort in our Phase 1b clinical trial. In February 2018, the FDA granted fast track designation to VY-AADC.</w:t>
      </w:r>
    </w:p>
    <w:p>
      <w:pPr>
        <w:spacing w:after="0" w:line="10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a separate Phase 1 clinical trial, we are also exploring a posterior, or back of the head, delivery approach of drug into the putamen, compared to a transfrontal, or top of the head, delivery approach used in Cohorts 1 through 3 of the ongoing Phase 1b clinical trial described above. During 2017, we dosed seven patients in this Phase 1 clinical trial designed to optimize the intracranial delivery of VY-AADC. In April 2018, we subsequently completed dosing an eighth patient. A posterior approach better aligns the infusion of VY-AADC with the anatomical structure of the putamen to potentially reduce the total procedure time and increase the total coverage of the putamen. Administration of VY-AADC with this posterior approach has been well-tolerated with no reported SAEs, with most patients discharged from the hospital the day after surgery. This trial utilized the same dose concentration as Cohort 3 of our Phase 1b clinical trial at a higher volume, yielding a total dose of up to 9.0×10</w:t>
      </w:r>
      <w:r>
        <w:rPr>
          <w:rFonts w:ascii="Arial" w:cs="Arial" w:eastAsia="Arial" w:hAnsi="Arial"/>
          <w:sz w:val="17"/>
          <w:szCs w:val="17"/>
          <w:color w:val="auto"/>
          <w:vertAlign w:val="superscript"/>
        </w:rPr>
        <w:t>12</w:t>
      </w:r>
      <w:r>
        <w:rPr>
          <w:rFonts w:ascii="Arial" w:cs="Arial" w:eastAsia="Arial" w:hAnsi="Arial"/>
          <w:sz w:val="17"/>
          <w:szCs w:val="17"/>
          <w:color w:val="auto"/>
        </w:rPr>
        <w:t xml:space="preserve"> vg compared with a total dose of up to 4.5×10</w:t>
      </w:r>
      <w:r>
        <w:rPr>
          <w:rFonts w:ascii="Arial" w:cs="Arial" w:eastAsia="Arial" w:hAnsi="Arial"/>
          <w:sz w:val="17"/>
          <w:szCs w:val="17"/>
          <w:color w:val="auto"/>
          <w:vertAlign w:val="superscript"/>
        </w:rPr>
        <w:t>12</w:t>
      </w:r>
      <w:r>
        <w:rPr>
          <w:rFonts w:ascii="Arial" w:cs="Arial" w:eastAsia="Arial" w:hAnsi="Arial"/>
          <w:sz w:val="17"/>
          <w:szCs w:val="17"/>
          <w:color w:val="auto"/>
        </w:rPr>
        <w:t xml:space="preserve"> vg in Cohort 3. The posterior approach was associated with greater average putaminal coverage (approximately 50%) and reduced average administration times compared with the transfrontal approach of Cohorts 1 through 3 in the Phase 1 clinical trial. In the second quarter of 2018, we expect to provide preliminary safety and motor-function data for patients who have reached the six-month endpoint in this Phase 1b clinical trial.</w:t>
      </w:r>
    </w:p>
    <w:p>
      <w:pPr>
        <w:spacing w:after="0" w:line="169"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We are pursuing additional product candidates in the preclinical stages of development, including treatment programs for ALS, Huntington’s disease, Friedreich’s ataxia, tau-related neurodegenerative diseases and the treatment of severe, chronic pain. We plan to file two INDs from our ALS, Huntington’s disease and Friedreich’s ataxia programs during 2019. In late 2017, we initiated additional preclinical studies to further optimize our ALS program’s therapeutic approach, including exploration of additional routes of administration and novel AAV capsids in large animal models. Additionally, in 2017, we selected VY-HTT01 as our clinical candidate for the treatment of Huntington’s disease. Further optimization of routes of administration is underway to support filing of an IND application. We have begun additional preclinical studies to identify a lead clinical candidate for the treatment of Friedreich’s ataxia, with a goal of identifying a lead candidate during the second-half of 2018. In February 2018, we announced a global, strategic collaboration with AbbVie Biotechnology Ltd, or AbbVie, to develop potential new gene therapies consisting of vectors to deliver monoclonal antibodies to the brain directed against tau for Alzheimer’s disease and other tau-related neurodegenerative diseases. We are conducting proof-of-concept studies on our VY-NAV01 program for the treatment of severe, chronic pain. Additionally, we continue to evaluate additional severe neurological diseases that could be treated using AAV gene therapy through application of either a gene replacement or a gene knockdown approach. Beyond these approaches, we are also actively exploring additional potential treatment methods that can utilize an AAV vector, including gene editing to correct or delete a gene in the cell genome.</w:t>
      </w:r>
    </w:p>
    <w:p>
      <w:pPr>
        <w:spacing w:after="0" w:line="170"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Finally, we are also developing our own real-time, intra-operative, MRI-compatible device, the Voyager Trajectory Array Guide, or V-TAG™, that can be used with other neuro-navigational systems for the administration of drug to the putamen and other surgical procedures to avoid blood vessels and reduce the risk of potential hemorrhage during surgery and to maximize drug coverage of the putamen. Investigators have used an alternative MRI-compatible device called the ClearPoint Systemin our Phase 1b clinical trial of VY-AADC and Phase 1 posterior trajectory trial. We filed an application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510(k) clearance for V-TAG with the FDA in March 2018.</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incurred significant operating losses since our inception. Our net losses were $19.9 million for the three</w:t>
      </w:r>
    </w:p>
    <w:p>
      <w:pPr>
        <w:spacing w:after="0" w:line="224" w:lineRule="auto"/>
        <w:rPr>
          <w:sz w:val="20"/>
          <w:szCs w:val="20"/>
          <w:color w:val="auto"/>
        </w:rPr>
      </w:pPr>
      <w:r>
        <w:rPr>
          <w:rFonts w:ascii="Arial" w:cs="Arial" w:eastAsia="Arial" w:hAnsi="Arial"/>
          <w:sz w:val="17"/>
          <w:szCs w:val="17"/>
          <w:color w:val="auto"/>
        </w:rPr>
        <w:t>months ended March 31, 2018. As of March 31, 2018, we had an accumulated deficit of $200.7 million, which included a</w:t>
      </w:r>
    </w:p>
    <w:p>
      <w:pPr>
        <w:spacing w:after="0" w:line="229" w:lineRule="auto"/>
        <w:rPr>
          <w:sz w:val="20"/>
          <w:szCs w:val="20"/>
          <w:color w:val="auto"/>
        </w:rPr>
      </w:pPr>
      <w:r>
        <w:rPr>
          <w:rFonts w:ascii="Arial" w:cs="Arial" w:eastAsia="Arial" w:hAnsi="Arial"/>
          <w:sz w:val="16"/>
          <w:szCs w:val="16"/>
          <w:color w:val="auto"/>
        </w:rPr>
        <w:t xml:space="preserve">$20.0 million cumulative catch-up adjustment related to the adoption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216" w:lineRule="auto"/>
        <w:rPr>
          <w:sz w:val="20"/>
          <w:szCs w:val="20"/>
          <w:color w:val="auto"/>
        </w:rPr>
      </w:pPr>
      <w:r>
        <w:rPr>
          <w:rFonts w:ascii="Arial" w:cs="Arial" w:eastAsia="Arial" w:hAnsi="Arial"/>
          <w:sz w:val="17"/>
          <w:szCs w:val="17"/>
          <w:color w:val="auto"/>
        </w:rPr>
        <w:t>or ASC 606. We expect to continue to incur significant expenses and operating losses for the foreseeable future. We</w:t>
      </w:r>
    </w:p>
    <w:p>
      <w:pPr>
        <w:spacing w:after="0"/>
        <w:rPr>
          <w:sz w:val="20"/>
          <w:szCs w:val="20"/>
          <w:color w:val="auto"/>
        </w:rPr>
      </w:pPr>
      <w:r>
        <w:rPr>
          <w:rFonts w:ascii="Arial" w:cs="Arial" w:eastAsia="Arial" w:hAnsi="Arial"/>
          <w:sz w:val="18"/>
          <w:szCs w:val="18"/>
          <w:color w:val="auto"/>
        </w:rPr>
        <w:t>anticipate that our expenses will increase significantly in connection with our ongoing activities, if and as we:</w:t>
      </w:r>
    </w:p>
    <w:p>
      <w:pPr>
        <w:spacing w:after="0" w:line="61" w:lineRule="exact"/>
        <w:rPr>
          <w:sz w:val="20"/>
          <w:szCs w:val="20"/>
          <w:color w:val="auto"/>
        </w:rPr>
      </w:pPr>
    </w:p>
    <w:p>
      <w:pPr>
        <w:ind w:left="980" w:right="140" w:hanging="329"/>
        <w:spacing w:after="0" w:line="24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investing in our gene therapy platform to optimize vector engineering, manufacturing and dosing and delivery techniques;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right="299" w:hanging="329"/>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advance our clinical candidate, VY-AADC, through the current Phase 1b clinical trial and into a planned pivotal Phase 2-3 clinical program as a treatment for Parkinson’s disease;</w:t>
      </w:r>
    </w:p>
    <w:p>
      <w:pPr>
        <w:spacing w:after="0" w:line="169" w:lineRule="exact"/>
        <w:rPr>
          <w:rFonts w:ascii="Arial" w:cs="Arial" w:eastAsia="Arial" w:hAnsi="Arial"/>
          <w:sz w:val="18"/>
          <w:szCs w:val="18"/>
          <w:color w:val="auto"/>
        </w:rPr>
      </w:pPr>
    </w:p>
    <w:p>
      <w:pPr>
        <w:ind w:left="980" w:right="39" w:hanging="329"/>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and continue research and development of, our other programs;</w:t>
      </w:r>
    </w:p>
    <w:p>
      <w:pPr>
        <w:spacing w:after="0" w:line="169" w:lineRule="exact"/>
        <w:rPr>
          <w:rFonts w:ascii="Arial" w:cs="Arial" w:eastAsia="Arial" w:hAnsi="Arial"/>
          <w:sz w:val="18"/>
          <w:szCs w:val="18"/>
          <w:color w:val="auto"/>
        </w:rPr>
      </w:pPr>
    </w:p>
    <w:p>
      <w:pPr>
        <w:ind w:left="980" w:right="279" w:hanging="329"/>
        <w:spacing w:after="0" w:line="266"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conduct joint research and development under our strategic collaboration with AbbVie for the research, development, and commercialization of adeno-associated virus, or AAV, and other virus-based gene therapy products for the treatment of diseases of the central nervous system and other neurodegenerative diseases related to defective or excess aggregation of tau protein in the human brain, including Alzheimer’s disease;</w:t>
      </w:r>
    </w:p>
    <w:p>
      <w:pPr>
        <w:spacing w:after="0" w:line="156" w:lineRule="exact"/>
        <w:rPr>
          <w:rFonts w:ascii="Arial" w:cs="Arial" w:eastAsia="Arial" w:hAnsi="Arial"/>
          <w:sz w:val="16"/>
          <w:szCs w:val="16"/>
          <w:color w:val="auto"/>
        </w:rPr>
      </w:pPr>
    </w:p>
    <w:p>
      <w:pPr>
        <w:ind w:left="980" w:right="799" w:hanging="329"/>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our process research and development activities, as well as establish our research-grade and commercial manufacturing capabilities;</w:t>
      </w:r>
    </w:p>
    <w:p>
      <w:pPr>
        <w:spacing w:after="0" w:line="169" w:lineRule="exact"/>
        <w:rPr>
          <w:rFonts w:ascii="Arial" w:cs="Arial" w:eastAsia="Arial" w:hAnsi="Arial"/>
          <w:sz w:val="18"/>
          <w:szCs w:val="18"/>
          <w:color w:val="auto"/>
        </w:rPr>
      </w:pPr>
    </w:p>
    <w:p>
      <w:pPr>
        <w:ind w:left="980" w:right="359" w:hanging="329"/>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additional neurological diseases for treatment with our AAV gene therapies and develop additional programs or product candidates;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 to identify and optimize novel AAV capsids;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and obtain regulatory clearance for devices to deliver our AAV gene therapies;</w:t>
      </w:r>
    </w:p>
    <w:p>
      <w:pPr>
        <w:spacing w:after="0" w:line="198" w:lineRule="exact"/>
        <w:rPr>
          <w:rFonts w:ascii="Arial" w:cs="Arial" w:eastAsia="Arial" w:hAnsi="Arial"/>
          <w:sz w:val="18"/>
          <w:szCs w:val="18"/>
          <w:color w:val="auto"/>
        </w:rPr>
      </w:pPr>
    </w:p>
    <w:p>
      <w:pPr>
        <w:ind w:left="980" w:right="139" w:hanging="329"/>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marketing and regulatory approvals for VY-AADC or other product candidates or devices that arise from our programs that successfully complete clinical development;</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98" w:lineRule="exact"/>
        <w:rPr>
          <w:rFonts w:ascii="Arial" w:cs="Arial" w:eastAsia="Arial" w:hAnsi="Arial"/>
          <w:sz w:val="18"/>
          <w:szCs w:val="18"/>
          <w:color w:val="auto"/>
        </w:rPr>
      </w:pPr>
    </w:p>
    <w:p>
      <w:pPr>
        <w:ind w:left="980" w:right="219" w:hanging="329"/>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169" w:lineRule="exact"/>
        <w:rPr>
          <w:rFonts w:ascii="Arial" w:cs="Arial" w:eastAsia="Arial" w:hAnsi="Arial"/>
          <w:sz w:val="18"/>
          <w:szCs w:val="18"/>
          <w:color w:val="auto"/>
        </w:rPr>
      </w:pPr>
    </w:p>
    <w:p>
      <w:pPr>
        <w:ind w:left="980" w:right="179" w:hanging="329"/>
        <w:spacing w:after="0" w:line="307"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personnel, including personnel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980" w:right="759" w:hanging="329"/>
        <w:spacing w:after="0" w:line="24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product liability and clinical trial insurance coverage as we expand our clinical trials and commercialization efforts; and</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39" w:firstLine="648"/>
        <w:spacing w:after="0" w:line="229"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product sales for the foreseeable future. For the three months ended March 31, 2018, we recognized $0.5 million of collaboration revenue from our collaboration with Sanofi Genzyme and $0.4 million of collaboration revenue from our collaboration with AbbVie. For additional information about our revenue recognition policy related to collaborations, see the section titled “—Critical Accounting Policies and Estimates—Revenue.”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99" w:firstLine="648"/>
        <w:spacing w:after="0" w:line="224" w:lineRule="auto"/>
        <w:rPr>
          <w:sz w:val="20"/>
          <w:szCs w:val="20"/>
          <w:color w:val="auto"/>
        </w:rPr>
      </w:pPr>
      <w:r>
        <w:rPr>
          <w:rFonts w:ascii="Arial" w:cs="Arial" w:eastAsia="Arial" w:hAnsi="Arial"/>
          <w:sz w:val="18"/>
          <w:szCs w:val="18"/>
          <w:color w:val="auto"/>
        </w:rPr>
        <w:t>For the foreseeable future, we expect substantially all of our revenue will be generated from our collaboration agreements with Sanofi Genzyme and AbbVie, and any other strategic relationships we may enter into. If our development efforts are successful, we may also generate revenue from product sales.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319" w:firstLine="648"/>
        <w:spacing w:after="0" w:line="289" w:lineRule="auto"/>
        <w:rPr>
          <w:sz w:val="20"/>
          <w:szCs w:val="20"/>
          <w:color w:val="auto"/>
        </w:rPr>
      </w:pPr>
      <w:r>
        <w:rPr>
          <w:rFonts w:ascii="Arial" w:cs="Arial" w:eastAsia="Arial" w:hAnsi="Arial"/>
          <w:sz w:val="16"/>
          <w:szCs w:val="16"/>
          <w:color w:val="auto"/>
        </w:rPr>
        <w:t>Research and development expenses consist primarily of costs incurred for our research activities, including our program discovery efforts, and the development of our programs and gene therapy platform, which include:</w:t>
      </w:r>
    </w:p>
    <w:p>
      <w:pPr>
        <w:spacing w:after="0" w:line="124" w:lineRule="exact"/>
        <w:rPr>
          <w:sz w:val="20"/>
          <w:szCs w:val="20"/>
          <w:color w:val="auto"/>
        </w:rPr>
      </w:pPr>
    </w:p>
    <w:p>
      <w:pPr>
        <w:ind w:left="980" w:hanging="329"/>
        <w:spacing w:after="0" w:line="207"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98" w:lineRule="exact"/>
        <w:rPr>
          <w:rFonts w:ascii="Arial" w:cs="Arial" w:eastAsia="Arial" w:hAnsi="Arial"/>
          <w:sz w:val="18"/>
          <w:szCs w:val="18"/>
          <w:color w:val="auto"/>
        </w:rPr>
      </w:pPr>
    </w:p>
    <w:p>
      <w:pPr>
        <w:ind w:left="980" w:right="619" w:hanging="329"/>
        <w:spacing w:after="0" w:line="24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 that conduct research and development, preclinical activities, manufacturing and production design on our behalf;</w:t>
      </w:r>
    </w:p>
    <w:p>
      <w:pPr>
        <w:spacing w:after="0" w:line="169" w:lineRule="exact"/>
        <w:rPr>
          <w:rFonts w:ascii="Arial" w:cs="Arial" w:eastAsia="Arial" w:hAnsi="Arial"/>
          <w:sz w:val="18"/>
          <w:szCs w:val="18"/>
          <w:color w:val="auto"/>
        </w:rPr>
      </w:pPr>
    </w:p>
    <w:p>
      <w:pPr>
        <w:ind w:left="980" w:right="19" w:hanging="329"/>
        <w:spacing w:after="0" w:line="210"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designing, developing and manufacturing preclinical study materials;</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98"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for maintaining licenses under our third</w:t>
      </w:r>
      <w:r>
        <w:rPr>
          <w:rFonts w:ascii="MS PGothic" w:cs="MS PGothic" w:eastAsia="MS PGothic" w:hAnsi="MS PGothic"/>
          <w:sz w:val="18"/>
          <w:szCs w:val="18"/>
          <w:color w:val="auto"/>
        </w:rPr>
        <w:t>‑</w:t>
      </w:r>
      <w:r>
        <w:rPr>
          <w:rFonts w:ascii="Arial" w:cs="Arial" w:eastAsia="Arial" w:hAnsi="Arial"/>
          <w:sz w:val="18"/>
          <w:szCs w:val="18"/>
          <w:color w:val="auto"/>
        </w:rPr>
        <w:t>party licensing agreements.</w:t>
      </w:r>
    </w:p>
    <w:p>
      <w:pPr>
        <w:spacing w:after="0" w:line="198" w:lineRule="exact"/>
        <w:rPr>
          <w:sz w:val="20"/>
          <w:szCs w:val="20"/>
          <w:color w:val="auto"/>
        </w:rPr>
      </w:pPr>
    </w:p>
    <w:p>
      <w:pPr>
        <w:jc w:val="both"/>
        <w:ind w:right="499" w:firstLine="648"/>
        <w:spacing w:after="0" w:line="259" w:lineRule="auto"/>
        <w:rPr>
          <w:sz w:val="20"/>
          <w:szCs w:val="20"/>
          <w:color w:val="auto"/>
        </w:rPr>
      </w:pPr>
      <w:r>
        <w:rPr>
          <w:rFonts w:ascii="Arial" w:cs="Arial" w:eastAsia="Arial" w:hAnsi="Arial"/>
          <w:sz w:val="16"/>
          <w:szCs w:val="16"/>
          <w:color w:val="auto"/>
        </w:rPr>
        <w:t>Research and development costs are expensed as incurred. Costs for certain activities, such as manufacturing, preclinical studies, and clinical trials, are generally recognized based on an evaluation of the progress to completion of specific tasks using information and data provided to us by our vendors and collaborators.</w:t>
      </w:r>
    </w:p>
    <w:p>
      <w:pPr>
        <w:spacing w:after="0" w:line="147" w:lineRule="exact"/>
        <w:rPr>
          <w:sz w:val="20"/>
          <w:szCs w:val="20"/>
          <w:color w:val="auto"/>
        </w:rPr>
      </w:pPr>
    </w:p>
    <w:p>
      <w:pPr>
        <w:ind w:right="19" w:firstLine="648"/>
        <w:spacing w:after="0" w:line="232"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163" w:lineRule="exact"/>
        <w:rPr>
          <w:sz w:val="20"/>
          <w:szCs w:val="20"/>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98"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manufacturers;</w:t>
      </w:r>
    </w:p>
    <w:p>
      <w:pPr>
        <w:spacing w:after="0" w:line="221" w:lineRule="exact"/>
        <w:rPr>
          <w:rFonts w:ascii="Arial" w:cs="Arial" w:eastAsia="Arial" w:hAnsi="Arial"/>
          <w:sz w:val="16"/>
          <w:szCs w:val="16"/>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commercializing the product candidates, if and when approved, whether alone or in collaboration with others;</w:t>
      </w:r>
    </w:p>
    <w:p>
      <w:pPr>
        <w:spacing w:after="0" w:line="180" w:lineRule="exact"/>
        <w:rPr>
          <w:rFonts w:ascii="Arial" w:cs="Arial" w:eastAsia="Arial" w:hAnsi="Arial"/>
          <w:sz w:val="16"/>
          <w:szCs w:val="16"/>
          <w:color w:val="auto"/>
        </w:rPr>
      </w:pPr>
    </w:p>
    <w:p>
      <w:pPr>
        <w:ind w:left="980" w:right="679" w:hanging="329"/>
        <w:spacing w:after="0" w:line="24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29"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acceptable safety profiles of the products following approval; and</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124"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Research and development activities are central to our business model. We expect research and development costs to increase significantly for the foreseeable future as our development programs progress, including as we continue to support the Phase 1b clinical trial and initiate the planned pivotal Phase 2-3 clinical trial of VY</w:t>
      </w:r>
      <w:r>
        <w:rPr>
          <w:rFonts w:ascii="MS PGothic" w:cs="MS PGothic" w:eastAsia="MS PGothic" w:hAnsi="MS PGothic"/>
          <w:sz w:val="17"/>
          <w:szCs w:val="17"/>
          <w:color w:val="auto"/>
        </w:rPr>
        <w:t>‑</w:t>
      </w:r>
      <w:r>
        <w:rPr>
          <w:rFonts w:ascii="Arial" w:cs="Arial" w:eastAsia="Arial" w:hAnsi="Arial"/>
          <w:sz w:val="17"/>
          <w:szCs w:val="17"/>
          <w:color w:val="auto"/>
        </w:rPr>
        <w:t>AADC as a treatment for Parkinson’s disease, and move such product candidates into additional clinical trials. Additionally, we expect research and development costs associated with activities under the AbbVie Collaboration to increase as our efforts on the Tau Program expand.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220" w:firstLine="648"/>
        <w:spacing w:after="0" w:line="189" w:lineRule="exact"/>
        <w:rPr>
          <w:sz w:val="20"/>
          <w:szCs w:val="20"/>
          <w:color w:val="auto"/>
        </w:rPr>
      </w:pPr>
      <w:r>
        <w:rPr>
          <w:rFonts w:ascii="Arial" w:cs="Arial" w:eastAsia="Arial" w:hAnsi="Arial"/>
          <w:sz w:val="16"/>
          <w:szCs w:val="16"/>
          <w:color w:val="auto"/>
        </w:rPr>
        <w:t>General and administrative expenses consist primarily of salaries and other 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accounting, business development, legal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164" w:lineRule="exact"/>
        <w:rPr>
          <w:sz w:val="20"/>
          <w:szCs w:val="20"/>
          <w:color w:val="auto"/>
        </w:rPr>
      </w:pPr>
    </w:p>
    <w:p>
      <w:pPr>
        <w:ind w:right="80" w:firstLine="648"/>
        <w:spacing w:after="0" w:line="183" w:lineRule="exact"/>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including the continuation of the Phase 1b clinical trial and planned pivotal Phase 2-3 clinical trial of VY</w:t>
      </w:r>
      <w:r>
        <w:rPr>
          <w:rFonts w:ascii="MS PGothic" w:cs="MS PGothic" w:eastAsia="MS PGothic" w:hAnsi="MS PGothic"/>
          <w:sz w:val="18"/>
          <w:szCs w:val="18"/>
          <w:color w:val="auto"/>
        </w:rPr>
        <w:t>‑</w:t>
      </w:r>
      <w:r>
        <w:rPr>
          <w:rFonts w:ascii="Arial" w:cs="Arial" w:eastAsia="Arial" w:hAnsi="Arial"/>
          <w:sz w:val="18"/>
          <w:szCs w:val="18"/>
          <w:color w:val="auto"/>
        </w:rPr>
        <w:t>AADC, the expanded efforts on the Tau Program in connection with the AbbVie Collaboration, and the initiation of clinical trials for our other product candidates. These increases will likely include increased costs related to the hiring of additional personnel and fees to outside consultants. We also anticipate increased expenses associated with being a public company, including costs for audit, legal, regulatory and tax</w:t>
      </w:r>
      <w:r>
        <w:rPr>
          <w:rFonts w:ascii="MS PGothic" w:cs="MS PGothic" w:eastAsia="MS PGothic" w:hAnsi="MS PGothic"/>
          <w:sz w:val="18"/>
          <w:szCs w:val="18"/>
          <w:color w:val="auto"/>
        </w:rPr>
        <w:t>‑</w:t>
      </w:r>
      <w:r>
        <w:rPr>
          <w:rFonts w:ascii="Arial" w:cs="Arial" w:eastAsia="Arial" w:hAnsi="Arial"/>
          <w:sz w:val="18"/>
          <w:szCs w:val="18"/>
          <w:color w:val="auto"/>
        </w:rPr>
        <w:t>related services, director and officer insurance premiums and investor relations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Recently Adopted Accounting Pronouncements</w:t>
      </w:r>
      <w:r>
        <w:rPr>
          <w:rFonts w:ascii="Arial" w:cs="Arial" w:eastAsia="Arial" w:hAnsi="Arial"/>
          <w:sz w:val="16"/>
          <w:szCs w:val="16"/>
          <w:color w:val="auto"/>
        </w:rPr>
        <w:t>” below for discussion of our adoption of new revenue recognition guidance using the modified retrospective method as of January 1, 2018. All amounts and disclosures set forth in this Management’s Discussion and Analysis of Financial Condition and Results of Operations reflect these changes.</w:t>
      </w:r>
    </w:p>
    <w:p>
      <w:pPr>
        <w:spacing w:after="0" w:line="147"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We have prepared our financial statements in accordance with U.S. generally accepted accounting principles. Our preparation of these financial statements requires us to make estimates, assumptions, and judgments that affect the reported amounts of assets, liabilities, expenses, and related disclosures at the date of the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Effective January 1, 2018, we adopted the provisions of ASC 606 using the modified retrospective transition method. Under this method, we recorded the cumulative effect of initially applying the new standard to all contracts as of the date of adoption.</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enter into collaboration agreements which are within the scope of ASC 606, under which we license rights to certain of our product candidates and perform research and development services. The terms of these arrangements typically include payment of one or more of the following: non-refundable, upfront fees; reimbursement of research and development costs; development, regulatory and commercial milestone payments, and royalties on net sales of licensed products.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consideration we are entitled to in exchange for the goods or services we transfer to the customer.</w:t>
      </w:r>
    </w:p>
    <w:p>
      <w:pPr>
        <w:spacing w:after="0" w:line="18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promised good or services in our arrangement typically consist of license rights to our intellectual property or research and development services. We provide options to additional items in the contracts, which are accounted for as separate contracts when the customer elects to exercise such options, unless the option provides a material right to the customer.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 or services are distinct, we consider factors such as the stage of development of the underlying intellectual property, the capabilities of the customer to develop the intellectual property on their own or whether the required expertise is readily available and whether the goods or services are integral or dependent to other goods or services in the contract.</w:t>
      </w:r>
    </w:p>
    <w:p>
      <w:pPr>
        <w:spacing w:after="0" w:line="16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estimate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we evaluate the amount of potential payment and the likelihood that the payments will be received. We utilize either the most likely amount method or expected amount method to estimate the amount expected to be received based on which method best predicts the amount expected to be received. The amount of variable consideration which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7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Our contracts often include development and regulatory milestone payments which are assessed under the most likely amount method and constrained if it is probable that a significant revenue reversal would occur. Milestone payments that are not within our control or the licensee’s control, such as regulatory approvals, are not considered probable of being achieved until those approvals are received. At the end of each reporting period, we re-evaluate the probability of achievement of such development milestones and any related constraint, and if necessary, adjust our estimate of the overall transaction price. Any such adjustments are recorded on a cumulative catch-up basis, which would affect collaboration revenues in the period of adjustment. To date, we have not recognized any consideration related to the achievement of development, regulatory, or commercial milestone revenue resulting from any of our collaboration arrangements.</w:t>
      </w:r>
    </w:p>
    <w:p>
      <w:pPr>
        <w:spacing w:after="0" w:line="166"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consideration related to sales-based royalty revenue resulting from any of our collaboration arrangements.</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allocate the transaction price based on the estimated stand-alone selling price of each of the performance obligations. We must develop assumptions that require judgment to determine the stand-alone selling price for each performance obligation identified in the contract. We utilize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we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utilize comparable transactions, industry standards for product development and clinical trial success probabilities and estimates of option exercise likelihood. Variable consideration is allocated specifically to one or more performance obligations in a contract when the terms of the variable consideration relate to the satisfaction of the performance obligation and the resulting amounts allocated are consistent with the amounts we would expect to receive for the satisfaction of each performance obligation.</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w:t>
      </w:r>
    </w:p>
    <w:p>
      <w:pPr>
        <w:spacing w:after="0" w:line="193" w:lineRule="exact"/>
        <w:rPr>
          <w:sz w:val="20"/>
          <w:szCs w:val="20"/>
          <w:color w:val="auto"/>
        </w:rPr>
      </w:pPr>
    </w:p>
    <w:p>
      <w:pPr>
        <w:ind w:right="400" w:firstLine="693"/>
        <w:spacing w:after="0" w:line="264" w:lineRule="auto"/>
        <w:rPr>
          <w:sz w:val="20"/>
          <w:szCs w:val="20"/>
          <w:color w:val="auto"/>
        </w:rPr>
      </w:pPr>
      <w:r>
        <w:rPr>
          <w:rFonts w:ascii="Arial" w:cs="Arial" w:eastAsia="Arial" w:hAnsi="Arial"/>
          <w:sz w:val="18"/>
          <w:szCs w:val="18"/>
          <w:color w:val="auto"/>
        </w:rPr>
        <w:t>Upfront payments and fees are recorded as deferred revenue upon receipt or when due until we perform our obligations under these arrangements. Amounts are recorded as accounts receivable when our rights to consideration are unconditional.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January 2016, the Financial Accounting Standard Board (the “FASB”) issued ASC Update No. 2016-01, </w:t>
      </w:r>
      <w:r>
        <w:rPr>
          <w:rFonts w:ascii="Arial" w:cs="Arial" w:eastAsia="Arial" w:hAnsi="Arial"/>
          <w:sz w:val="17"/>
          <w:szCs w:val="17"/>
          <w:i w:val="1"/>
          <w:iCs w:val="1"/>
          <w:color w:val="auto"/>
        </w:rPr>
        <w:t>Financial Instruments - Overall (Subtopic 825-10): Recognition and Measurement of Financial Assets and Financial Liabilities</w:t>
      </w:r>
      <w:r>
        <w:rPr>
          <w:rFonts w:ascii="Arial" w:cs="Arial" w:eastAsia="Arial" w:hAnsi="Arial"/>
          <w:sz w:val="17"/>
          <w:szCs w:val="17"/>
          <w:color w:val="auto"/>
        </w:rPr>
        <w:t>. The purpose of Update No. 2016-01 is to improve financial reporting for financial instruments by reducing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items recorded to other comprehensive income. We adopted Update No. 2016-01 in the first quarter of 2018, using the modified retrospective method. Unrealized gains and losses previously recorded to other comprehensive income were reclassified to accumulated deficit and all future fair value changes will be recorded to other income (loss). The adoption of the standard did not have a material impact on our consolidated financial statements.</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or ASC 230, which simplifies certain elements of cash flow classification. The new guidance is intended to reduce diversity in practice in how certain transactions are classified in the statement of cash flows. The new guidance will be effective for annual periods beginning after December 15, 2017. The adoption of ASC 230 on January 1, 2018 did not have a material impact on our consolidated financial statements.</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or ASU 2014-09,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or ASC 605, and most industry-specific guidance. The new standard requires that an entity recognize revenue to depict the transfer of promised goods or services to customers in an amount that reflects the consideration to which the entity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Thereafter, a series of clarifying ASU’s, narrow scope improvements and practical expedients were issued. This collective guidance resulted in the new revenue standards; ASC 606. ASC 606 is effective for fiscal years, and interim periods within those years, beginning after December 15, 2017 and should be applied retrospectively to each prior reporting period presented or retrospectively with the cumulative effect of initially applying this update recognized at the date of initial application.</w:t>
      </w:r>
    </w:p>
    <w:p>
      <w:pPr>
        <w:spacing w:after="0" w:line="17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adopted the new standard effective January 1, 2018 using the modified retrospective approach. We had one open contract, with Sanofi Genzyme, on the adoption date and have assessed it under the new revenue standard. The adoption of ASC 606 resulted in the changes to (i) the allocation of arrangement consideration, including the determination of estimated selling price and the allocation of variable consideration to specific performance obligations and (ii) the application of proportional performance as a measure of progress on service related deliverables.</w:t>
      </w:r>
    </w:p>
    <w:p>
      <w:pPr>
        <w:spacing w:after="0" w:line="159"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We have accounted for the impact of adopting ASC 606 as a cumulative catch-up under the modified retrospective approach, which represented as an increase of $20.0 million to deferred revenue with an offset to accumulated deficit, effective January 1, 2018. The following financial statement line items have been shown to reflect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comparative balances under ASC 606 and ASC 605 for the period ended March 31, 2018 for both the Sanofi Genzyme Collaboration and AbbVie Collaboration.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5"/>
          </w:tcPr>
          <w:p>
            <w:pPr>
              <w:jc w:val="center"/>
              <w:ind w:right="74"/>
              <w:spacing w:after="0"/>
              <w:rPr>
                <w:sz w:val="20"/>
                <w:szCs w:val="20"/>
                <w:color w:val="auto"/>
              </w:rPr>
            </w:pPr>
            <w:r>
              <w:rPr>
                <w:rFonts w:ascii="Arial" w:cs="Arial" w:eastAsia="Arial" w:hAnsi="Arial"/>
                <w:sz w:val="14"/>
                <w:szCs w:val="14"/>
                <w:b w:val="1"/>
                <w:bCs w:val="1"/>
                <w:color w:val="auto"/>
                <w:w w:val="92"/>
              </w:rPr>
              <w:t>Three months ended March 31, 2018</w:t>
            </w:r>
          </w:p>
        </w:tc>
        <w:tc>
          <w:tcPr>
            <w:tcW w:w="80" w:type="dxa"/>
            <w:vAlign w:val="bottom"/>
          </w:tcPr>
          <w:p>
            <w:pPr>
              <w:spacing w:after="0"/>
              <w:rPr>
                <w:sz w:val="14"/>
                <w:szCs w:val="14"/>
                <w:color w:val="auto"/>
              </w:rPr>
            </w:pPr>
          </w:p>
        </w:tc>
      </w:tr>
      <w:tr>
        <w:trPr>
          <w:trHeight w:val="169"/>
        </w:trPr>
        <w:tc>
          <w:tcPr>
            <w:tcW w:w="3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95"/>
              <w:spacing w:after="0"/>
              <w:rPr>
                <w:sz w:val="20"/>
                <w:szCs w:val="20"/>
                <w:color w:val="auto"/>
              </w:rPr>
            </w:pPr>
            <w:r>
              <w:rPr>
                <w:rFonts w:ascii="Arial" w:cs="Arial" w:eastAsia="Arial" w:hAnsi="Arial"/>
                <w:sz w:val="14"/>
                <w:szCs w:val="14"/>
                <w:b w:val="1"/>
                <w:bCs w:val="1"/>
                <w:color w:val="auto"/>
              </w:rPr>
              <w:t>Under ASC 606</w:t>
            </w:r>
          </w:p>
        </w:tc>
        <w:tc>
          <w:tcPr>
            <w:tcW w:w="200" w:type="dxa"/>
            <w:vAlign w:val="bottom"/>
          </w:tcPr>
          <w:p>
            <w:pPr>
              <w:spacing w:after="0"/>
              <w:rPr>
                <w:sz w:val="14"/>
                <w:szCs w:val="14"/>
                <w:color w:val="auto"/>
              </w:rPr>
            </w:pP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Under ASC 605</w:t>
            </w:r>
          </w:p>
        </w:tc>
        <w:tc>
          <w:tcPr>
            <w:tcW w:w="180" w:type="dxa"/>
            <w:vAlign w:val="bottom"/>
          </w:tcPr>
          <w:p>
            <w:pPr>
              <w:spacing w:after="0"/>
              <w:rPr>
                <w:sz w:val="14"/>
                <w:szCs w:val="1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Effect of change</w:t>
            </w:r>
          </w:p>
        </w:tc>
      </w:tr>
      <w:tr>
        <w:trPr>
          <w:trHeight w:val="169"/>
        </w:trPr>
        <w:tc>
          <w:tcPr>
            <w:tcW w:w="3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320" w:type="dxa"/>
            <w:vAlign w:val="bottom"/>
            <w:tcBorders>
              <w:top w:val="single" w:sz="8" w:color="auto"/>
            </w:tcBorders>
            <w:gridSpan w:val="5"/>
          </w:tcPr>
          <w:p>
            <w:pPr>
              <w:jc w:val="center"/>
              <w:ind w:right="74"/>
              <w:spacing w:after="0" w:line="170" w:lineRule="exact"/>
              <w:rPr>
                <w:sz w:val="20"/>
                <w:szCs w:val="20"/>
                <w:color w:val="auto"/>
              </w:rPr>
            </w:pPr>
            <w:r>
              <w:rPr>
                <w:rFonts w:ascii="Arial" w:cs="Arial" w:eastAsia="Arial" w:hAnsi="Arial"/>
                <w:sz w:val="18"/>
                <w:szCs w:val="18"/>
                <w:color w:val="auto"/>
                <w:w w:val="88"/>
              </w:rPr>
              <w:t>(in thousands, except per share data)</w:t>
            </w:r>
          </w:p>
        </w:tc>
        <w:tc>
          <w:tcPr>
            <w:tcW w:w="80" w:type="dxa"/>
            <w:vAlign w:val="bottom"/>
          </w:tcPr>
          <w:p>
            <w:pPr>
              <w:spacing w:after="0"/>
              <w:rPr>
                <w:sz w:val="14"/>
                <w:szCs w:val="14"/>
                <w:color w:val="auto"/>
              </w:rPr>
            </w:pPr>
          </w:p>
        </w:tc>
      </w:tr>
      <w:tr>
        <w:trPr>
          <w:trHeight w:val="176"/>
        </w:trPr>
        <w:tc>
          <w:tcPr>
            <w:tcW w:w="3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1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line="176" w:lineRule="exact"/>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line="176" w:lineRule="exact"/>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5"/>
                <w:szCs w:val="15"/>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Loss from operations</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(20,106)</w:t>
            </w:r>
          </w:p>
        </w:tc>
        <w:tc>
          <w:tcPr>
            <w:tcW w:w="20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8"/>
                <w:szCs w:val="18"/>
                <w:color w:val="auto"/>
              </w:rPr>
              <w:t>(19,743)</w:t>
            </w: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(363)</w:t>
            </w:r>
          </w:p>
        </w:tc>
        <w:tc>
          <w:tcPr>
            <w:tcW w:w="80" w:type="dxa"/>
            <w:vAlign w:val="bottom"/>
          </w:tcPr>
          <w:p>
            <w:pPr>
              <w:spacing w:after="0"/>
              <w:rPr>
                <w:sz w:val="15"/>
                <w:szCs w:val="15"/>
                <w:color w:val="auto"/>
              </w:rPr>
            </w:pPr>
          </w:p>
        </w:tc>
      </w:tr>
      <w:tr>
        <w:trPr>
          <w:trHeight w:val="176"/>
        </w:trPr>
        <w:tc>
          <w:tcPr>
            <w:tcW w:w="3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(19,926)</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(19,563)</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5"/>
                <w:szCs w:val="15"/>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current</w:t>
      </w:r>
    </w:p>
    <w:p>
      <w:pPr>
        <w:spacing w:after="0" w:line="203" w:lineRule="auto"/>
        <w:rPr>
          <w:sz w:val="20"/>
          <w:szCs w:val="20"/>
          <w:color w:val="auto"/>
        </w:rPr>
      </w:pPr>
      <w:r>
        <w:rPr>
          <w:rFonts w:ascii="Arial" w:cs="Arial" w:eastAsia="Arial" w:hAnsi="Arial"/>
          <w:sz w:val="18"/>
          <w:szCs w:val="18"/>
          <w:color w:val="auto"/>
        </w:rPr>
        <w:t>Deferred revenue, non-current</w:t>
      </w:r>
    </w:p>
    <w:p>
      <w:pPr>
        <w:spacing w:after="0"/>
        <w:rPr>
          <w:sz w:val="20"/>
          <w:szCs w:val="20"/>
          <w:color w:val="auto"/>
        </w:rPr>
      </w:pPr>
      <w:r>
        <w:rPr>
          <w:rFonts w:ascii="Arial" w:cs="Arial" w:eastAsia="Arial" w:hAnsi="Arial"/>
          <w:sz w:val="18"/>
          <w:szCs w:val="18"/>
          <w:color w:val="auto"/>
        </w:rPr>
        <w:t>Accumulated deficit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3" w:lineRule="auto"/>
        <w:rPr>
          <w:sz w:val="20"/>
          <w:szCs w:val="20"/>
          <w:color w:val="auto"/>
        </w:rPr>
      </w:pPr>
      <w:r>
        <w:rPr>
          <w:rFonts w:ascii="Arial" w:cs="Arial" w:eastAsia="Arial" w:hAnsi="Arial"/>
          <w:sz w:val="18"/>
          <w:szCs w:val="18"/>
          <w:color w:val="auto"/>
        </w:rPr>
        <w:t>Adjustments to reconcile net loss to net cash provided by operating activities: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As of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8473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Under ASC 606</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4"/>
              </w:rPr>
              <w:t>Under ASC 605</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Effect of change</w:t>
            </w:r>
          </w:p>
        </w:tc>
        <w:tc>
          <w:tcPr>
            <w:tcW w:w="0" w:type="dxa"/>
            <w:vAlign w:val="bottom"/>
          </w:tcPr>
          <w:p>
            <w:pPr>
              <w:spacing w:after="0"/>
              <w:rPr>
                <w:sz w:val="1"/>
                <w:szCs w:val="1"/>
                <w:color w:val="auto"/>
              </w:rPr>
            </w:pPr>
          </w:p>
        </w:tc>
      </w:tr>
      <w:tr>
        <w:trPr>
          <w:trHeight w:val="142"/>
        </w:trPr>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17"/>
              <w:spacing w:after="0"/>
              <w:rPr>
                <w:sz w:val="20"/>
                <w:szCs w:val="20"/>
                <w:color w:val="auto"/>
              </w:rPr>
            </w:pPr>
            <w:r>
              <w:rPr>
                <w:rFonts w:ascii="Arial" w:cs="Arial" w:eastAsia="Arial" w:hAnsi="Arial"/>
                <w:sz w:val="18"/>
                <w:szCs w:val="18"/>
                <w:color w:val="auto"/>
              </w:rPr>
              <w:t>20,217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right="136"/>
              <w:spacing w:after="0" w:line="142" w:lineRule="exact"/>
              <w:rPr>
                <w:sz w:val="20"/>
                <w:szCs w:val="20"/>
                <w:color w:val="auto"/>
              </w:rPr>
            </w:pPr>
            <w:r>
              <w:rPr>
                <w:rFonts w:ascii="Arial" w:cs="Arial" w:eastAsia="Arial" w:hAnsi="Arial"/>
                <w:sz w:val="16"/>
                <w:szCs w:val="16"/>
                <w:color w:val="auto"/>
              </w:rPr>
              <w:t>(in thousands)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176"/>
        </w:trPr>
        <w:tc>
          <w:tcPr>
            <w:tcW w:w="1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340" w:type="dxa"/>
            <w:vAlign w:val="bottom"/>
          </w:tcPr>
          <w:p>
            <w:pPr>
              <w:jc w:val="right"/>
              <w:ind w:right="16"/>
              <w:spacing w:after="0" w:line="176" w:lineRule="exact"/>
              <w:rPr>
                <w:sz w:val="20"/>
                <w:szCs w:val="20"/>
                <w:color w:val="auto"/>
              </w:rPr>
            </w:pPr>
            <w:r>
              <w:rPr>
                <w:rFonts w:ascii="Arial" w:cs="Arial" w:eastAsia="Arial" w:hAnsi="Arial"/>
                <w:sz w:val="18"/>
                <w:szCs w:val="18"/>
                <w:color w:val="auto"/>
              </w:rPr>
              <w:t>18,967</w:t>
            </w:r>
          </w:p>
        </w:tc>
        <w:tc>
          <w:tcPr>
            <w:tcW w:w="1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7"/>
              <w:spacing w:after="0" w:line="176" w:lineRule="exact"/>
              <w:rPr>
                <w:sz w:val="20"/>
                <w:szCs w:val="20"/>
                <w:color w:val="auto"/>
              </w:rPr>
            </w:pPr>
            <w:r>
              <w:rPr>
                <w:rFonts w:ascii="Arial" w:cs="Arial" w:eastAsia="Arial" w:hAnsi="Arial"/>
                <w:sz w:val="18"/>
                <w:szCs w:val="18"/>
                <w:color w:val="auto"/>
              </w:rPr>
              <w:t>99,506</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line="176" w:lineRule="exact"/>
              <w:rPr>
                <w:sz w:val="20"/>
                <w:szCs w:val="20"/>
                <w:color w:val="auto"/>
              </w:rPr>
            </w:pPr>
            <w:r>
              <w:rPr>
                <w:rFonts w:ascii="Arial" w:cs="Arial" w:eastAsia="Arial" w:hAnsi="Arial"/>
                <w:sz w:val="18"/>
                <w:szCs w:val="18"/>
                <w:color w:val="auto"/>
              </w:rPr>
              <w:t>80,463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19,043</w:t>
            </w:r>
          </w:p>
        </w:tc>
        <w:tc>
          <w:tcPr>
            <w:tcW w:w="0" w:type="dxa"/>
            <w:vAlign w:val="bottom"/>
          </w:tcPr>
          <w:p>
            <w:pPr>
              <w:spacing w:after="0"/>
              <w:rPr>
                <w:sz w:val="1"/>
                <w:szCs w:val="1"/>
                <w:color w:val="auto"/>
              </w:rPr>
            </w:pPr>
          </w:p>
        </w:tc>
      </w:tr>
      <w:tr>
        <w:trPr>
          <w:trHeight w:val="230"/>
        </w:trPr>
        <w:tc>
          <w:tcPr>
            <w:tcW w:w="180" w:type="dxa"/>
            <w:vAlign w:val="bottom"/>
            <w:vMerge w:val="continue"/>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(200,689)</w:t>
            </w:r>
          </w:p>
        </w:tc>
        <w:tc>
          <w:tcPr>
            <w:tcW w:w="180" w:type="dxa"/>
            <w:vAlign w:val="bottom"/>
            <w:vMerge w:val="continue"/>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(180,396)</w:t>
            </w:r>
          </w:p>
        </w:tc>
        <w:tc>
          <w:tcPr>
            <w:tcW w:w="180" w:type="dxa"/>
            <w:vAlign w:val="bottom"/>
            <w:vMerge w:val="continue"/>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(20,293)</w:t>
            </w:r>
          </w:p>
        </w:tc>
        <w:tc>
          <w:tcPr>
            <w:tcW w:w="0" w:type="dxa"/>
            <w:vAlign w:val="bottom"/>
          </w:tcPr>
          <w:p>
            <w:pPr>
              <w:spacing w:after="0"/>
              <w:rPr>
                <w:sz w:val="1"/>
                <w:szCs w:val="1"/>
                <w:color w:val="auto"/>
              </w:rPr>
            </w:pPr>
          </w:p>
        </w:tc>
      </w:tr>
      <w:tr>
        <w:trPr>
          <w:trHeight w:val="728"/>
        </w:trPr>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5"/>
          </w:tcPr>
          <w:p>
            <w:pPr>
              <w:jc w:val="center"/>
              <w:ind w:right="95"/>
              <w:spacing w:after="0"/>
              <w:rPr>
                <w:sz w:val="20"/>
                <w:szCs w:val="20"/>
                <w:color w:val="auto"/>
              </w:rPr>
            </w:pPr>
            <w:r>
              <w:rPr>
                <w:rFonts w:ascii="Arial" w:cs="Arial" w:eastAsia="Arial" w:hAnsi="Arial"/>
                <w:sz w:val="14"/>
                <w:szCs w:val="14"/>
                <w:b w:val="1"/>
                <w:bCs w:val="1"/>
                <w:color w:val="auto"/>
                <w:w w:val="92"/>
              </w:rPr>
              <w:t>Three months ended March 31, 2018</w:t>
            </w:r>
          </w:p>
        </w:tc>
        <w:tc>
          <w:tcPr>
            <w:tcW w:w="0" w:type="dxa"/>
            <w:vAlign w:val="bottom"/>
          </w:tcPr>
          <w:p>
            <w:pPr>
              <w:spacing w:after="0"/>
              <w:rPr>
                <w:sz w:val="1"/>
                <w:szCs w:val="1"/>
                <w:color w:val="auto"/>
              </w:rPr>
            </w:pPr>
          </w:p>
        </w:tc>
      </w:tr>
      <w:tr>
        <w:trPr>
          <w:trHeight w:val="169"/>
        </w:trPr>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Under ASC 606</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4"/>
              </w:rPr>
              <w:t>Under ASC 605</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Effect of change</w:t>
            </w:r>
          </w:p>
        </w:tc>
        <w:tc>
          <w:tcPr>
            <w:tcW w:w="0" w:type="dxa"/>
            <w:vAlign w:val="bottom"/>
          </w:tcPr>
          <w:p>
            <w:pPr>
              <w:spacing w:after="0"/>
              <w:rPr>
                <w:sz w:val="1"/>
                <w:szCs w:val="1"/>
                <w:color w:val="auto"/>
              </w:rPr>
            </w:pPr>
          </w:p>
        </w:tc>
      </w:tr>
      <w:tr>
        <w:trPr>
          <w:trHeight w:val="142"/>
        </w:trPr>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(19,926)</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ind w:right="136"/>
              <w:spacing w:after="0" w:line="142" w:lineRule="exact"/>
              <w:rPr>
                <w:sz w:val="20"/>
                <w:szCs w:val="20"/>
                <w:color w:val="auto"/>
              </w:rPr>
            </w:pPr>
            <w:r>
              <w:rPr>
                <w:rFonts w:ascii="Arial" w:cs="Arial" w:eastAsia="Arial" w:hAnsi="Arial"/>
                <w:sz w:val="16"/>
                <w:szCs w:val="16"/>
                <w:color w:val="auto"/>
              </w:rPr>
              <w:t>(in thousands)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18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(19,563)</w:t>
            </w:r>
          </w:p>
        </w:tc>
        <w:tc>
          <w:tcPr>
            <w:tcW w:w="1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80" w:type="dxa"/>
            <w:vAlign w:val="bottom"/>
          </w:tcPr>
          <w:p>
            <w:pPr>
              <w:spacing w:after="0"/>
              <w:rPr>
                <w:sz w:val="24"/>
                <w:szCs w:val="24"/>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68,057</w:t>
            </w:r>
          </w:p>
        </w:tc>
        <w:tc>
          <w:tcPr>
            <w:tcW w:w="18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67,694</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-2854960</wp:posOffset>
            </wp:positionH>
            <wp:positionV relativeFrom="paragraph">
              <wp:posOffset>-1517015</wp:posOffset>
            </wp:positionV>
            <wp:extent cx="5754370" cy="111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-1294130</wp:posOffset>
            </wp:positionV>
            <wp:extent cx="5754370" cy="111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-462280</wp:posOffset>
            </wp:positionV>
            <wp:extent cx="5754370" cy="111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-128270</wp:posOffset>
            </wp:positionV>
            <wp:extent cx="5754370" cy="111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111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380"/>
            <w:col w:w="4560"/>
          </w:cols>
          <w:pgMar w:left="1420" w:top="111" w:right="141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36" w:name="page37"/>
    <w:bookmarkEnd w:id="3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117"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three months ended March 31, 2018 and 2017, together with the changes in those items in dollars: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w w:val="96"/>
              </w:rPr>
              <w:t>(in thousands)</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942</w:t>
            </w:r>
          </w:p>
        </w:tc>
        <w:tc>
          <w:tcPr>
            <w:tcW w:w="3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line="170" w:lineRule="exact"/>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14,853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14,072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7,182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4,914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2,268</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22,035</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18,986</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line="170" w:lineRule="exact"/>
              <w:rPr>
                <w:sz w:val="20"/>
                <w:szCs w:val="20"/>
                <w:color w:val="auto"/>
              </w:rPr>
            </w:pPr>
            <w:r>
              <w:rPr>
                <w:rFonts w:ascii="Arial" w:cs="Arial" w:eastAsia="Arial" w:hAnsi="Arial"/>
                <w:sz w:val="18"/>
                <w:szCs w:val="18"/>
                <w:color w:val="auto"/>
              </w:rPr>
              <w:t>Other income:</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Other income</w:t>
            </w:r>
          </w:p>
        </w:tc>
        <w:tc>
          <w:tcPr>
            <w:tcW w:w="10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other income</w:t>
            </w:r>
          </w:p>
        </w:tc>
        <w:tc>
          <w:tcPr>
            <w:tcW w:w="10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987</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line="170" w:lineRule="exact"/>
              <w:rPr>
                <w:sz w:val="20"/>
                <w:szCs w:val="20"/>
                <w:color w:val="auto"/>
              </w:rPr>
            </w:pPr>
            <w:r>
              <w:rPr>
                <w:rFonts w:ascii="Arial" w:cs="Arial" w:eastAsia="Arial" w:hAnsi="Arial"/>
                <w:sz w:val="18"/>
                <w:szCs w:val="18"/>
                <w:color w:val="auto"/>
              </w:rPr>
              <w:t>Loss before income taxes</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(20,106)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8"/>
                <w:szCs w:val="18"/>
                <w:color w:val="auto"/>
                <w:w w:val="89"/>
              </w:rPr>
              <w:t>(16,874)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(3,232)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benefit</w:t>
            </w: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14"/>
                <w:szCs w:val="14"/>
                <w:color w:val="auto"/>
              </w:rPr>
            </w:pPr>
          </w:p>
        </w:tc>
        <w:tc>
          <w:tcPr>
            <w:tcW w:w="140" w:type="dxa"/>
            <w:vAlign w:val="bottom"/>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(19,926)</w:t>
            </w:r>
          </w:p>
        </w:tc>
        <w:tc>
          <w:tcPr>
            <w:tcW w:w="320" w:type="dxa"/>
            <w:vAlign w:val="bottom"/>
            <w:gridSpan w:val="2"/>
          </w:tcPr>
          <w:p>
            <w:pPr>
              <w:jc w:val="right"/>
              <w:ind w:right="40"/>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Arial" w:cs="Arial" w:eastAsia="Arial" w:hAnsi="Arial"/>
                <w:sz w:val="18"/>
                <w:szCs w:val="18"/>
                <w:color w:val="auto"/>
                <w:w w:val="89"/>
              </w:rPr>
              <w:t>(16,648)</w:t>
            </w:r>
          </w:p>
        </w:tc>
        <w:tc>
          <w:tcPr>
            <w:tcW w:w="18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(3,278)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 revenue was $0.9 million and $1.5 million for the three months ended March 31, 2018 and</w:t>
      </w:r>
    </w:p>
    <w:p>
      <w:pPr>
        <w:spacing w:after="0" w:line="229" w:lineRule="auto"/>
        <w:rPr>
          <w:sz w:val="20"/>
          <w:szCs w:val="20"/>
          <w:color w:val="auto"/>
        </w:rPr>
      </w:pPr>
      <w:r>
        <w:rPr>
          <w:rFonts w:ascii="Arial" w:cs="Arial" w:eastAsia="Arial" w:hAnsi="Arial"/>
          <w:sz w:val="16"/>
          <w:szCs w:val="16"/>
          <w:color w:val="auto"/>
        </w:rPr>
        <w:t>March 31, 2017, respectively. Collaboration revenue was comprised of amounts recognized for research and development</w:t>
      </w:r>
    </w:p>
    <w:p>
      <w:pPr>
        <w:spacing w:after="0" w:line="229" w:lineRule="auto"/>
        <w:rPr>
          <w:sz w:val="20"/>
          <w:szCs w:val="20"/>
          <w:color w:val="auto"/>
        </w:rPr>
      </w:pPr>
      <w:r>
        <w:rPr>
          <w:rFonts w:ascii="Arial" w:cs="Arial" w:eastAsia="Arial" w:hAnsi="Arial"/>
          <w:sz w:val="16"/>
          <w:szCs w:val="16"/>
          <w:color w:val="auto"/>
        </w:rPr>
        <w:t>services for various programs under the collaboration agreement with Sanofi Genzyme, or the Sanofi Genzyme Collaboration</w:t>
      </w:r>
    </w:p>
    <w:p>
      <w:pPr>
        <w:spacing w:after="0" w:line="229" w:lineRule="auto"/>
        <w:rPr>
          <w:sz w:val="20"/>
          <w:szCs w:val="20"/>
          <w:color w:val="auto"/>
        </w:rPr>
      </w:pPr>
      <w:r>
        <w:rPr>
          <w:rFonts w:ascii="Arial" w:cs="Arial" w:eastAsia="Arial" w:hAnsi="Arial"/>
          <w:sz w:val="16"/>
          <w:szCs w:val="16"/>
          <w:color w:val="auto"/>
        </w:rPr>
        <w:t>Agreement, during the three months ended March 31, 2017. During the three months ended March 31, 2018, collaboration</w:t>
      </w:r>
    </w:p>
    <w:p>
      <w:pPr>
        <w:spacing w:after="0" w:line="229" w:lineRule="auto"/>
        <w:rPr>
          <w:sz w:val="20"/>
          <w:szCs w:val="20"/>
          <w:color w:val="auto"/>
        </w:rPr>
      </w:pPr>
      <w:r>
        <w:rPr>
          <w:rFonts w:ascii="Arial" w:cs="Arial" w:eastAsia="Arial" w:hAnsi="Arial"/>
          <w:sz w:val="16"/>
          <w:szCs w:val="16"/>
          <w:color w:val="auto"/>
        </w:rPr>
        <w:t>revenue included amounts related to the Sanofi Genzyme Collaboration Agreement in addition to research services related to</w:t>
      </w:r>
    </w:p>
    <w:p>
      <w:pPr>
        <w:spacing w:after="0" w:line="229" w:lineRule="auto"/>
        <w:rPr>
          <w:sz w:val="20"/>
          <w:szCs w:val="20"/>
          <w:color w:val="auto"/>
        </w:rPr>
      </w:pPr>
      <w:r>
        <w:rPr>
          <w:rFonts w:ascii="Arial" w:cs="Arial" w:eastAsia="Arial" w:hAnsi="Arial"/>
          <w:sz w:val="16"/>
          <w:szCs w:val="16"/>
          <w:color w:val="auto"/>
        </w:rPr>
        <w:t>the collaboration agreement with AbbVie, or the AbbVie Collaboration Agreement. The decrease in revenue recognized is a</w:t>
      </w:r>
    </w:p>
    <w:p>
      <w:pPr>
        <w:spacing w:after="0" w:line="215" w:lineRule="auto"/>
        <w:rPr>
          <w:sz w:val="20"/>
          <w:szCs w:val="20"/>
          <w:color w:val="auto"/>
        </w:rPr>
      </w:pPr>
      <w:r>
        <w:rPr>
          <w:rFonts w:ascii="Arial" w:cs="Arial" w:eastAsia="Arial" w:hAnsi="Arial"/>
          <w:sz w:val="17"/>
          <w:szCs w:val="17"/>
          <w:color w:val="auto"/>
        </w:rPr>
        <w:t>result of fully recognizing all amounts under the Sanofi Genzyme Collaboration Agreement related to the Parkinson’s</w:t>
      </w:r>
    </w:p>
    <w:p>
      <w:pPr>
        <w:spacing w:after="0" w:line="216" w:lineRule="auto"/>
        <w:rPr>
          <w:sz w:val="20"/>
          <w:szCs w:val="20"/>
          <w:color w:val="auto"/>
        </w:rPr>
      </w:pPr>
      <w:r>
        <w:rPr>
          <w:rFonts w:ascii="Arial" w:cs="Arial" w:eastAsia="Arial" w:hAnsi="Arial"/>
          <w:sz w:val="17"/>
          <w:szCs w:val="17"/>
          <w:color w:val="auto"/>
        </w:rPr>
        <w:t>Program in 2017 as well as the adoption of ASC 606, effective January 1, 2018. The most significant change to revenue</w:t>
      </w:r>
    </w:p>
    <w:p>
      <w:pPr>
        <w:spacing w:after="0" w:line="215" w:lineRule="auto"/>
        <w:rPr>
          <w:sz w:val="20"/>
          <w:szCs w:val="20"/>
          <w:color w:val="auto"/>
        </w:rPr>
      </w:pPr>
      <w:r>
        <w:rPr>
          <w:rFonts w:ascii="Arial" w:cs="Arial" w:eastAsia="Arial" w:hAnsi="Arial"/>
          <w:sz w:val="17"/>
          <w:szCs w:val="17"/>
          <w:color w:val="auto"/>
        </w:rPr>
        <w:t>recognition is the adoption of a proportional performance basis for estimating progress to completion of research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development services under each program of the Sanofi Genzyme Collaboration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Research and development expense increased by $0.8 million from $14.1 million for the three months ended March 31, 2017, to $14.9 million for the three months ended March 31, 2018. The following table summarizes our research and development expenses, for the three months ended March 31, 2018 and March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1"/>
        </w:trPr>
        <w:tc>
          <w:tcPr>
            <w:tcW w:w="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9"/>
        </w:trPr>
        <w:tc>
          <w:tcPr>
            <w:tcW w:w="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100"/>
              <w:spacing w:after="0" w:line="170" w:lineRule="exact"/>
              <w:rPr>
                <w:sz w:val="20"/>
                <w:szCs w:val="20"/>
                <w:color w:val="auto"/>
              </w:rPr>
            </w:pPr>
            <w:r>
              <w:rPr>
                <w:rFonts w:ascii="Arial" w:cs="Arial" w:eastAsia="Arial" w:hAnsi="Arial"/>
                <w:sz w:val="18"/>
                <w:szCs w:val="18"/>
                <w:color w:val="auto"/>
                <w:w w:val="92"/>
              </w:rPr>
              <w:t>(in thousands)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External research and development expenses</w:t>
            </w:r>
          </w:p>
        </w:tc>
        <w:tc>
          <w:tcPr>
            <w:tcW w:w="90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7,021</w:t>
            </w:r>
          </w:p>
        </w:tc>
        <w:tc>
          <w:tcPr>
            <w:tcW w:w="44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7,044</w:t>
            </w: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tcPr>
          <w:p>
            <w:pPr>
              <w:spacing w:after="0" w:line="176" w:lineRule="exact"/>
              <w:rPr>
                <w:sz w:val="20"/>
                <w:szCs w:val="20"/>
                <w:color w:val="auto"/>
              </w:rPr>
            </w:pPr>
            <w:r>
              <w:rPr>
                <w:rFonts w:ascii="Arial" w:cs="Arial" w:eastAsia="Arial" w:hAnsi="Arial"/>
                <w:sz w:val="18"/>
                <w:szCs w:val="18"/>
                <w:color w:val="auto"/>
                <w:w w:val="98"/>
              </w:rPr>
              <w:t>Employee and contractor related expenses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5,784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5,219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565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Facility and other expenses</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1,889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1,794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License fees</w:t>
            </w: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159</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338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w w:val="92"/>
              </w:rPr>
              <w:t>Total research and development expenses</w:t>
            </w:r>
          </w:p>
        </w:tc>
        <w:tc>
          <w:tcPr>
            <w:tcW w:w="7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14,853</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14,072</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Pr>
          <w:p>
            <w:pPr>
              <w:spacing w:after="0"/>
              <w:rPr>
                <w:sz w:val="16"/>
                <w:szCs w:val="16"/>
                <w:color w:val="auto"/>
              </w:rPr>
            </w:pPr>
          </w:p>
        </w:tc>
      </w:tr>
      <w:tr>
        <w:trPr>
          <w:trHeight w:val="797"/>
        </w:trPr>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bl>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560" w:firstLine="648"/>
        <w:spacing w:after="0" w:line="235" w:lineRule="auto"/>
        <w:rPr>
          <w:sz w:val="20"/>
          <w:szCs w:val="20"/>
          <w:color w:val="auto"/>
        </w:rPr>
      </w:pPr>
      <w:r>
        <w:rPr>
          <w:rFonts w:ascii="Arial" w:cs="Arial" w:eastAsia="Arial" w:hAnsi="Arial"/>
          <w:sz w:val="18"/>
          <w:szCs w:val="18"/>
          <w:color w:val="auto"/>
        </w:rPr>
        <w:t>The increase in research and development expense for the three months ended March 31, 2018 was primarily attributable to the following:</w:t>
      </w:r>
    </w:p>
    <w:p>
      <w:pPr>
        <w:spacing w:after="0" w:line="54" w:lineRule="exact"/>
        <w:rPr>
          <w:sz w:val="20"/>
          <w:szCs w:val="20"/>
          <w:color w:val="auto"/>
        </w:rPr>
      </w:pPr>
    </w:p>
    <w:p>
      <w:pPr>
        <w:ind w:left="980" w:right="840" w:hanging="329"/>
        <w:spacing w:after="0" w:line="307"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approximately $0.6 million for increased research and development employee-related and consultant compensation costs as we continue to increase research and development headcount;</w:t>
      </w:r>
    </w:p>
    <w:p>
      <w:pPr>
        <w:spacing w:after="0" w:line="15" w:lineRule="exact"/>
        <w:rPr>
          <w:rFonts w:ascii="Arial" w:cs="Arial" w:eastAsia="Arial" w:hAnsi="Arial"/>
          <w:sz w:val="16"/>
          <w:szCs w:val="16"/>
          <w:color w:val="auto"/>
        </w:rPr>
      </w:pPr>
    </w:p>
    <w:p>
      <w:pPr>
        <w:ind w:left="980" w:right="80" w:hanging="329"/>
        <w:spacing w:after="0" w:line="275"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approximately $0.1 million for increased facility and other costs including rent, depreciation, maintenance and other expenses due to the additional space leased at 64 Sidney Street and 75 Sidney Street;</w:t>
      </w:r>
    </w:p>
    <w:p>
      <w:pPr>
        <w:spacing w:after="0" w:line="146" w:lineRule="exact"/>
        <w:rPr>
          <w:rFonts w:ascii="Arial" w:cs="Arial" w:eastAsia="Arial" w:hAnsi="Arial"/>
          <w:sz w:val="17"/>
          <w:szCs w:val="17"/>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$0.1 million for increased license fees; and</w:t>
      </w:r>
    </w:p>
    <w:p>
      <w:pPr>
        <w:spacing w:after="0" w:line="198" w:lineRule="exact"/>
        <w:rPr>
          <w:rFonts w:ascii="Arial" w:cs="Arial" w:eastAsia="Arial" w:hAnsi="Arial"/>
          <w:sz w:val="18"/>
          <w:szCs w:val="18"/>
          <w:color w:val="auto"/>
        </w:rPr>
      </w:pPr>
    </w:p>
    <w:p>
      <w:pPr>
        <w:jc w:val="both"/>
        <w:ind w:left="980" w:right="100" w:hanging="329"/>
        <w:spacing w:after="0" w:line="203" w:lineRule="exact"/>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external research and development costs, offset by approximately $0.2 million for increased in</w:t>
      </w:r>
      <w:r>
        <w:rPr>
          <w:rFonts w:ascii="MS PGothic" w:cs="MS PGothic" w:eastAsia="MS PGothic" w:hAnsi="MS PGothic"/>
          <w:sz w:val="18"/>
          <w:szCs w:val="18"/>
          <w:color w:val="auto"/>
        </w:rPr>
        <w:t>‑</w:t>
      </w:r>
      <w:r>
        <w:rPr>
          <w:rFonts w:ascii="Arial" w:cs="Arial" w:eastAsia="Arial" w:hAnsi="Arial"/>
          <w:sz w:val="18"/>
          <w:szCs w:val="18"/>
          <w:color w:val="auto"/>
        </w:rPr>
        <w:t>kind research and development services incurred by Sanofi Genzyme and provided to us under the Sanofi Genzyme Collaboration.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500" w:firstLine="648"/>
        <w:spacing w:after="0" w:line="224" w:lineRule="auto"/>
        <w:rPr>
          <w:sz w:val="20"/>
          <w:szCs w:val="20"/>
          <w:color w:val="auto"/>
        </w:rPr>
      </w:pPr>
      <w:r>
        <w:rPr>
          <w:rFonts w:ascii="Arial" w:cs="Arial" w:eastAsia="Arial" w:hAnsi="Arial"/>
          <w:sz w:val="18"/>
          <w:szCs w:val="18"/>
          <w:color w:val="auto"/>
        </w:rPr>
        <w:t>General and administrative expense increased by $2.3 million from $4.9 million for the three months ended March 31, 2017 to $7.2 million for the three months ended March 31, 2018. The increase in general and administrative expense was primarily attributable to the following:</w:t>
      </w:r>
    </w:p>
    <w:p>
      <w:pPr>
        <w:spacing w:after="0" w:line="55" w:lineRule="exact"/>
        <w:rPr>
          <w:sz w:val="20"/>
          <w:szCs w:val="20"/>
          <w:color w:val="auto"/>
        </w:rPr>
      </w:pPr>
    </w:p>
    <w:p>
      <w:pPr>
        <w:ind w:left="980" w:right="380" w:hanging="329"/>
        <w:spacing w:after="0" w:line="24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$1.2 million for increased compensation costs associated with the increase in administrative function headcount;</w:t>
      </w:r>
    </w:p>
    <w:p>
      <w:pPr>
        <w:spacing w:after="0" w:line="61"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$0.8 million for increased legal and patent expenses; and</w:t>
      </w:r>
    </w:p>
    <w:p>
      <w:pPr>
        <w:spacing w:after="0" w:line="198" w:lineRule="exact"/>
        <w:rPr>
          <w:rFonts w:ascii="Arial" w:cs="Arial" w:eastAsia="Arial" w:hAnsi="Arial"/>
          <w:sz w:val="18"/>
          <w:szCs w:val="18"/>
          <w:color w:val="auto"/>
        </w:rPr>
      </w:pPr>
    </w:p>
    <w:p>
      <w:pPr>
        <w:ind w:left="980" w:right="120" w:hanging="329"/>
        <w:spacing w:after="0" w:line="24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$0.3 million for increased facility and other costs including rent, depreciation, maintenance and other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Interest and other income of approximately $0.8 million was recognized during the three months ended March 31, 2018 related to interest income on marketable securities balances in addition to gains on our common stock investment in and warrants to purchase shares of common stock of MRI Interventions, Inc., or MRIC. Other income of approximately $0.2 million was recognized during the three months ended March 31, 2018 related to amounts receivable for previously paid alternative minimum taxes. Other income of approximately $0.4 million was recognized during the three months ended March 31, 2017, including $0.3 million related to mark-to-market gain recognized on the fair value of warrants to purchase equity securities. Interest income of approximately $0.3 million was recognized during the three months ended March 31, 2017 related to increased marketable securities balances resulting from our underwritten initial public offering in November 2015.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We have funded our operations primarily through private placements of redeemable convertible preferred stock, public offerings of our common stock, and our collaborations with Sanofi Genzyme which commenced in February 2015 and AbbVie which commenced in February 2018.</w:t>
      </w:r>
    </w:p>
    <w:p>
      <w:pPr>
        <w:spacing w:after="0" w:line="163"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On November 16, 2015, we closed our initial public offering, or IPO, whereby we sold 5,750,000 shares of common stock, at a public offering price of $14.00 per share, including 750,000 shares of common stock issued upon the full exercise by the underwriters of their option to purchase additional shares, resulting in net proceeds to us of $72.9 million after deducting underwriting discounts and commissions and offering expenses payable by us. On November 7, 2017, we sold 5,175,000 shares of common stock to the public at an offering price of $12.00 per share, including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99"/>
        <w:spacing w:after="0" w:line="224" w:lineRule="auto"/>
        <w:rPr>
          <w:sz w:val="20"/>
          <w:szCs w:val="20"/>
          <w:color w:val="auto"/>
        </w:rPr>
      </w:pPr>
      <w:r>
        <w:rPr>
          <w:rFonts w:ascii="Arial" w:cs="Arial" w:eastAsia="Arial" w:hAnsi="Arial"/>
          <w:sz w:val="18"/>
          <w:szCs w:val="18"/>
          <w:color w:val="auto"/>
        </w:rPr>
        <w:t>675,000 shares of common stock issued upon the full exercise by the underwriters of their option to purchase additional shares, resulting in net proceeds to us of $58.0 million after deducting underwriting discounts, commissions, and offering expenses payable by us.</w:t>
      </w:r>
    </w:p>
    <w:p>
      <w:pPr>
        <w:spacing w:after="0" w:line="163" w:lineRule="exact"/>
        <w:rPr>
          <w:sz w:val="20"/>
          <w:szCs w:val="20"/>
          <w:color w:val="auto"/>
        </w:rPr>
      </w:pPr>
    </w:p>
    <w:p>
      <w:pPr>
        <w:ind w:right="939" w:firstLine="648"/>
        <w:spacing w:after="0" w:line="454" w:lineRule="auto"/>
        <w:rPr>
          <w:sz w:val="20"/>
          <w:szCs w:val="20"/>
          <w:color w:val="auto"/>
        </w:rPr>
      </w:pPr>
      <w:r>
        <w:rPr>
          <w:rFonts w:ascii="Arial" w:cs="Arial" w:eastAsia="Arial" w:hAnsi="Arial"/>
          <w:sz w:val="18"/>
          <w:szCs w:val="18"/>
          <w:color w:val="auto"/>
        </w:rPr>
        <w:t xml:space="preserve">As of March 31, 2018, we had cash, cash equivalents, and marketable debt securities of $218.2 million. </w:t>
      </w:r>
      <w:r>
        <w:rPr>
          <w:rFonts w:ascii="Arial" w:cs="Arial" w:eastAsia="Arial" w:hAnsi="Arial"/>
          <w:sz w:val="18"/>
          <w:szCs w:val="18"/>
          <w:i w:val="1"/>
          <w:iCs w:val="1"/>
          <w:color w:val="auto"/>
        </w:rPr>
        <w:t>Cash Flows</w:t>
      </w:r>
    </w:p>
    <w:p>
      <w:pPr>
        <w:ind w:left="660"/>
        <w:spacing w:after="0"/>
        <w:rPr>
          <w:sz w:val="20"/>
          <w:szCs w:val="20"/>
          <w:color w:val="auto"/>
        </w:rPr>
      </w:pPr>
      <w:r>
        <w:rPr>
          <w:rFonts w:ascii="Arial" w:cs="Arial" w:eastAsia="Arial" w:hAnsi="Arial"/>
          <w:sz w:val="16"/>
          <w:szCs w:val="16"/>
          <w:color w:val="auto"/>
        </w:rPr>
        <w:t>The following table provides information regarding our cash flows for the three months ended March 31, 2018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March 31, 2017:</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4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95"/>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r>
      <w:tr>
        <w:trPr>
          <w:trHeight w:val="169"/>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614"/>
              <w:spacing w:after="0" w:line="170" w:lineRule="exact"/>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4"/>
                <w:szCs w:val="14"/>
                <w:color w:val="auto"/>
              </w:rPr>
            </w:pPr>
          </w:p>
        </w:tc>
      </w:tr>
      <w:tr>
        <w:trPr>
          <w:trHeight w:val="176"/>
        </w:trPr>
        <w:tc>
          <w:tcPr>
            <w:tcW w:w="4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provided by (used in):</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4340" w:type="dxa"/>
            <w:vAlign w:val="bottom"/>
          </w:tcPr>
          <w:p>
            <w:pPr>
              <w:ind w:left="220"/>
              <w:spacing w:after="0" w:line="176" w:lineRule="exact"/>
              <w:rPr>
                <w:sz w:val="20"/>
                <w:szCs w:val="20"/>
                <w:color w:val="auto"/>
              </w:rPr>
            </w:pPr>
            <w:r>
              <w:rPr>
                <w:rFonts w:ascii="Arial" w:cs="Arial" w:eastAsia="Arial" w:hAnsi="Arial"/>
                <w:sz w:val="18"/>
                <w:szCs w:val="18"/>
                <w:color w:val="auto"/>
              </w:rPr>
              <w:t>Operating activities</w:t>
            </w:r>
          </w:p>
        </w:tc>
        <w:tc>
          <w:tcPr>
            <w:tcW w:w="380" w:type="dxa"/>
            <w:vAlign w:val="bottom"/>
            <w:gridSpan w:val="2"/>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48,610</w:t>
            </w:r>
          </w:p>
        </w:tc>
        <w:tc>
          <w:tcPr>
            <w:tcW w:w="420" w:type="dxa"/>
            <w:vAlign w:val="bottom"/>
            <w:gridSpan w:val="2"/>
          </w:tcPr>
          <w:p>
            <w:pPr>
              <w:jc w:val="right"/>
              <w:ind w:right="105"/>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(14,294)</w:t>
            </w:r>
          </w:p>
        </w:tc>
        <w:tc>
          <w:tcPr>
            <w:tcW w:w="100" w:type="dxa"/>
            <w:vAlign w:val="bottom"/>
          </w:tcPr>
          <w:p>
            <w:pPr>
              <w:spacing w:after="0"/>
              <w:rPr>
                <w:sz w:val="15"/>
                <w:szCs w:val="15"/>
                <w:color w:val="auto"/>
              </w:rPr>
            </w:pPr>
          </w:p>
        </w:tc>
      </w:tr>
      <w:tr>
        <w:trPr>
          <w:trHeight w:val="176"/>
        </w:trPr>
        <w:tc>
          <w:tcPr>
            <w:tcW w:w="4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58,402</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20,655</w:t>
            </w:r>
          </w:p>
        </w:tc>
        <w:tc>
          <w:tcPr>
            <w:tcW w:w="100" w:type="dxa"/>
            <w:vAlign w:val="bottom"/>
            <w:shd w:val="clear" w:color="auto" w:fill="CCEEFF"/>
          </w:tcPr>
          <w:p>
            <w:pPr>
              <w:spacing w:after="0"/>
              <w:rPr>
                <w:sz w:val="15"/>
                <w:szCs w:val="15"/>
                <w:color w:val="auto"/>
              </w:rPr>
            </w:pPr>
          </w:p>
        </w:tc>
      </w:tr>
      <w:tr>
        <w:trPr>
          <w:trHeight w:val="176"/>
        </w:trPr>
        <w:tc>
          <w:tcPr>
            <w:tcW w:w="43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1,829</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tcPr>
          <w:p>
            <w:pPr>
              <w:spacing w:after="0"/>
              <w:rPr>
                <w:sz w:val="15"/>
                <w:szCs w:val="15"/>
                <w:color w:val="auto"/>
              </w:rPr>
            </w:pPr>
          </w:p>
        </w:tc>
      </w:tr>
      <w:tr>
        <w:trPr>
          <w:trHeight w:val="176"/>
        </w:trPr>
        <w:tc>
          <w:tcPr>
            <w:tcW w:w="43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2"/>
              </w:rPr>
              <w:t>Net increase in cash, cash equivalents, and restricted cash</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108,841</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6,963</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185" w:lineRule="exact"/>
        <w:rPr>
          <w:sz w:val="20"/>
          <w:szCs w:val="20"/>
          <w:color w:val="auto"/>
        </w:rPr>
      </w:pPr>
    </w:p>
    <w:p>
      <w:pPr>
        <w:ind w:right="79" w:firstLine="648"/>
        <w:spacing w:after="0" w:line="229" w:lineRule="auto"/>
        <w:rPr>
          <w:sz w:val="20"/>
          <w:szCs w:val="20"/>
          <w:color w:val="auto"/>
        </w:rPr>
      </w:pPr>
      <w:r>
        <w:rPr>
          <w:rFonts w:ascii="Arial" w:cs="Arial" w:eastAsia="Arial" w:hAnsi="Arial"/>
          <w:sz w:val="17"/>
          <w:szCs w:val="17"/>
          <w:color w:val="auto"/>
        </w:rPr>
        <w:t>Net cash provided by operating activities was $48.6 million during the three months ended March 31, 2018 compared to $14.3 million of cash used in operating activities during the three months ended March 31, 2017. The increase in cash provided by operating activities is primarily due to the receipt of $69.0 million related to the AbbVie Collaboration, offset by increases in operating expenses due to increased research and development activities, as well as higher general and administrative expenses as a result of a higher headcount and legal fees year over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185" w:lineRule="exact"/>
        <w:rPr>
          <w:sz w:val="20"/>
          <w:szCs w:val="20"/>
          <w:color w:val="auto"/>
        </w:rPr>
      </w:pPr>
    </w:p>
    <w:p>
      <w:pPr>
        <w:ind w:right="59" w:firstLine="648"/>
        <w:spacing w:after="0" w:line="225" w:lineRule="auto"/>
        <w:rPr>
          <w:sz w:val="20"/>
          <w:szCs w:val="20"/>
          <w:color w:val="auto"/>
        </w:rPr>
      </w:pPr>
      <w:r>
        <w:rPr>
          <w:rFonts w:ascii="Arial" w:cs="Arial" w:eastAsia="Arial" w:hAnsi="Arial"/>
          <w:sz w:val="17"/>
          <w:szCs w:val="17"/>
          <w:color w:val="auto"/>
        </w:rPr>
        <w:t>Net cash provided by investing activities was $58.4 million during the three months ended March 31, 2018 compared to $20.7 million of cash provided by investing activities during the three months ended March 31, 2017. The increase in cash provided by investing activities for the three months ended March 31, 2018 was primarily due to proceeds from maturities of marketable securities of $70.0 million, partially offset by $10.0 million for purchases of marketable securities and $1.6 million for purchases of property and equipment. The cash provided by investing activities for the three months ended March 31, 2017 was primarily due to $23.0 million from maturities of marketable securities partially offset by $2.9 million for purchases of property and equipment.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85" w:lineRule="exact"/>
        <w:rPr>
          <w:sz w:val="20"/>
          <w:szCs w:val="20"/>
          <w:color w:val="auto"/>
        </w:rPr>
      </w:pPr>
    </w:p>
    <w:p>
      <w:pPr>
        <w:ind w:right="719" w:firstLine="648"/>
        <w:spacing w:after="0" w:line="289" w:lineRule="auto"/>
        <w:rPr>
          <w:sz w:val="20"/>
          <w:szCs w:val="20"/>
          <w:color w:val="auto"/>
        </w:rPr>
      </w:pPr>
      <w:r>
        <w:rPr>
          <w:rFonts w:ascii="Arial" w:cs="Arial" w:eastAsia="Arial" w:hAnsi="Arial"/>
          <w:sz w:val="16"/>
          <w:szCs w:val="16"/>
          <w:color w:val="auto"/>
        </w:rPr>
        <w:t>Net cash provided by financing activities was $1.8 million and $0.6 million during the three months ended March 31, 2018 and March 31, 2017, respectively, primarily from proceeds of exercises of stock options.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159" w:firstLine="648"/>
        <w:spacing w:after="0" w:line="223"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or enter into business development transactions when needed or on acceptable terms, we could be forced to delay, reduce or eliminate our research and development programs or any future commercialization efforts.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Based upon our current operating plan, we expect our existing cash, cash equivalents, and marketable debt securities will enable us to fund our operating expenses and capital expenditure requirements into 2020. Our future capital requirements will depend on many factors, including:</w:t>
      </w:r>
    </w:p>
    <w:p>
      <w:pPr>
        <w:spacing w:after="0" w:line="163" w:lineRule="exact"/>
        <w:rPr>
          <w:sz w:val="20"/>
          <w:szCs w:val="20"/>
          <w:color w:val="auto"/>
        </w:rPr>
      </w:pPr>
    </w:p>
    <w:p>
      <w:pPr>
        <w:ind w:left="980" w:right="60" w:hanging="329"/>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 for our product candidates;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scope, progress, results, costs, prioritization, and number of our research and development programs;</w:t>
      </w:r>
    </w:p>
    <w:p>
      <w:pPr>
        <w:spacing w:after="0" w:line="209" w:lineRule="exact"/>
        <w:rPr>
          <w:rFonts w:ascii="Arial" w:cs="Arial" w:eastAsia="Arial" w:hAnsi="Arial"/>
          <w:sz w:val="17"/>
          <w:szCs w:val="17"/>
          <w:color w:val="auto"/>
        </w:rPr>
      </w:pPr>
    </w:p>
    <w:p>
      <w:pPr>
        <w:ind w:left="980" w:right="100" w:hanging="329"/>
        <w:spacing w:after="0" w:line="23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and status of our collaborations with Sanofi Genzyme and AbbVie, including any research and development costs for which we are responsible, the potential exercise by our collaboration partners of options to develop or license certain compounds, and our potential receipt of future milestone payments and royalties from our collaboration partners;</w:t>
      </w:r>
    </w:p>
    <w:p>
      <w:pPr>
        <w:spacing w:after="0" w:line="175" w:lineRule="exact"/>
        <w:rPr>
          <w:rFonts w:ascii="Arial" w:cs="Arial" w:eastAsia="Arial" w:hAnsi="Arial"/>
          <w:sz w:val="18"/>
          <w:szCs w:val="18"/>
          <w:color w:val="auto"/>
        </w:rPr>
      </w:pPr>
    </w:p>
    <w:p>
      <w:pPr>
        <w:jc w:val="both"/>
        <w:ind w:left="980" w:right="40" w:hanging="329"/>
        <w:spacing w:after="0" w:line="253"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preclinical development and clinical trial costs, or the achievement of milestones or occurrence of other developments that trigger payments, under any other collaboration agreement to which we might become a party;</w:t>
      </w:r>
    </w:p>
    <w:p>
      <w:pPr>
        <w:spacing w:after="0" w:line="165" w:lineRule="exact"/>
        <w:rPr>
          <w:rFonts w:ascii="Arial" w:cs="Arial" w:eastAsia="Arial" w:hAnsi="Arial"/>
          <w:sz w:val="17"/>
          <w:szCs w:val="17"/>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98" w:lineRule="exact"/>
        <w:rPr>
          <w:rFonts w:ascii="Arial" w:cs="Arial" w:eastAsia="Arial" w:hAnsi="Arial"/>
          <w:sz w:val="18"/>
          <w:szCs w:val="18"/>
          <w:color w:val="auto"/>
        </w:rPr>
      </w:pPr>
    </w:p>
    <w:p>
      <w:pPr>
        <w:ind w:left="980" w:hanging="329"/>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distribution, or other marketing arrangements for our product candidates on favorable terms, if at all;</w:t>
      </w:r>
    </w:p>
    <w:p>
      <w:pPr>
        <w:spacing w:after="0" w:line="169" w:lineRule="exact"/>
        <w:rPr>
          <w:rFonts w:ascii="Arial" w:cs="Arial" w:eastAsia="Arial" w:hAnsi="Arial"/>
          <w:sz w:val="18"/>
          <w:szCs w:val="18"/>
          <w:color w:val="auto"/>
        </w:rPr>
      </w:pPr>
    </w:p>
    <w:p>
      <w:pPr>
        <w:ind w:left="980" w:right="360" w:hanging="329"/>
        <w:spacing w:after="0" w:line="210"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75" w:lineRule="exact"/>
        <w:rPr>
          <w:rFonts w:ascii="Arial" w:cs="Arial" w:eastAsia="Arial" w:hAnsi="Arial"/>
          <w:sz w:val="18"/>
          <w:szCs w:val="18"/>
          <w:color w:val="auto"/>
        </w:rPr>
      </w:pPr>
    </w:p>
    <w:p>
      <w:pPr>
        <w:ind w:left="980" w:right="240" w:hanging="329"/>
        <w:spacing w:after="0" w:line="210"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 or acquire or invest in other businesses, such as our investment in MRI Interventions, Inc.;</w:t>
      </w:r>
    </w:p>
    <w:p>
      <w:pPr>
        <w:spacing w:after="0" w:line="175" w:lineRule="exact"/>
        <w:rPr>
          <w:rFonts w:ascii="Arial" w:cs="Arial" w:eastAsia="Arial" w:hAnsi="Arial"/>
          <w:sz w:val="18"/>
          <w:szCs w:val="18"/>
          <w:color w:val="auto"/>
        </w:rPr>
      </w:pPr>
    </w:p>
    <w:p>
      <w:pPr>
        <w:ind w:left="980" w:right="400" w:hanging="329"/>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related to evaluating possible alternative devices that may be useful in the delivery of our product candidates, including our ongoing development of our V-TAG device;</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w:t>
      </w:r>
    </w:p>
    <w:p>
      <w:pPr>
        <w:spacing w:after="0" w:line="198" w:lineRule="exact"/>
        <w:rPr>
          <w:rFonts w:ascii="Arial" w:cs="Arial" w:eastAsia="Arial" w:hAnsi="Arial"/>
          <w:sz w:val="18"/>
          <w:szCs w:val="18"/>
          <w:color w:val="auto"/>
        </w:rPr>
      </w:pPr>
    </w:p>
    <w:p>
      <w:pPr>
        <w:ind w:left="980" w:right="280" w:hanging="329"/>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product sales from any product candidates for which we obtain marketing approval in the future; and</w:t>
      </w:r>
    </w:p>
    <w:p>
      <w:pPr>
        <w:spacing w:after="0" w:line="169" w:lineRule="exact"/>
        <w:rPr>
          <w:rFonts w:ascii="Arial" w:cs="Arial" w:eastAsia="Arial" w:hAnsi="Arial"/>
          <w:sz w:val="18"/>
          <w:szCs w:val="18"/>
          <w:color w:val="auto"/>
        </w:rPr>
      </w:pPr>
    </w:p>
    <w:p>
      <w:pPr>
        <w:jc w:val="both"/>
        <w:ind w:left="980" w:right="980" w:hanging="329"/>
        <w:spacing w:after="0" w:line="307"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manufacturing, marketing, distribution, and other commercialization capabilities if we obtain regulatory approvals to market our product candidates.</w:t>
      </w:r>
    </w:p>
    <w:p>
      <w:pPr>
        <w:spacing w:after="0" w:line="124"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Identifying potential product candidates and conducting preclinical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years to complete. We may never generate the necessary data or results required to obtain marketing approval and achieve product sales. In addition, our product candidates, if approved, may not achieve commercial success. Our product revenues, if any, and any commercial milestones or royalty payments under our collaboration agreements, will be derived from sales of products that may not be commercially available for many years, if at all. Accordingly, we will need to continue to rely on additional financing and business development transactions to achieve our business objectives. Adequate additional financing may not be available to us on acceptable terms, or at all.</w:t>
      </w:r>
    </w:p>
    <w:p>
      <w:pPr>
        <w:spacing w:after="0" w:line="16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Until such time, if ever, as we can generate product revenues sufficient to achieve profitability, we expect to finance our cash needs through a combination of equity offerings, debt financings, collaborations, strategic alliances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licensing arrangements. To the extent that we raise additional capital through the sale of equity or equity-linked securities, including convertible debt,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w:t>
      </w:r>
    </w:p>
    <w:p>
      <w:pPr>
        <w:spacing w:after="0" w:line="165"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Collaboration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February 2018, we entered into an exclusive collaboration and option agreement, or the AbbVie Collaboration Agreement, with AbbVie Biotechnology Ltd, or AbbVie, for the research, development and commercialization of AAV and other virus-based gene therapy products for the treatment of diseases of the central nervous system and other neurodegenerative diseases related to defective or excess aggregation of tau protein in the human brain, including Alzheimer’s disease. Under the AbbVie Collaboration Agreement, we and AbbVie have agreed to collaborate on the research and development of specified vectorized antibody compounds comprised of an AAV or other viral capsid and a virus vector genome that encodes one or more antibodies that target and bind to a tau protein. The collaboration is comprised of a research period, or the Research Period, a development period, or the Development Period, and an exclusive license option, or the License Option. The AbbVie Collaboration Agreement included a non-refundable upfront payment of $69.0 million for services during the Research Period.</w:t>
      </w:r>
    </w:p>
    <w:p>
      <w:pPr>
        <w:spacing w:after="0" w:line="123"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During the Research Period, each party has agreed to identify up to five antibodies for inclusion in the collaboration. Subject to certain conditions and exceptions, the parties will select up to three antibodies, each, a Research Antibody, as candidates for creation of research compounds, each, a Research Compound, with AbbVie having the right to select two of the three Research Antibodies. We are required to use diligent efforts to conduct antibody engineering and other research activities to create Research Compounds and to develop product candidates containing or comprised of such Research Compounds, or Product Candidates. We are solely responsible for the costs and expenses during the Research Period. During a specified portion of the Research Period, AbbVie may exercise one or more of its exclusive development options, each,</w:t>
      </w:r>
    </w:p>
    <w:p>
      <w:pPr>
        <w:ind w:right="180" w:firstLine="45"/>
        <w:spacing w:after="0" w:line="218" w:lineRule="auto"/>
        <w:rPr>
          <w:sz w:val="20"/>
          <w:szCs w:val="20"/>
          <w:color w:val="auto"/>
        </w:rPr>
      </w:pPr>
      <w:r>
        <w:rPr>
          <w:rFonts w:ascii="Arial" w:cs="Arial" w:eastAsia="Arial" w:hAnsi="Arial"/>
          <w:sz w:val="18"/>
          <w:szCs w:val="18"/>
          <w:color w:val="auto"/>
        </w:rPr>
        <w:t>a Development Option, to select up to a total of three Research Compounds, which are the Selected Research Compounds, and their corresponding Product Candidates, which are the Selected Product Candidates, to proceed to the Development Period.</w:t>
      </w:r>
    </w:p>
    <w:p>
      <w:pPr>
        <w:spacing w:after="0" w:line="122"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Upon AbbVie’s exercise of a Development Option, AbbVie will pay us $80.0 million for the first Selected Research Compound and $30.0 million each for up to two additional Selected Research Compounds. During the Development Period, we are obligated to use diligent efforts to conduct development activities, including Investigational New Drug application-enabling and Phase 1 clinical trial activities, for the Selected Research Compounds and corresponding Selected Product Candidates. We will be solely responsible for the costs and expenses during the Development Period. During a specified portion of the Development Period, or the License Option Period, AbbVie may exercise its License Option to further develop and commercialize all of the Research Compounds, or the Licensed Compounds, and corresponding product candidates, or the Licensed Products. Upon AbbVie’s exercise of its License Option, AbbVie will provide a one-time payment of $75.0 million to us, and we will grant to AbbVie an exclusive, worldwide license, with the right to sublicense, under certain of our intellectual property rights to develop and commercialize the Licensed Compounds and the Licensed Products for all human diagnostic, prophylactic and therapeutic uses. In addition, after AbbVie’s exercise of the License Option, we have certain obligations to complete any remaining research and development activities that have not been completed for any Research Compounds and Product Candidates.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Our research and development activities will be conducted pursuant to the plans agreed to by the parties and overseen by a joint governance committee, or JGC, as detailed in the AbbVie Collaboration Agreement. Any material amendment to the research or development plans must be mutually agreed to by us and AbbVie, which may be through the JGC.</w:t>
      </w:r>
    </w:p>
    <w:p>
      <w:pPr>
        <w:spacing w:after="0" w:line="122"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Under the AbbVie Collaboration Agreement, AbbVie is required to use commercially reasonable efforts to develop and commercialize at least one Licensed Product in each of the United States, Japan, the United Kingdom, Germany, France, Italy, and Spain. After exercise of the License Option, AbbVie is solely responsible for all development and commercialization activities relating to Licensed Compounds and Licensed Products at its sole cost and expense, subject to the agreed-upon research and development plans. We may elect to share in AbbVie’s development costs relating to a Licensed Product on an indication-by-indication basis in exchange for a specified increase in royalties, each a Cost-Sharing Option. If we exercise a Cost-Sharing Option, we may either reimburse AbbVie for AbbVie’s applicable development costs or, in the case of certain budget overruns, AbbVie may instead deduct applicable development costs, up to a specified cap, from milestone and royalty payments owed by AbbVie to us.</w:t>
      </w:r>
    </w:p>
    <w:p>
      <w:pPr>
        <w:spacing w:after="0" w:line="127"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Under our collaboration with AbbVie, we are eligible to receive specified development and first-sale milestone payments for each Licensed Compound of up to an aggregate of $550.0 million in the case of an Alzheimer’s disease indication, up to $230.0 million in the case of the first indication other than Alzheimer’s disease and up to $115.0 million for a subsequent non-Alzheimer’s disease indication. Additionally, we are eligible to receive tiered, escalating royalties, in a range from a high-single digit to a mid-to-high teen (or, if we have exercised our Cost-Sharing Option, low-twenties) percentage of aggregate net sales of Licensed Products on a Licensed Compound by Licensed Compound basis, subject to potential reductions in certain circumstances. For each Licensed Product, AbbVie also has the right to decrease or eliminate its royalty payments on such Licensed Product in exchange for a one-time payment by AbbVie at a fair market value to be negotiated by the parties or determined pursuant to dispute resolution procedures specified in the AbbVie Collaboration Agreement.</w:t>
      </w:r>
    </w:p>
    <w:p>
      <w:pPr>
        <w:spacing w:after="0" w:line="123"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Unless earlier terminated, the AbbVie Collaboration Agreement will expire on the earliest to occur of the expiration of (i) the Development Option Period, without AbbVie’s exercise of a Development Option; (ii) the License Option Period, without AbbVie’s exercise of its License Option; and (iii) the last-to-expire royalty term with respect to all Licensed Products in all countries. We and AbbVie have customary termination rights including the right to terminate for an uncured material breach of the agreement committed by the other party, and AbbVie has the right to terminate for convenience.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w:t>
      </w:r>
    </w:p>
    <w:p>
      <w:pPr>
        <w:spacing w:after="0"/>
        <w:rPr>
          <w:sz w:val="20"/>
          <w:szCs w:val="20"/>
          <w:color w:val="auto"/>
        </w:rPr>
      </w:pPr>
      <w:r>
        <w:rPr>
          <w:rFonts w:ascii="Arial" w:cs="Arial" w:eastAsia="Arial" w:hAnsi="Arial"/>
          <w:sz w:val="18"/>
          <w:szCs w:val="18"/>
          <w:color w:val="auto"/>
        </w:rPr>
        <w:t>March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Less Than</w:t>
            </w: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6"/>
              </w:rPr>
              <w:t>1 to 3 Years</w:t>
            </w: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6"/>
              </w:rPr>
              <w:t>3 to 5 Years</w:t>
            </w: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22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8"/>
                <w:szCs w:val="8"/>
                <w:color w:val="auto"/>
              </w:rPr>
              <w:t>(1)</w:t>
            </w: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6"/>
              </w:rPr>
              <w:t>$32,507</w:t>
            </w:r>
          </w:p>
        </w:tc>
        <w:tc>
          <w:tcPr>
            <w:tcW w:w="1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$ 3,160</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  9,056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  9,864</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4"/>
              </w:rPr>
              <w:t>$ 10,427</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gridSpan w:val="2"/>
          </w:tcPr>
          <w:p>
            <w:pPr>
              <w:spacing w:after="0"/>
              <w:rPr>
                <w:sz w:val="9"/>
                <w:szCs w:val="9"/>
                <w:color w:val="auto"/>
              </w:rPr>
            </w:pPr>
          </w:p>
        </w:tc>
        <w:tc>
          <w:tcPr>
            <w:tcW w:w="5880" w:type="dxa"/>
            <w:vAlign w:val="bottom"/>
            <w:gridSpan w:val="14"/>
            <w:vMerge w:val="restart"/>
          </w:tcPr>
          <w:p>
            <w:pPr>
              <w:ind w:left="660"/>
              <w:spacing w:after="0"/>
              <w:rPr>
                <w:sz w:val="20"/>
                <w:szCs w:val="20"/>
                <w:color w:val="auto"/>
              </w:rPr>
            </w:pPr>
            <w:r>
              <w:rPr>
                <w:rFonts w:ascii="Arial" w:cs="Arial" w:eastAsia="Arial" w:hAnsi="Arial"/>
                <w:sz w:val="16"/>
                <w:szCs w:val="16"/>
                <w:color w:val="auto"/>
                <w:w w:val="93"/>
              </w:rPr>
              <w:t>We lease office space at 75 Sidney Street and 64 Sidney Street in Cambridge,</w:t>
            </w:r>
          </w:p>
        </w:tc>
        <w:tc>
          <w:tcPr>
            <w:tcW w:w="0" w:type="dxa"/>
            <w:vAlign w:val="bottom"/>
          </w:tcPr>
          <w:p>
            <w:pPr>
              <w:spacing w:after="0"/>
              <w:rPr>
                <w:sz w:val="1"/>
                <w:szCs w:val="1"/>
                <w:color w:val="auto"/>
              </w:rPr>
            </w:pPr>
          </w:p>
        </w:tc>
      </w:tr>
      <w:tr>
        <w:trPr>
          <w:trHeight w:val="240"/>
        </w:trPr>
        <w:tc>
          <w:tcPr>
            <w:tcW w:w="2280" w:type="dxa"/>
            <w:vAlign w:val="bottom"/>
            <w:gridSpan w:val="2"/>
          </w:tcPr>
          <w:p>
            <w:pPr>
              <w:jc w:val="right"/>
              <w:ind w:right="1050"/>
              <w:spacing w:after="0"/>
              <w:rPr>
                <w:sz w:val="20"/>
                <w:szCs w:val="20"/>
                <w:color w:val="auto"/>
              </w:rPr>
            </w:pPr>
            <w:r>
              <w:rPr>
                <w:rFonts w:ascii="Arial" w:cs="Arial" w:eastAsia="Arial" w:hAnsi="Arial"/>
                <w:sz w:val="14"/>
                <w:szCs w:val="14"/>
                <w:color w:val="auto"/>
              </w:rPr>
              <w:t>(1)</w:t>
            </w:r>
          </w:p>
        </w:tc>
        <w:tc>
          <w:tcPr>
            <w:tcW w:w="5880" w:type="dxa"/>
            <w:vAlign w:val="bottom"/>
            <w:gridSpan w:val="1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80" w:type="dxa"/>
            <w:vAlign w:val="bottom"/>
            <w:gridSpan w:val="14"/>
          </w:tcPr>
          <w:p>
            <w:pPr>
              <w:ind w:left="660"/>
              <w:spacing w:after="0" w:line="162" w:lineRule="exact"/>
              <w:rPr>
                <w:sz w:val="20"/>
                <w:szCs w:val="20"/>
                <w:color w:val="auto"/>
              </w:rPr>
            </w:pPr>
            <w:r>
              <w:rPr>
                <w:rFonts w:ascii="Arial" w:cs="Arial" w:eastAsia="Arial" w:hAnsi="Arial"/>
                <w:sz w:val="16"/>
                <w:szCs w:val="16"/>
                <w:color w:val="auto"/>
                <w:w w:val="92"/>
              </w:rPr>
              <w:t>Massachusetts under non</w:t>
            </w:r>
            <w:r>
              <w:rPr>
                <w:rFonts w:ascii="MS PGothic" w:cs="MS PGothic" w:eastAsia="MS PGothic" w:hAnsi="MS PGothic"/>
                <w:sz w:val="16"/>
                <w:szCs w:val="16"/>
                <w:color w:val="auto"/>
                <w:w w:val="92"/>
              </w:rPr>
              <w:t>‑</w:t>
            </w:r>
            <w:r>
              <w:rPr>
                <w:rFonts w:ascii="Arial" w:cs="Arial" w:eastAsia="Arial" w:hAnsi="Arial"/>
                <w:sz w:val="16"/>
                <w:szCs w:val="16"/>
                <w:color w:val="auto"/>
                <w:w w:val="92"/>
              </w:rPr>
              <w:t>cancelable operating leases that expire in December</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60" w:type="dxa"/>
            <w:vAlign w:val="bottom"/>
          </w:tcPr>
          <w:p>
            <w:pPr>
              <w:ind w:left="660"/>
              <w:spacing w:after="0"/>
              <w:rPr>
                <w:sz w:val="20"/>
                <w:szCs w:val="20"/>
                <w:color w:val="auto"/>
              </w:rPr>
            </w:pPr>
            <w:r>
              <w:rPr>
                <w:rFonts w:ascii="Arial" w:cs="Arial" w:eastAsia="Arial" w:hAnsi="Arial"/>
                <w:sz w:val="16"/>
                <w:szCs w:val="16"/>
                <w:color w:val="auto"/>
              </w:rPr>
              <w:t>2024.</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540" w:firstLine="648"/>
        <w:spacing w:after="0" w:line="235" w:lineRule="auto"/>
        <w:rPr>
          <w:sz w:val="20"/>
          <w:szCs w:val="20"/>
          <w:color w:val="auto"/>
        </w:rPr>
      </w:pPr>
      <w:r>
        <w:rPr>
          <w:rFonts w:ascii="Arial" w:cs="Arial" w:eastAsia="Arial" w:hAnsi="Arial"/>
          <w:sz w:val="18"/>
          <w:szCs w:val="18"/>
          <w:color w:val="auto"/>
        </w:rPr>
        <w:t>In February 2018, we executed an amendment for additional space located at 75 Sidney Street in Cambridge, Massachusetts, concurrent to the existing leases with terms going through December 2024.</w:t>
      </w:r>
    </w:p>
    <w:p>
      <w:pPr>
        <w:spacing w:after="0" w:line="94"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6"/>
          <w:szCs w:val="16"/>
          <w:color w:val="auto"/>
        </w:rPr>
        <w:t>We enter into agreements in the normal course of business with contract research organizations and institutions to license intellectual property. We have not included these future payments in the table of contractual obligations above since the contracts are cancelable at any time by us, generally upon 30 to 90 days prior written notice.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6"/>
          <w:szCs w:val="16"/>
          <w:color w:val="auto"/>
        </w:rPr>
        <w:t>Other than the above, there were no material changes to our contractual obligations and commitments described under Management’s Discussion and Analysis of Financial Condition and Results of Operations in our Annual Report on Form 10-K for the fiscal year ended December 31, 2017, as filed with the SEC on March 14, 2018.</w:t>
      </w:r>
    </w:p>
    <w:p>
      <w:pPr>
        <w:spacing w:after="0" w:line="14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right="4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 rules.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17"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w:t>
      </w:r>
    </w:p>
    <w:p>
      <w:pPr>
        <w:spacing w:after="0" w:line="87"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8"/>
          <w:szCs w:val="18"/>
          <w:color w:val="auto"/>
        </w:rPr>
        <w:t>Subject to certain conditions, as an EGC, we intend to rely on certain of these exemptions, including without limitation, (i) providing an auditor’s attestation report on our system of internal controls over financial reporting pursuant to Section 404(b)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2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We are exposed to market risk related to changes in interest rates. We have policies requiring us to invest in high-quality issuers, limit our exposure to any individual issuer, and ensure adequate liquidity.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notes. Due to the short-term duration of our investment portfolio and the low risk profile of our investments, an immediate 100 basis point change in interest rates would not have a material effect on the fair market value of our portfolio.</w:t>
      </w:r>
    </w:p>
    <w:p>
      <w:pPr>
        <w:spacing w:after="0" w:line="80"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spacing w:after="0" w:line="96"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months ended March 31, 2018.</w:t>
      </w:r>
    </w:p>
    <w:p>
      <w:pPr>
        <w:spacing w:after="0" w:line="1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89" w:lineRule="exact"/>
        <w:rPr>
          <w:sz w:val="20"/>
          <w:szCs w:val="20"/>
          <w:color w:val="auto"/>
        </w:rPr>
      </w:pPr>
    </w:p>
    <w:p>
      <w:pPr>
        <w:ind w:right="200" w:firstLine="648"/>
        <w:spacing w:after="0" w:line="244"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80" w:firstLine="648"/>
        <w:spacing w:after="0" w:line="225" w:lineRule="auto"/>
        <w:rPr>
          <w:sz w:val="20"/>
          <w:szCs w:val="20"/>
          <w:color w:val="auto"/>
        </w:rPr>
      </w:pPr>
      <w:r>
        <w:rPr>
          <w:rFonts w:ascii="Arial" w:cs="Arial" w:eastAsia="Arial" w:hAnsi="Arial"/>
          <w:sz w:val="17"/>
          <w:szCs w:val="17"/>
          <w:color w:val="auto"/>
        </w:rPr>
        <w:t>As of March 31, 2018, our management, with the participation of our principal executive officer and principal financial and accounting officer, evaluated the effectiveness of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and accounting officer have concluded based upon the evaluation described above that, as of March 31, 2018, our disclosure controls and procedures were effective at the reasonable assurance level.</w:t>
      </w:r>
    </w:p>
    <w:p>
      <w:pPr>
        <w:spacing w:after="0" w:line="162" w:lineRule="exact"/>
        <w:rPr>
          <w:sz w:val="20"/>
          <w:szCs w:val="20"/>
          <w:color w:val="auto"/>
        </w:rPr>
      </w:pPr>
    </w:p>
    <w:p>
      <w:pPr>
        <w:ind w:right="480" w:firstLine="648"/>
        <w:spacing w:after="0" w:line="258" w:lineRule="auto"/>
        <w:rPr>
          <w:sz w:val="20"/>
          <w:szCs w:val="20"/>
          <w:color w:val="auto"/>
        </w:rPr>
      </w:pPr>
      <w:r>
        <w:rPr>
          <w:rFonts w:ascii="Arial" w:cs="Arial" w:eastAsia="Arial" w:hAnsi="Arial"/>
          <w:sz w:val="17"/>
          <w:szCs w:val="17"/>
          <w:color w:val="auto"/>
        </w:rPr>
        <w:t>We continue to review and document our disclosure controls and procedures and may from time to time make changes aimed at enhancing their effectiveness and to ensure that our systems evolve with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During the three months ended March 31, 2018, there have been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89"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As of the date of this Quarterly Report on Form 10-Q, we were not party to any material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i w:val="1"/>
          <w:iCs w:val="1"/>
          <w:color w:val="auto"/>
        </w:rPr>
        <w:t>The following risk factors and other information in this Quarterly Report on Form 10-Q, including our condensed consolidated financial statements and related notes thereto, should be carefully considered. The risks and uncertainties described below are not the only ones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losses for the foreseeable future and may never achieve or maintain profitability.</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We are a clinical-stage gene therapy company with a limited operating history and have not yet generated revenues from the sales of our product candidates. Investment in biotechnology companies is highly speculative because it entails substantial upfront capital expenditures and significant risk that the product candidate will fail to obtain regulatory approval or become commercially viable. We have not yet demonstrated the ability to complete any clinical trials of our product candidates, obtain marketing approvals, manufacture a commercial-scale product or conduct sales and marketing activities necessary for successful commercialization. We continue to incur significant expenses related to research and development, and other operations in order to commercialize our product candidates. As a result, we are not and have never been profitable and have incurred losses since our inception. Our net losses were $19.9 million and $16.6 million for the three months ended March 31, 2018 and March 31, 2017, respectively. As of March 31, 2018, we had an accumulated deficit of $200.7 million.</w:t>
      </w:r>
    </w:p>
    <w:p>
      <w:pPr>
        <w:spacing w:after="0" w:line="168" w:lineRule="exact"/>
        <w:rPr>
          <w:sz w:val="20"/>
          <w:szCs w:val="20"/>
          <w:color w:val="auto"/>
        </w:rPr>
      </w:pPr>
    </w:p>
    <w:p>
      <w:pPr>
        <w:ind w:right="240" w:firstLine="648"/>
        <w:spacing w:after="0" w:line="258" w:lineRule="auto"/>
        <w:rPr>
          <w:sz w:val="20"/>
          <w:szCs w:val="20"/>
          <w:color w:val="auto"/>
        </w:rPr>
      </w:pPr>
      <w:r>
        <w:rPr>
          <w:rFonts w:ascii="Arial" w:cs="Arial" w:eastAsia="Arial" w:hAnsi="Arial"/>
          <w:sz w:val="17"/>
          <w:szCs w:val="17"/>
          <w:color w:val="auto"/>
        </w:rPr>
        <w:t>We historically have financed our operations primarily through private placements of our redeemable convertible preferred stock, public offerings of our common stock, and our collaboration agreements with Sanofi</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Genzyme and AbbVie. On November 16, 2015 we closed our IPO whereby we sold 5,750,000 shares of common stock at a public offering price of $14.00 per share, including 750,000 shares of common stock issued upon the full exercise by the underwriters of their option to purchase additional shares, resulting in net proceeds to us of $72.9 million after deducting underwriting discounts and commissions and offering expenses payable by us. On November 7, 2017, we sold 5,175,000 shares of common stock to the public at an offering price of $12.00 per share, including 675,000 shares of common stock issued upon the full exercise by the underwriters of their option to purchase additional shares, resulting in net proceeds to us of $58.0 million after deducting underwriting discounts, commissions, and offering expenses payable by us. To date, we have devoted substantially all of our financial resources to building our gene therapy platform, selecting product programs, conducting research and development, including preclinical development of our product candidates, building our intellectual property portfolio, building our team, and establishing our collaborations with Sanofi Genzyme and AbbVie. We expect that it could be several years, if ever, before we have a commercialized product candidate.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66" w:lineRule="exact"/>
        <w:rPr>
          <w:sz w:val="20"/>
          <w:szCs w:val="20"/>
          <w:color w:val="auto"/>
        </w:rPr>
      </w:pPr>
    </w:p>
    <w:p>
      <w:pPr>
        <w:ind w:left="980" w:right="120" w:hanging="329"/>
        <w:spacing w:after="0" w:line="24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investing in our gene therapy platform to optimize vector engineering, manufacturing and dosing and delivery techniques;</w:t>
      </w:r>
    </w:p>
    <w:p>
      <w:pPr>
        <w:spacing w:after="0" w:line="169" w:lineRule="exact"/>
        <w:rPr>
          <w:rFonts w:ascii="Arial" w:cs="Arial" w:eastAsia="Arial" w:hAnsi="Arial"/>
          <w:sz w:val="18"/>
          <w:szCs w:val="18"/>
          <w:color w:val="auto"/>
        </w:rPr>
      </w:pPr>
    </w:p>
    <w:p>
      <w:pPr>
        <w:ind w:left="980" w:right="300" w:hanging="329"/>
        <w:spacing w:after="0" w:line="24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advance our clinical candidate, VY-AADC, through the current Phase 1b clinical trial and into a planned pivotal Phase 2-3 clinical program as a treatment for Parkinson’s disease;</w:t>
      </w:r>
    </w:p>
    <w:p>
      <w:pPr>
        <w:spacing w:after="0" w:line="169" w:lineRule="exact"/>
        <w:rPr>
          <w:rFonts w:ascii="Arial" w:cs="Arial" w:eastAsia="Arial" w:hAnsi="Arial"/>
          <w:sz w:val="18"/>
          <w:szCs w:val="18"/>
          <w:color w:val="auto"/>
        </w:rPr>
      </w:pPr>
    </w:p>
    <w:p>
      <w:pPr>
        <w:ind w:left="980" w:right="40" w:hanging="329"/>
        <w:spacing w:after="0" w:line="24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and continue research and development of, our other programs;</w:t>
      </w:r>
    </w:p>
    <w:p>
      <w:pPr>
        <w:spacing w:after="0" w:line="169" w:lineRule="exact"/>
        <w:rPr>
          <w:rFonts w:ascii="Arial" w:cs="Arial" w:eastAsia="Arial" w:hAnsi="Arial"/>
          <w:sz w:val="18"/>
          <w:szCs w:val="18"/>
          <w:color w:val="auto"/>
        </w:rPr>
      </w:pPr>
    </w:p>
    <w:p>
      <w:pPr>
        <w:ind w:left="980" w:right="280" w:hanging="329"/>
        <w:spacing w:after="0" w:line="266"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conduct joint research and development under our strategic collaboration with AbbVie for the research, development, and commercialization of adeno-associated virus, or AAV, and other virus-based gene therapy products for the treatment of diseases of the central nervous system and other neurodegenerative diseases related to defective or excess aggregation of tau protein in the human brain, including Alzheimer’s disease;</w:t>
      </w:r>
    </w:p>
    <w:p>
      <w:pPr>
        <w:spacing w:after="0" w:line="156" w:lineRule="exact"/>
        <w:rPr>
          <w:rFonts w:ascii="Arial" w:cs="Arial" w:eastAsia="Arial" w:hAnsi="Arial"/>
          <w:sz w:val="16"/>
          <w:szCs w:val="16"/>
          <w:color w:val="auto"/>
        </w:rPr>
      </w:pPr>
    </w:p>
    <w:p>
      <w:pPr>
        <w:ind w:left="980" w:right="800" w:hanging="329"/>
        <w:spacing w:after="0" w:line="24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process research and development activities, as well as establish our research-grade and commercial manufacturing capabilities;</w:t>
      </w:r>
    </w:p>
    <w:p>
      <w:pPr>
        <w:spacing w:after="0" w:line="169" w:lineRule="exact"/>
        <w:rPr>
          <w:rFonts w:ascii="Arial" w:cs="Arial" w:eastAsia="Arial" w:hAnsi="Arial"/>
          <w:sz w:val="18"/>
          <w:szCs w:val="18"/>
          <w:color w:val="auto"/>
        </w:rPr>
      </w:pPr>
    </w:p>
    <w:p>
      <w:pPr>
        <w:ind w:left="980" w:right="360" w:hanging="329"/>
        <w:spacing w:after="0" w:line="24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additional neurological diseases for treatment with our AAV gene therapies and develop additional programs or product candidates;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to identify and optimize novel AAV capsids;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obtain regulatory clearance for devices to deliver our AAV gene therapies;</w:t>
      </w:r>
    </w:p>
    <w:p>
      <w:pPr>
        <w:spacing w:after="0" w:line="198" w:lineRule="exact"/>
        <w:rPr>
          <w:rFonts w:ascii="Arial" w:cs="Arial" w:eastAsia="Arial" w:hAnsi="Arial"/>
          <w:sz w:val="18"/>
          <w:szCs w:val="18"/>
          <w:color w:val="auto"/>
        </w:rPr>
      </w:pPr>
    </w:p>
    <w:p>
      <w:pPr>
        <w:ind w:left="980" w:right="140" w:hanging="329"/>
        <w:spacing w:after="0" w:line="24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marketing and regulatory approvals for VY-AADC or other product candidates or devices that arise from our programs that successfully complete clinical development;</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98" w:lineRule="exact"/>
        <w:rPr>
          <w:rFonts w:ascii="Arial" w:cs="Arial" w:eastAsia="Arial" w:hAnsi="Arial"/>
          <w:sz w:val="18"/>
          <w:szCs w:val="18"/>
          <w:color w:val="auto"/>
        </w:rPr>
      </w:pPr>
    </w:p>
    <w:p>
      <w:pPr>
        <w:ind w:left="980" w:right="220" w:hanging="329"/>
        <w:spacing w:after="0" w:line="24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right="179" w:hanging="329"/>
        <w:spacing w:after="0" w:line="307"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personnel, including personnel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980" w:right="759" w:hanging="329"/>
        <w:spacing w:after="0" w:line="24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product liability and clinical trial insurance coverage as we expand our clinical trials and commercialization efforts; and</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98" w:lineRule="exact"/>
        <w:rPr>
          <w:sz w:val="20"/>
          <w:szCs w:val="20"/>
          <w:color w:val="auto"/>
        </w:rPr>
      </w:pPr>
    </w:p>
    <w:p>
      <w:pPr>
        <w:ind w:right="499" w:firstLine="648"/>
        <w:spacing w:after="0" w:line="224"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Our expenses will increase if:</w:t>
      </w:r>
    </w:p>
    <w:p>
      <w:pPr>
        <w:spacing w:after="0" w:line="163" w:lineRule="exact"/>
        <w:rPr>
          <w:sz w:val="20"/>
          <w:szCs w:val="20"/>
          <w:color w:val="auto"/>
        </w:rPr>
      </w:pPr>
    </w:p>
    <w:p>
      <w:pPr>
        <w:ind w:left="980" w:right="299" w:hanging="329"/>
        <w:spacing w:after="0" w:line="307"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by the U.S. Food and Drug Administration, or FDA, or the European Medicines Agency, or EMA, or other regulatory agencies to perform trials or studies in addition to those currently expected;</w:t>
      </w:r>
    </w:p>
    <w:p>
      <w:pPr>
        <w:spacing w:after="0" w:line="123" w:lineRule="exact"/>
        <w:rPr>
          <w:rFonts w:ascii="Arial" w:cs="Arial" w:eastAsia="Arial" w:hAnsi="Arial"/>
          <w:sz w:val="16"/>
          <w:szCs w:val="16"/>
          <w:color w:val="auto"/>
        </w:rPr>
      </w:pPr>
    </w:p>
    <w:p>
      <w:pPr>
        <w:ind w:left="980" w:right="719" w:hanging="329"/>
        <w:spacing w:after="0" w:line="24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any delays in receipt of regulatory clearance to begin our planned clinical programs or to use companion devices required in such clinical programs; or</w:t>
      </w:r>
    </w:p>
    <w:p>
      <w:pPr>
        <w:spacing w:after="0" w:line="169" w:lineRule="exact"/>
        <w:rPr>
          <w:rFonts w:ascii="Arial" w:cs="Arial" w:eastAsia="Arial" w:hAnsi="Arial"/>
          <w:sz w:val="18"/>
          <w:szCs w:val="18"/>
          <w:color w:val="auto"/>
        </w:rPr>
      </w:pPr>
    </w:p>
    <w:p>
      <w:pPr>
        <w:ind w:left="980" w:right="399" w:hanging="329"/>
        <w:spacing w:after="0" w:line="24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any delays in enrollment of patients in or completing our clinical trials or the development of our product candidates.</w:t>
      </w:r>
    </w:p>
    <w:p>
      <w:pPr>
        <w:spacing w:after="0" w:line="386" w:lineRule="exact"/>
        <w:rPr>
          <w:sz w:val="20"/>
          <w:szCs w:val="20"/>
          <w:color w:val="auto"/>
        </w:rPr>
      </w:pPr>
    </w:p>
    <w:p>
      <w:pPr>
        <w:ind w:right="59" w:firstLine="648"/>
        <w:spacing w:after="0" w:line="234" w:lineRule="auto"/>
        <w:rPr>
          <w:sz w:val="20"/>
          <w:szCs w:val="20"/>
          <w:color w:val="auto"/>
        </w:rPr>
      </w:pPr>
      <w:r>
        <w:rPr>
          <w:rFonts w:ascii="Arial" w:cs="Arial" w:eastAsia="Arial" w:hAnsi="Arial"/>
          <w:sz w:val="16"/>
          <w:szCs w:val="16"/>
          <w:color w:val="auto"/>
        </w:rPr>
        <w:t>To become and remain profitable, we must develop and eventually commercialize product candidates with significant market potential, which will require us to be successful in a range of challenging activities. These activities can include completing preclinical studies and clinical trials of our product candidates; obtaining marketing approval for these product candidates; developing and obtaining marketing approval of any required companion devices; manufacturing at clinical and commercial scale; marketing and selling those products that are approved; satisfying any post-marketing requirements and achieving an adequate level of market acceptance of and obtaining and maintaining adequate coverage and reimbursement from third-party payors for such products; and protecting our rights to our intellectual property portfolio.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our stockholders to lose all or part of their investment.</w:t>
      </w:r>
    </w:p>
    <w:p>
      <w:pPr>
        <w:spacing w:after="0" w:line="170" w:lineRule="exact"/>
        <w:rPr>
          <w:sz w:val="20"/>
          <w:szCs w:val="20"/>
          <w:color w:val="auto"/>
        </w:rPr>
      </w:pPr>
    </w:p>
    <w:p>
      <w:pPr>
        <w:ind w:right="179"/>
        <w:spacing w:after="0" w:line="235" w:lineRule="auto"/>
        <w:rPr>
          <w:sz w:val="20"/>
          <w:szCs w:val="20"/>
          <w:color w:val="auto"/>
        </w:rPr>
      </w:pPr>
      <w:r>
        <w:rPr>
          <w:rFonts w:ascii="Arial" w:cs="Arial" w:eastAsia="Arial" w:hAnsi="Arial"/>
          <w:sz w:val="18"/>
          <w:szCs w:val="18"/>
          <w:b w:val="1"/>
          <w:bCs w:val="1"/>
          <w:i w:val="1"/>
          <w:iCs w:val="1"/>
          <w:color w:val="auto"/>
        </w:rPr>
        <w:t>We may not be able to generate sufficient revenue from the commercialization of our product candidates and may never be profitable.</w:t>
      </w:r>
    </w:p>
    <w:p>
      <w:pPr>
        <w:spacing w:after="0" w:line="162" w:lineRule="exact"/>
        <w:rPr>
          <w:sz w:val="20"/>
          <w:szCs w:val="20"/>
          <w:color w:val="auto"/>
        </w:rPr>
      </w:pPr>
    </w:p>
    <w:p>
      <w:pPr>
        <w:ind w:right="99" w:firstLine="648"/>
        <w:spacing w:after="0" w:line="185" w:lineRule="exact"/>
        <w:rPr>
          <w:sz w:val="20"/>
          <w:szCs w:val="20"/>
          <w:color w:val="auto"/>
        </w:rPr>
      </w:pPr>
      <w:r>
        <w:rPr>
          <w:rFonts w:ascii="Arial" w:cs="Arial" w:eastAsia="Arial" w:hAnsi="Arial"/>
          <w:sz w:val="17"/>
          <w:szCs w:val="17"/>
          <w:color w:val="auto"/>
        </w:rPr>
        <w:t>Our ability to generate revenue and achieve profitability depends on our ability, alone or with our collaborative partners, to successfully complete the development of, and obtain the regulatory approvals necessary to commercialize, our current and future product candidates. Our lead product candidate VY</w:t>
      </w:r>
      <w:r>
        <w:rPr>
          <w:rFonts w:ascii="MS PGothic" w:cs="MS PGothic" w:eastAsia="MS PGothic" w:hAnsi="MS PGothic"/>
          <w:sz w:val="17"/>
          <w:szCs w:val="17"/>
          <w:color w:val="auto"/>
        </w:rPr>
        <w:t>‑</w:t>
      </w:r>
      <w:r>
        <w:rPr>
          <w:rFonts w:ascii="Arial" w:cs="Arial" w:eastAsia="Arial" w:hAnsi="Arial"/>
          <w:sz w:val="17"/>
          <w:szCs w:val="17"/>
          <w:color w:val="auto"/>
        </w:rPr>
        <w:t>AADC is being evaluated in a Phase 1b clinical trial and advancing into a planned pivotal Phase 2-3 clinical trial in 2018, and we do not anticipate generating revenues from product sales for the next several years, and we may never succeed in doing so. Our ability to generate future revenues from product sales depends heavily on our and our collaborators’ success in:</w:t>
      </w:r>
    </w:p>
    <w:p>
      <w:pPr>
        <w:spacing w:after="0" w:line="165" w:lineRule="exact"/>
        <w:rPr>
          <w:sz w:val="20"/>
          <w:szCs w:val="20"/>
          <w:color w:val="auto"/>
        </w:rPr>
      </w:pPr>
    </w:p>
    <w:p>
      <w:pPr>
        <w:ind w:left="980" w:right="39" w:hanging="329"/>
        <w:spacing w:after="0" w:line="24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preclinical and clinical development of our product candidates and any required companion devices and identifying new product candidates;</w:t>
      </w:r>
    </w:p>
    <w:p>
      <w:pPr>
        <w:spacing w:after="0" w:line="169" w:lineRule="exact"/>
        <w:rPr>
          <w:rFonts w:ascii="Arial" w:cs="Arial" w:eastAsia="Arial" w:hAnsi="Arial"/>
          <w:sz w:val="18"/>
          <w:szCs w:val="18"/>
          <w:color w:val="auto"/>
        </w:rPr>
      </w:pPr>
    </w:p>
    <w:p>
      <w:pPr>
        <w:ind w:left="980" w:right="519" w:hanging="329"/>
        <w:spacing w:after="0" w:line="24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right="160" w:hanging="329"/>
        <w:spacing w:after="0" w:line="23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175" w:lineRule="exact"/>
        <w:rPr>
          <w:rFonts w:ascii="Arial" w:cs="Arial" w:eastAsia="Arial" w:hAnsi="Arial"/>
          <w:sz w:val="18"/>
          <w:szCs w:val="18"/>
          <w:color w:val="auto"/>
        </w:rPr>
      </w:pPr>
    </w:p>
    <w:p>
      <w:pPr>
        <w:ind w:left="980" w:right="80" w:hanging="329"/>
        <w:spacing w:after="0" w:line="210"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adequate coverage and reimbursement by government and third</w:t>
      </w:r>
      <w:r>
        <w:rPr>
          <w:rFonts w:ascii="MS PGothic" w:cs="MS PGothic" w:eastAsia="MS PGothic" w:hAnsi="MS PGothic"/>
          <w:sz w:val="18"/>
          <w:szCs w:val="18"/>
          <w:color w:val="auto"/>
        </w:rPr>
        <w:t>‑</w:t>
      </w:r>
      <w:r>
        <w:rPr>
          <w:rFonts w:ascii="Arial" w:cs="Arial" w:eastAsia="Arial" w:hAnsi="Arial"/>
          <w:sz w:val="18"/>
          <w:szCs w:val="18"/>
          <w:color w:val="auto"/>
        </w:rPr>
        <w:t>party payors for our product candidates if and when approved;</w:t>
      </w:r>
    </w:p>
    <w:p>
      <w:pPr>
        <w:spacing w:after="0" w:line="175" w:lineRule="exact"/>
        <w:rPr>
          <w:rFonts w:ascii="Arial" w:cs="Arial" w:eastAsia="Arial" w:hAnsi="Arial"/>
          <w:sz w:val="18"/>
          <w:szCs w:val="18"/>
          <w:color w:val="auto"/>
        </w:rPr>
      </w:pPr>
    </w:p>
    <w:p>
      <w:pPr>
        <w:ind w:left="980" w:right="80" w:hanging="329"/>
        <w:spacing w:after="0" w:line="24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and enhancing a sustainable, scalable, reproducible and transferable manufacturing process for our vectors and product candidates;</w:t>
      </w:r>
    </w:p>
    <w:p>
      <w:pPr>
        <w:spacing w:after="0" w:line="169" w:lineRule="exact"/>
        <w:rPr>
          <w:rFonts w:ascii="Arial" w:cs="Arial" w:eastAsia="Arial" w:hAnsi="Arial"/>
          <w:sz w:val="18"/>
          <w:szCs w:val="18"/>
          <w:color w:val="auto"/>
        </w:rPr>
      </w:pPr>
    </w:p>
    <w:p>
      <w:pPr>
        <w:ind w:left="980" w:right="360" w:hanging="329"/>
        <w:spacing w:after="0" w:line="23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adequate, in both amount and quality, products and services to support clinical development and the market demand for our product candidates, if and when approved;</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obtaining an adequate level of market acceptance of our product candidates as a viable treatment option;</w:t>
      </w:r>
    </w:p>
    <w:p>
      <w:pPr>
        <w:spacing w:after="0" w:line="209" w:lineRule="exact"/>
        <w:rPr>
          <w:rFonts w:ascii="Arial" w:cs="Arial" w:eastAsia="Arial" w:hAnsi="Arial"/>
          <w:sz w:val="17"/>
          <w:szCs w:val="17"/>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98" w:lineRule="exact"/>
        <w:rPr>
          <w:rFonts w:ascii="Arial" w:cs="Arial" w:eastAsia="Arial" w:hAnsi="Arial"/>
          <w:sz w:val="18"/>
          <w:szCs w:val="18"/>
          <w:color w:val="auto"/>
        </w:rPr>
      </w:pPr>
    </w:p>
    <w:p>
      <w:pPr>
        <w:ind w:left="980" w:right="120" w:hanging="329"/>
        <w:spacing w:after="0" w:line="24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169" w:lineRule="exact"/>
        <w:rPr>
          <w:rFonts w:ascii="Arial" w:cs="Arial" w:eastAsia="Arial" w:hAnsi="Arial"/>
          <w:sz w:val="18"/>
          <w:szCs w:val="18"/>
          <w:color w:val="auto"/>
        </w:rPr>
      </w:pPr>
    </w:p>
    <w:p>
      <w:pPr>
        <w:ind w:left="980" w:right="420" w:hanging="329"/>
        <w:spacing w:after="0" w:line="210"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17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avoiding and defending against third</w:t>
      </w:r>
      <w:r>
        <w:rPr>
          <w:rFonts w:ascii="MS PGothic" w:cs="MS PGothic" w:eastAsia="MS PGothic" w:hAnsi="MS PGothic"/>
          <w:sz w:val="18"/>
          <w:szCs w:val="18"/>
          <w:color w:val="auto"/>
        </w:rPr>
        <w:t>‑</w:t>
      </w:r>
      <w:r>
        <w:rPr>
          <w:rFonts w:ascii="Arial" w:cs="Arial" w:eastAsia="Arial" w:hAnsi="Arial"/>
          <w:sz w:val="18"/>
          <w:szCs w:val="18"/>
          <w:color w:val="auto"/>
        </w:rPr>
        <w:t>party interference or infringement claims; and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98" w:lineRule="exact"/>
        <w:rPr>
          <w:sz w:val="20"/>
          <w:szCs w:val="20"/>
          <w:color w:val="auto"/>
        </w:rPr>
      </w:pPr>
    </w:p>
    <w:p>
      <w:pPr>
        <w:ind w:right="160" w:firstLine="648"/>
        <w:spacing w:after="0" w:line="244"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EMA, or other regulatory authorities to perform preclinical studies and clinical trials in addition to those that we currently anticipate. Even if we are able to generate revenues from the sale of any approved products, we may not become profitable and may need to obtain additional funding to continue operations.</w:t>
      </w:r>
    </w:p>
    <w:p>
      <w:pPr>
        <w:spacing w:after="0" w:line="159"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6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and planned activities, particularly as we continue the research and development of, continue or initiate clinical trials of, and seek marketing approval for, our product candidates. In addition, if we obtain marketing approval for any of our product candidates, we expect to incur significant expenses related to product sales, medical affairs, marketing, manufacturing and distribution. Since the completion of our IPO on November 16, 2015, we have also incurred costs associated with operating as a public company. Accordingly, we will need to obtain substantial additional funding in connection with our continuing operations. If we are unable to raise capital or enter into business development transactions when needed or on acceptable terms, we could be forced to delay, reduce or eliminate certain of our research and development programs or any future commercialization efforts.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Our operations have consumed significant amounts of cash since inception. As of March 31, 2018, our cash, cash equivalents, and marketable debt securities were $218.2 million. Based upon our current operating plan, we expect that our existing cash, cash equivalents, and marketable debt securities, will enable us to fund our operating expenses and capital expenditure requirements into 2020.</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98" w:lineRule="exact"/>
        <w:rPr>
          <w:sz w:val="20"/>
          <w:szCs w:val="20"/>
          <w:color w:val="auto"/>
        </w:rPr>
      </w:pPr>
    </w:p>
    <w:p>
      <w:pPr>
        <w:ind w:left="980" w:right="60" w:hanging="329"/>
        <w:spacing w:after="0" w:line="246"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 for our product candidates and any required companion devices;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scope, progress, results, costs, prioritization, and number of our research and development programs;</w:t>
      </w:r>
    </w:p>
    <w:p>
      <w:pPr>
        <w:spacing w:after="0" w:line="209" w:lineRule="exact"/>
        <w:rPr>
          <w:rFonts w:ascii="Arial" w:cs="Arial" w:eastAsia="Arial" w:hAnsi="Arial"/>
          <w:sz w:val="17"/>
          <w:szCs w:val="17"/>
          <w:color w:val="auto"/>
        </w:rPr>
      </w:pPr>
    </w:p>
    <w:p>
      <w:pPr>
        <w:ind w:left="980" w:right="100" w:hanging="329"/>
        <w:spacing w:after="0" w:line="23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and status of our collaborations with Sanofi Genzyme and AbbVie, including any research and development costs for which we are responsible, the potential exercise by our collaboration partners of options to develop or license certain compounds, and our potential receipt of future milestone payments and royalties from our collaboration partners;</w:t>
      </w:r>
    </w:p>
    <w:p>
      <w:pPr>
        <w:spacing w:after="0" w:line="175" w:lineRule="exact"/>
        <w:rPr>
          <w:rFonts w:ascii="Arial" w:cs="Arial" w:eastAsia="Arial" w:hAnsi="Arial"/>
          <w:sz w:val="18"/>
          <w:szCs w:val="18"/>
          <w:color w:val="auto"/>
        </w:rPr>
      </w:pPr>
    </w:p>
    <w:p>
      <w:pPr>
        <w:jc w:val="both"/>
        <w:ind w:left="980" w:right="40" w:hanging="329"/>
        <w:spacing w:after="0" w:line="253"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preclinical development and clinical trial costs, or the achievement of milestones or occurrence of other developments that trigger payments, under any other collaboration agreement to which we might become a party;</w:t>
      </w:r>
    </w:p>
    <w:p>
      <w:pPr>
        <w:spacing w:after="0" w:line="165" w:lineRule="exact"/>
        <w:rPr>
          <w:rFonts w:ascii="Arial" w:cs="Arial" w:eastAsia="Arial" w:hAnsi="Arial"/>
          <w:sz w:val="17"/>
          <w:szCs w:val="17"/>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98" w:lineRule="exact"/>
        <w:rPr>
          <w:rFonts w:ascii="Arial" w:cs="Arial" w:eastAsia="Arial" w:hAnsi="Arial"/>
          <w:sz w:val="18"/>
          <w:szCs w:val="18"/>
          <w:color w:val="auto"/>
        </w:rPr>
      </w:pPr>
    </w:p>
    <w:p>
      <w:pPr>
        <w:ind w:left="980" w:hanging="329"/>
        <w:spacing w:after="0" w:line="246"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distribution, or other marketing arrangements for our product candidates on favorable terms, if at all;</w:t>
      </w:r>
    </w:p>
    <w:p>
      <w:pPr>
        <w:spacing w:after="0" w:line="169" w:lineRule="exact"/>
        <w:rPr>
          <w:rFonts w:ascii="Arial" w:cs="Arial" w:eastAsia="Arial" w:hAnsi="Arial"/>
          <w:sz w:val="18"/>
          <w:szCs w:val="18"/>
          <w:color w:val="auto"/>
        </w:rPr>
      </w:pPr>
    </w:p>
    <w:p>
      <w:pPr>
        <w:ind w:left="980" w:right="360" w:hanging="329"/>
        <w:spacing w:after="0" w:line="210"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75" w:lineRule="exact"/>
        <w:rPr>
          <w:rFonts w:ascii="Arial" w:cs="Arial" w:eastAsia="Arial" w:hAnsi="Arial"/>
          <w:sz w:val="18"/>
          <w:szCs w:val="18"/>
          <w:color w:val="auto"/>
        </w:rPr>
      </w:pPr>
    </w:p>
    <w:p>
      <w:pPr>
        <w:ind w:left="980" w:right="240" w:hanging="329"/>
        <w:spacing w:after="0" w:line="210"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 or acquire or invest in other businesses, such as our investment in MRI Interventions, Inc., or MRIC;</w:t>
      </w:r>
    </w:p>
    <w:p>
      <w:pPr>
        <w:spacing w:after="0" w:line="175" w:lineRule="exact"/>
        <w:rPr>
          <w:rFonts w:ascii="Arial" w:cs="Arial" w:eastAsia="Arial" w:hAnsi="Arial"/>
          <w:sz w:val="18"/>
          <w:szCs w:val="18"/>
          <w:color w:val="auto"/>
        </w:rPr>
      </w:pPr>
    </w:p>
    <w:p>
      <w:pPr>
        <w:ind w:left="980" w:right="120"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related to evaluating possible alternative devices that may be useful in the delivery of our product candidates, including our ongoing development of our Voyager Trajectory Array Guide device, which we refer to as V-TAG;</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w:t>
      </w:r>
    </w:p>
    <w:p>
      <w:pPr>
        <w:spacing w:after="0" w:line="198" w:lineRule="exact"/>
        <w:rPr>
          <w:rFonts w:ascii="Arial" w:cs="Arial" w:eastAsia="Arial" w:hAnsi="Arial"/>
          <w:sz w:val="18"/>
          <w:szCs w:val="18"/>
          <w:color w:val="auto"/>
        </w:rPr>
      </w:pPr>
    </w:p>
    <w:p>
      <w:pPr>
        <w:ind w:left="980" w:right="280" w:hanging="329"/>
        <w:spacing w:after="0" w:line="246"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product sales from any product candidates for which we obtain marketing approval in the future; and</w:t>
      </w:r>
    </w:p>
    <w:p>
      <w:pPr>
        <w:spacing w:after="0" w:line="169" w:lineRule="exact"/>
        <w:rPr>
          <w:rFonts w:ascii="Arial" w:cs="Arial" w:eastAsia="Arial" w:hAnsi="Arial"/>
          <w:sz w:val="18"/>
          <w:szCs w:val="18"/>
          <w:color w:val="auto"/>
        </w:rPr>
      </w:pPr>
    </w:p>
    <w:p>
      <w:pPr>
        <w:jc w:val="both"/>
        <w:ind w:left="980" w:right="980" w:hanging="329"/>
        <w:spacing w:after="0" w:line="307"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manufacturing, marketing, distribution, and other commercialization capabilities if we obtain regulatory approvals to market our product candidates.</w:t>
      </w:r>
    </w:p>
    <w:p>
      <w:pPr>
        <w:spacing w:after="0" w:line="340"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product revenues, if any, and any commercial milestones or royalty payments under our collaboration agreements, will be derived from sales of products that may not be commercially available for many years, if at all. Accordingly, we will need to continue to rely on additional financing and business development to achieve our business objectives. Adequate additional financing or business development transactions may not be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available to us on acceptable terms, or at all. In addition, we may seek additional capital due to favorable market conditions or strategic considerations, even if we believe we have sufficient funds for our current or future operating plans.</w:t>
      </w:r>
    </w:p>
    <w:p>
      <w:pPr>
        <w:spacing w:after="0" w:line="124"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Until such time, if ever, as we can generate product revenues sufficient to achieve profitability, we expect to finance our cash needs through a combination of equity offerings, debt financings, collaborations, strategic alliances, and licensing arrangements. We do not have any committed external source of funds other than the amounts we are entitled to receive from our collaboration partners for potential option exercises, the achievement of specified regulatory and commercial milestones, and royalty payments under our collaboration agreements. To the extent that we raise additional capital through the sale of equity or equity-linked securities, including convertible debt,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 Our issuance of additional securities, whether equity or debt, or the possibility of such issuance, may cause the market price of our common stock to decline. Further, our existing stockholders may not agree with the terms of such financings.</w:t>
      </w:r>
    </w:p>
    <w:p>
      <w:pPr>
        <w:spacing w:after="0" w:line="170"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Our limited operating history may make it difficult for our stockholders to evaluate the success of our business to date and to assess our future viability.</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We are an early-stage company. Our operations to date have been limited to building our team, business planning, raising capital, establishing our intellectual property portfolio, determining which neurological indications to pursue, advancing our product including delivery and manufacturing and conducting preclinical studies and clinical trials. Consequently, any predictions about our future success or viability may not be as accurate as they could be if we had a longer operating history.</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To achieve our current goals, we will need to transition in the future from a company with a research and development focus to a company capable of supporting commercial activities. We may not be successful in such a transition.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6"/>
          <w:szCs w:val="16"/>
          <w:color w:val="auto"/>
        </w:rPr>
        <w:t>We expect our financial condition and operating results to continue to fluctuate significantly from quarter-to-quarter and year-to-year due to a variety of factors, many of which are beyond our control. Accordingly, our stockholders should not rely upon the results of any quarterly or annual periods as indications of future operating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189" w:lineRule="exact"/>
        <w:rPr>
          <w:sz w:val="20"/>
          <w:szCs w:val="20"/>
          <w:color w:val="auto"/>
        </w:rPr>
      </w:pPr>
    </w:p>
    <w:p>
      <w:pPr>
        <w:spacing w:after="0" w:line="284" w:lineRule="auto"/>
        <w:rPr>
          <w:sz w:val="20"/>
          <w:szCs w:val="20"/>
          <w:color w:val="auto"/>
        </w:rPr>
      </w:pPr>
      <w:r>
        <w:rPr>
          <w:rFonts w:ascii="Arial" w:cs="Arial" w:eastAsia="Arial" w:hAnsi="Arial"/>
          <w:sz w:val="15"/>
          <w:szCs w:val="15"/>
          <w:b w:val="1"/>
          <w:bCs w:val="1"/>
          <w:i w:val="1"/>
          <w:iCs w:val="1"/>
          <w:color w:val="auto"/>
        </w:rPr>
        <w:t>Our AAV gene therapy product candidates are based on a relatively novel technology, which makes it difficult to predict the time and cost of development and of subsequently obtaining regulatory approval, if at all. Only three gene therapy products have been approved in the United States and only two such products have been approved in the European Union.</w:t>
      </w:r>
    </w:p>
    <w:p>
      <w:pPr>
        <w:spacing w:after="0" w:line="130"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have concentrated our research and development efforts to date on our gene therapy platform, identifying our initial targeted disease indications, and our initial product candidates. Our future success depends on our successful development of viable AAV gene therapy product candidates. Currently, only one of our product candidates, VY-AADC, is in clinical development, and the remainder of our product candidates are in preclinical development. We cannot accurately predict when or if any of our product candidates will prove effective or safe in humans or whether these product candidates will receive marketing approval. There can be no assurance that we will not experience problems or delays in developing our product candidates and that such problems or delays will not cause unanticipated costs, or that any such development problems can be solved. We also may experience unanticipated problems or delays in expanding our manufacturing capacity.</w:t>
      </w:r>
    </w:p>
    <w:p>
      <w:pPr>
        <w:spacing w:after="0" w:line="16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gene therapies can be more expensive and take longer than for other, better known or more extensively studied product candidates. Until August 2017, the FDA had never approved a gene therapy product. Since that time, it has approved Kymriah by Novartis International AG, for pediatric and young adult patients with a form of acute lymphoblastic leukemia, Yescarta by Kite Pharma, Inc., for adult patients with certain forms of non-Hodgkin lymphoma, and Luxturna by Spark Therapeutics, Inc., or Spark, for patients with an inherited form of vision loss. Similarly, only two gene therapy products, Glybera by uniQure N.V., or uniQure, which has since been withdrawn from the market by uniQure, and Strimvelis by GlaxoSmithKline PLC, have received marketing authorization from the European Commission.</w:t>
      </w:r>
    </w:p>
    <w:p>
      <w:pPr>
        <w:spacing w:after="0" w:line="163"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It is difficult to determine how long it will take or how much it will cost to obtain regulatory approvals for our product candidates in either the United States or the European Union or how long it will take to commercialize our product candidates. The few regulatory approvals to date may not be indicative of what the FDA, European Commission, or other regulatory authorities may require for approval or of whether different or additional preclinical studies or clinical trials may be required to support regulatory approval in a particular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63"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b w:val="1"/>
          <w:bCs w:val="1"/>
          <w:i w:val="1"/>
          <w:iCs w:val="1"/>
          <w:color w:val="auto"/>
        </w:rPr>
        <w:t>Regulatory requirements governing gene and cell therapy products have changed frequently and may continue to change in the future. Such requirements may lengthen the regulatory requirements review process, require us to perform additional studies, and increase our development costs or may force us to delay, limit, or terminate certain of our programs.</w:t>
      </w:r>
    </w:p>
    <w:p>
      <w:pPr>
        <w:spacing w:after="0" w:line="163"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The Center for Biologics Evaluation and Research, or CBER, of the FDA regulates biological products for human use. The Office of Tissues and Advanced Therapies, or OTAT, formerly known as the Office of Cellular, Tissue and Gene Therapies, within CBER reviews gene therapy and related products and has established the Cellular, Tissue and Gene Therapies Advisory Committee to advise CBER in its review. Gene therapy clinical trials conducted at institutions that receive funding for recombinant DNA research from the National Institutes of Health, or NIH, are also potentially subject to review by the NIH’s Office of Biotechnology Activities’ Recombinant DNA Advisory Committee,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or the RAC. Even though the FDA decides whether individual gene therapy protocols may proceed, the RAC public review process, if undertaken, can delay the initiation of a clinical trial, even if the FDA has reviewed the trial design and details and permitted its initiation. Conversely, the FDA may place an Investigational New Drug application, or IND, on a clinical hold even if the RAC has provided a favorable review or an exemption from in depth, public review.</w:t>
      </w:r>
    </w:p>
    <w:p>
      <w:pPr>
        <w:spacing w:after="0" w:line="163" w:lineRule="exact"/>
        <w:rPr>
          <w:sz w:val="20"/>
          <w:szCs w:val="20"/>
          <w:color w:val="auto"/>
        </w:rPr>
      </w:pPr>
    </w:p>
    <w:p>
      <w:pPr>
        <w:ind w:right="180" w:firstLine="648"/>
        <w:spacing w:after="0" w:line="212" w:lineRule="auto"/>
        <w:rPr>
          <w:sz w:val="20"/>
          <w:szCs w:val="20"/>
          <w:color w:val="auto"/>
        </w:rPr>
      </w:pPr>
      <w:r>
        <w:rPr>
          <w:rFonts w:ascii="Arial" w:cs="Arial" w:eastAsia="Arial" w:hAnsi="Arial"/>
          <w:sz w:val="18"/>
          <w:szCs w:val="18"/>
          <w:color w:val="auto"/>
        </w:rPr>
        <w:t>NIH-funded institutions need to have their institutional biosafety committee, or IBC, as well as their institutional review board, or IRB, review proposed clinical trials to assess the safety of the trial. The ongoing Phase 1b clinical trial of VY-AADC and the separate Phase 1 trial exploring the delivery of VY-AADC using a posterior trajectory are being conducted at the University of California San Francisco, or UCSF, and University of Pittsburgh Medical Center, or UPMC, and two other sites and therefore are subject to oversight by these authorities. Such trials will need to be re-reviewed by the respective institutional IRBs if the protocol for the trial is further amended. For any new protocol, the same processes and issues apply.</w:t>
      </w:r>
    </w:p>
    <w:p>
      <w:pPr>
        <w:spacing w:after="0" w:line="16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Adverse developments in clinical trials of gene therapy products conducted by us or others may cause the FDA or other oversight bodies to change the requirements for approval of any of our product candidates. Similarly, EMA and local health authorities of individual countries within the European Union may issue new guidelines concerning the clinical development and marketing authorization for gene therapy medicinal products and require that we comply with these new guidelines. The EMA and agencies at both the federal and state level in the United States have expressed an interest in further regulating new biotechnologies, including gene therapy. In addition, gene therapy products are considered genetically-modified organisms, or GMO, products and are regulated as such in each country. Designation of the type of GMO and subsequent handling and disposal requirements can vary across countries and is variable throughout the EU. Addressing each specific country requirement and obtaining approval to commence a clinical trial in these counties could result in delays in starting a clinical trial.</w:t>
      </w:r>
    </w:p>
    <w:p>
      <w:pPr>
        <w:spacing w:after="0" w:line="164"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w:t>
      </w:r>
      <w:r>
        <w:rPr>
          <w:rFonts w:ascii="MS PGothic" w:cs="MS PGothic" w:eastAsia="MS PGothic" w:hAnsi="MS PGothic"/>
          <w:sz w:val="17"/>
          <w:szCs w:val="17"/>
          <w:color w:val="auto"/>
        </w:rPr>
        <w:t>‑</w:t>
      </w:r>
      <w:r>
        <w:rPr>
          <w:rFonts w:ascii="Arial" w:cs="Arial" w:eastAsia="Arial" w:hAnsi="Arial"/>
          <w:sz w:val="17"/>
          <w:szCs w:val="17"/>
          <w:color w:val="auto"/>
        </w:rPr>
        <w: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Delays as a result of increased or lengthier regulatory approval process and further restrictions on development of our product candidates can be costly and could negatively impact our or our collaborators’ ability to complete clinical trials and commercialize our current and future product candidates in a timely manner, if at all.</w:t>
      </w:r>
    </w:p>
    <w:p>
      <w:pPr>
        <w:spacing w:after="0" w:line="164"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Results from preclinical studies and early</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stage clinical trials may not be indicative of efficacy in late</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stage clinical trials.</w:t>
      </w:r>
    </w:p>
    <w:p>
      <w:pPr>
        <w:spacing w:after="0" w:line="219"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All of our product candidates are in early stages of development. Clinical testing is expensive, is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stage clinical trials, interim results of a clinical trial do not necessarily predict final results and results from one completed clinical trial may not be replicated in a subsequent clinical trial with a similar study design. Some of our clinical trials, including our Phase 1 clinical trials and our Phase 1b clinical trial for VY-AADC, were conducted with small patient populations and were not blinded or placebo-controlled, making it difficult to predict whether the favorable results that we observed in such trials will be repeated in larger and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7"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6"/>
          <w:szCs w:val="16"/>
          <w:color w:val="auto"/>
        </w:rPr>
        <w:t>A number of companies in the pharmaceutical and biotechnology industries have suffered significant setbacks in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even after achieving promising results in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 If a larger population of patients does not experience positive results, if these results are not reproducible, or if our products show diminishing activity over time, our products may not receive approval from the EMA or the FDA. Data obtained from preclinical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187" w:lineRule="exact"/>
        <w:rPr>
          <w:sz w:val="20"/>
          <w:szCs w:val="20"/>
          <w:color w:val="auto"/>
        </w:rPr>
      </w:pPr>
      <w:r>
        <w:rPr>
          <w:rFonts w:ascii="Arial" w:cs="Arial" w:eastAsia="Arial" w:hAnsi="Arial"/>
          <w:sz w:val="17"/>
          <w:szCs w:val="17"/>
          <w:color w:val="auto"/>
        </w:rPr>
        <w:t>clinical activities are subject to varying interpretations, which may delay, limit or prevent regulatory approval. In addition, we may encounter regulatory delays or rejections as a result of many factors, including changes in regulatory policy during the period of product development. Failure to confirm favorable results from earlier trials by demonstrating the safety and effectiveness of our products in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 with larger patient populations could harm our business and we may never succeed in commercialization or generating product revenue.</w:t>
      </w:r>
    </w:p>
    <w:p>
      <w:pPr>
        <w:spacing w:after="0" w:line="161"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b w:val="1"/>
          <w:bCs w:val="1"/>
          <w:i w:val="1"/>
          <w:iCs w:val="1"/>
          <w:color w:val="auto"/>
        </w:rPr>
        <w:t>The doses and coverage of the putamen being employed in the ongoing VY-AADC Phase 1b clinical trial are higher than those used in prior trials and may need to be further optimized or we may not generate sufficient clinical data in a placebo-controlled trial to achieve market authorization. Further, any favorable results which we obtain from our Phase 1b clinical trial might not be replicated in subsequent trials.</w:t>
      </w:r>
    </w:p>
    <w:p>
      <w:pPr>
        <w:spacing w:after="0" w:line="163"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clinical trial results of some of our collaborators have been negatively affected by factors that had not been fully anticipated prior to the examination of the trial results. For example, the magnitude of some of the clinical responses seen in the Phase 1 clinical trial of AAV2-AADC conducted by UCSF were similar to placebo effects observed in previous surgical therapies for Parkinson’s disease. As a result, we are unable to rely on the results of this Phase 1 trial for an indication of the efficacy of treatment with VY-AADC. We believe that there is a need to optimize the dose and volume of infusion of VY-AADC to substantially increase the coverage of the putamen, the region of the brain targeted by VY-AADC, to achieve a clinical benefit. However, we can provide no assurances that we will be able to optimize these parameters and thereby achieve sufficient coverage of the putamen to achieve a clinical benefit.</w:t>
      </w:r>
    </w:p>
    <w:p>
      <w:pPr>
        <w:spacing w:after="0" w:line="168"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The ongoing Phase 1b clinical trial of VY-AADC incorporates several design features in an attempt to increase the area of the putamen, particularly the posterior putamen, which receives VY-AADC treatment. We are employing larger infusion volumes and higher doses of VY-AADC, and we are using the ClearPoint System to provide real-time, intra-operative MRI assistance to the physician surgically administering VY-AADC to the patient.</w:t>
      </w:r>
    </w:p>
    <w:p>
      <w:pPr>
        <w:spacing w:after="0" w:line="163"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We continue to follow patients from our Phase 1b clinical trial on an open-label basis for longer term safety and efficacy. We are evaluating the dose that we may use in our planned Phase 2-3 program, as informed by our ongoing clinical trials. The dose that we select may not be the same as any dose given to a cohort in our Phase 1b clinical trial. The final dose we select in the planned Phase 2-3 program may not achieve the desired safety and efficacy.</w:t>
      </w:r>
    </w:p>
    <w:p>
      <w:pPr>
        <w:spacing w:after="0" w:line="163"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Additionally, we have initiated a separate Phase 1 clinical trial to explore a posterior, or back of the head, delivery approach of VY-AADC, compared with the transfrontal, or top of the head, delivery approach employed in our first ongoing Phase 1b clinical trial. This trial utilized the same dose concentration as Cohort 3 of our Phase 1b clinical trial at a higher volume, yielding a higher total dose of VY-AADC than any of Cohort 1, 2 or 3 or than we currently believe we will select for our planned Phase 2-3 clinical program.</w:t>
      </w:r>
    </w:p>
    <w:p>
      <w:pPr>
        <w:spacing w:after="0" w:line="162"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Due to the nature of the techniques being used in the Phase 1b clinical trial and the numerous variables that can be changed, it is possible that the data generated from this trial may not provide evidence of clinical benefit. For example, physicians may use cannulas, which are small tubes, of differing lengths in the infusion procedure, or may use differing infusion speeds or infusion angles. These differences could affect the dose of VY-AADC that ultimately reaches the putamen, leading to highly variable results. Similarly, we have limited experience to date with the posterior delivery approach we are testing in our Phase 1 clinical trial, and it may not generate sufficient data for us to determine whether a posterior approach would provide clinically superior outcomes to the transfrontal approach.</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Furthermore, we plan to use a different manufacturing process for our vector in later stage Parkinson’s clinical trials. We manufacture VY-AADC using our baculovirus/Sf9 system for our later-stage clinical trials, as opposed to manufacturing in HEK 293 cells, which was used in our Phase 1 clinical trials. We have conducted studies to demonstrate comparability between the current version and the new version. It is possible, however, that the results of our planned pivotal Phase 2-3 clinical program in Parkinson’s disease may differ from the results of our Phase 1b clinical trial.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We intend to conduct, and may in the future conduct, clinical trials for product candidates at sites outside the United States, and the FDA may not accept data from trials conducted in such locations.</w:t>
      </w:r>
    </w:p>
    <w:p>
      <w:pPr>
        <w:spacing w:after="0" w:line="162"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To date, we have only conducted clinical trials in the United States. However, we may in the future choose to conduct, one or more of our clinical trials outside the United States. We generally plan to conduct our later stage and pivotal clinical trials of our product candidates globally.</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Although the FDA may accept data from clinical trials conducted outside the United States, acceptance of these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would delay or permanently halt our development of the applicable product candidates.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inherent in conducting international clinical trials include:</w:t>
      </w:r>
    </w:p>
    <w:p>
      <w:pPr>
        <w:spacing w:after="0" w:line="185" w:lineRule="exact"/>
        <w:rPr>
          <w:sz w:val="20"/>
          <w:szCs w:val="20"/>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regulatory requirements that could restrict or limit our ability to conduct our clinical trials;</w:t>
      </w:r>
    </w:p>
    <w:p>
      <w:pPr>
        <w:spacing w:after="0" w:line="198" w:lineRule="exact"/>
        <w:rPr>
          <w:rFonts w:ascii="Arial" w:cs="Arial" w:eastAsia="Arial" w:hAnsi="Arial"/>
          <w:sz w:val="18"/>
          <w:szCs w:val="18"/>
          <w:color w:val="auto"/>
        </w:rPr>
      </w:pPr>
    </w:p>
    <w:p>
      <w:pPr>
        <w:jc w:val="both"/>
        <w:ind w:left="980" w:right="840" w:hanging="329"/>
        <w:spacing w:after="0" w:line="307"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administrative burden of complying with a variety of foreign laws, medical standards and regulatory requirements, including the regulation of pharmaceutical and biotechnology products and treatment;</w:t>
      </w:r>
    </w:p>
    <w:p>
      <w:pPr>
        <w:spacing w:after="0" w:line="123" w:lineRule="exact"/>
        <w:rPr>
          <w:rFonts w:ascii="Arial" w:cs="Arial" w:eastAsia="Arial" w:hAnsi="Arial"/>
          <w:sz w:val="16"/>
          <w:szCs w:val="16"/>
          <w:color w:val="auto"/>
        </w:rPr>
      </w:pPr>
    </w:p>
    <w:p>
      <w:pPr>
        <w:ind w:left="980" w:right="280" w:hanging="329"/>
        <w:spacing w:after="0" w:line="24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enrolled patients to adhere to clinical protocols or inadequate collection and assessment of clinical data as a result of differences in healthcare services or cultural customs;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risks relevant to foreign countries.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We may encounter substantial delays or difficulties in commencement, enrollment or completion of our clinical trials or we may fail to demonstrate safety and efficacy to the satisfaction of applicable regulatory authorities, which could prevent us from commercializing our current and future product candidates on a timely basis, if at all.</w:t>
      </w:r>
    </w:p>
    <w:p>
      <w:pPr>
        <w:spacing w:after="0" w:line="147" w:lineRule="exact"/>
        <w:rPr>
          <w:sz w:val="20"/>
          <w:szCs w:val="20"/>
          <w:color w:val="auto"/>
        </w:rPr>
      </w:pPr>
    </w:p>
    <w:p>
      <w:pPr>
        <w:ind w:right="480" w:firstLine="648"/>
        <w:spacing w:after="0" w:line="194" w:lineRule="exact"/>
        <w:rPr>
          <w:sz w:val="20"/>
          <w:szCs w:val="20"/>
          <w:color w:val="auto"/>
        </w:rPr>
      </w:pPr>
      <w:r>
        <w:rPr>
          <w:rFonts w:ascii="Arial" w:cs="Arial" w:eastAsia="Arial" w:hAnsi="Arial"/>
          <w:sz w:val="18"/>
          <w:szCs w:val="18"/>
          <w:color w:val="auto"/>
        </w:rPr>
        <w:t>Before obtaining marketing approval from regulatory authorities for the sale of our current and future product candidates, we must conduct extensive clinical trials to demonstrate the safety and efficacy of the product candidates. Clinical trials are expensive, time</w:t>
      </w:r>
      <w:r>
        <w:rPr>
          <w:rFonts w:ascii="MS PGothic" w:cs="MS PGothic" w:eastAsia="MS PGothic" w:hAnsi="MS PGothic"/>
          <w:sz w:val="18"/>
          <w:szCs w:val="18"/>
          <w:color w:val="auto"/>
        </w:rPr>
        <w:t>‑</w:t>
      </w:r>
      <w:r>
        <w:rPr>
          <w:rFonts w:ascii="Arial" w:cs="Arial" w:eastAsia="Arial" w:hAnsi="Arial"/>
          <w:sz w:val="18"/>
          <w:szCs w:val="18"/>
          <w:color w:val="auto"/>
        </w:rPr>
        <w:t>consuming and their outcomes are uncertain.</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We have very limited experience with clinical trials. The ongoing Phase 1b clinical trial of VY</w:t>
      </w:r>
      <w:r>
        <w:rPr>
          <w:rFonts w:ascii="MS PGothic" w:cs="MS PGothic" w:eastAsia="MS PGothic" w:hAnsi="MS PGothic"/>
          <w:sz w:val="18"/>
          <w:szCs w:val="18"/>
          <w:color w:val="auto"/>
        </w:rPr>
        <w:t>‑</w:t>
      </w:r>
      <w:r>
        <w:rPr>
          <w:rFonts w:ascii="Arial" w:cs="Arial" w:eastAsia="Arial" w:hAnsi="Arial"/>
          <w:sz w:val="18"/>
          <w:szCs w:val="18"/>
          <w:color w:val="auto"/>
        </w:rPr>
        <w:t>AADC and the separate Phase 1 trial exploring the delivery of VY-AADC using a posterior trajectory are being conducted at four locations including UCSF and UPMC. We cannot guarantee that any clinical trials will be conducted as planned or completed on schedule, if at all. A clinical trial failure can occur at any stage of testing. Similarly, there may be delays or difficulties in our initiation of future clinical trials. Due to the additional regulatory uncertainties associated with gene therapy products, we do not intend to initiate our planned Phase 2-3 clinical trial for our clinical candidate, VY-AADC, as a treatment for Parkinson’s disease until we have met with OTAT to discuss our proposed trial design and overall development plan. Any potential changes to our proposed clinical program that OTAT may recommend or require, could delay our initiation of our planned Phase 2-3 clinical trial.</w:t>
      </w:r>
    </w:p>
    <w:p>
      <w:pPr>
        <w:spacing w:after="0" w:line="166" w:lineRule="exact"/>
        <w:rPr>
          <w:sz w:val="20"/>
          <w:szCs w:val="20"/>
          <w:color w:val="auto"/>
        </w:rPr>
      </w:pPr>
    </w:p>
    <w:p>
      <w:pPr>
        <w:ind w:right="60" w:firstLine="648"/>
        <w:spacing w:after="0" w:line="258"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We may not be able to identify, recruit and enroll a sufficient number of patients, or those with required 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39"/>
        <w:spacing w:after="0" w:line="289" w:lineRule="auto"/>
        <w:rPr>
          <w:sz w:val="20"/>
          <w:szCs w:val="20"/>
          <w:color w:val="auto"/>
        </w:rPr>
      </w:pPr>
      <w:r>
        <w:rPr>
          <w:rFonts w:ascii="Arial" w:cs="Arial" w:eastAsia="Arial" w:hAnsi="Arial"/>
          <w:sz w:val="16"/>
          <w:szCs w:val="16"/>
          <w:color w:val="auto"/>
        </w:rPr>
        <w:t>desired characteristics, to complete our clinical trials in a timely manner or at all pursuant to the requirements of the FDA, EMA, or other regulatory authorities. Patient enrollment and trial completion are affected by many factors including:</w:t>
      </w:r>
    </w:p>
    <w:p>
      <w:pPr>
        <w:spacing w:after="0" w:line="124" w:lineRule="exact"/>
        <w:rPr>
          <w:sz w:val="20"/>
          <w:szCs w:val="20"/>
          <w:color w:val="auto"/>
        </w:rPr>
      </w:pPr>
    </w:p>
    <w:p>
      <w:pPr>
        <w:ind w:left="980" w:hanging="329"/>
        <w:spacing w:after="0" w:line="184" w:lineRule="exact"/>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perceived risks and benefits of AAV gene therapy</w:t>
      </w:r>
      <w:r>
        <w:rPr>
          <w:rFonts w:ascii="MS PGothic" w:cs="MS PGothic" w:eastAsia="MS PGothic" w:hAnsi="MS PGothic"/>
          <w:sz w:val="16"/>
          <w:szCs w:val="16"/>
          <w:color w:val="auto"/>
        </w:rPr>
        <w:t>‑</w:t>
      </w:r>
      <w:r>
        <w:rPr>
          <w:rFonts w:ascii="Arial" w:cs="Arial" w:eastAsia="Arial" w:hAnsi="Arial"/>
          <w:sz w:val="16"/>
          <w:szCs w:val="16"/>
          <w:color w:val="auto"/>
        </w:rPr>
        <w:t>based approaches for the treatment of neurological diseases;</w:t>
      </w:r>
    </w:p>
    <w:p>
      <w:pPr>
        <w:spacing w:after="0" w:line="221" w:lineRule="exact"/>
        <w:rPr>
          <w:rFonts w:ascii="Arial" w:cs="Arial" w:eastAsia="Arial" w:hAnsi="Arial"/>
          <w:sz w:val="16"/>
          <w:szCs w:val="16"/>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of the delivery procedure, such as intracranial infusion for VY-AADC;</w:t>
      </w:r>
    </w:p>
    <w:p>
      <w:pPr>
        <w:spacing w:after="0" w:line="198" w:lineRule="exact"/>
        <w:rPr>
          <w:rFonts w:ascii="Arial" w:cs="Arial" w:eastAsia="Arial" w:hAnsi="Arial"/>
          <w:sz w:val="18"/>
          <w:szCs w:val="18"/>
          <w:color w:val="auto"/>
        </w:rPr>
      </w:pPr>
    </w:p>
    <w:p>
      <w:pPr>
        <w:ind w:left="980" w:right="239" w:hanging="329"/>
        <w:spacing w:after="0" w:line="24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formulation changes to our product candidates may require us to conduct additional clinical studies to bridge our modified product candidates to earlier versions;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with preexisting antibodies to the vector that preclude their participation in the trial;</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adequate compensation of patients;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98" w:lineRule="exact"/>
        <w:rPr>
          <w:rFonts w:ascii="Arial" w:cs="Arial" w:eastAsia="Arial" w:hAnsi="Arial"/>
          <w:sz w:val="18"/>
          <w:szCs w:val="18"/>
          <w:color w:val="auto"/>
        </w:rPr>
      </w:pPr>
    </w:p>
    <w:p>
      <w:pPr>
        <w:ind w:left="980" w:right="99" w:hanging="329"/>
        <w:spacing w:after="0" w:line="203" w:lineRule="exact"/>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locate appropriately trained physicians to conduct such clinical trials, which may be particularly difficult for the VY</w:t>
      </w:r>
      <w:r>
        <w:rPr>
          <w:rFonts w:ascii="MS PGothic" w:cs="MS PGothic" w:eastAsia="MS PGothic" w:hAnsi="MS PGothic"/>
          <w:sz w:val="17"/>
          <w:szCs w:val="17"/>
          <w:color w:val="auto"/>
        </w:rPr>
        <w:t>‑</w:t>
      </w:r>
      <w:r>
        <w:rPr>
          <w:rFonts w:ascii="Arial" w:cs="Arial" w:eastAsia="Arial" w:hAnsi="Arial"/>
          <w:sz w:val="17"/>
          <w:szCs w:val="17"/>
          <w:color w:val="auto"/>
        </w:rPr>
        <w:t>AADC clinical trial, in which we are currently using the ClearPoint System, which is only available at a small number of academic medical centers in the United States;</w:t>
      </w:r>
    </w:p>
    <w:p>
      <w:pPr>
        <w:spacing w:after="0" w:line="174" w:lineRule="exact"/>
        <w:rPr>
          <w:rFonts w:ascii="Arial" w:cs="Arial" w:eastAsia="Arial" w:hAnsi="Arial"/>
          <w:sz w:val="17"/>
          <w:szCs w:val="17"/>
          <w:color w:val="auto"/>
        </w:rPr>
      </w:pPr>
    </w:p>
    <w:p>
      <w:pPr>
        <w:ind w:left="980" w:right="19" w:hanging="329"/>
        <w:spacing w:after="0" w:line="24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and obtain regulatory approval of V-TAG, our real-time, intra-operative, MRI-compatible device, and to train physicians to conduct clinical trials using the device;</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willingness of patients to participate in a placebo-controlled trial;</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Further, we plan to seek marketing approvals in the United States, the European Union and other jurisdictions, which may require that we conduct clinical trials in foreign countries. Our ability to successfully initiate, enroll and complete a clinical trial in any foreign country is subject to numerous risks unique to conducting business in foreign countries, including:</w:t>
      </w:r>
    </w:p>
    <w:p>
      <w:pPr>
        <w:spacing w:after="0" w:line="163" w:lineRule="exact"/>
        <w:rPr>
          <w:sz w:val="20"/>
          <w:szCs w:val="20"/>
          <w:color w:val="auto"/>
        </w:rPr>
      </w:pPr>
    </w:p>
    <w:p>
      <w:pPr>
        <w:ind w:left="980" w:right="740" w:hanging="329"/>
        <w:spacing w:after="0" w:line="24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clinical research organizations, or CROs, and physicians;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98" w:lineRule="exact"/>
        <w:rPr>
          <w:rFonts w:ascii="Arial" w:cs="Arial" w:eastAsia="Arial" w:hAnsi="Arial"/>
          <w:sz w:val="18"/>
          <w:szCs w:val="18"/>
          <w:color w:val="auto"/>
        </w:rPr>
      </w:pPr>
    </w:p>
    <w:p>
      <w:pPr>
        <w:ind w:left="980" w:right="280" w:hanging="329"/>
        <w:spacing w:after="0" w:line="24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absence in some countries of established groups with sufficient regulatory expertise for review of AAV gene therapy protocols;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locate qualified local partners or collaborators for such clinical trials; and</w:t>
      </w:r>
    </w:p>
    <w:p>
      <w:pPr>
        <w:spacing w:after="0" w:line="198" w:lineRule="exact"/>
        <w:rPr>
          <w:rFonts w:ascii="Arial" w:cs="Arial" w:eastAsia="Arial" w:hAnsi="Arial"/>
          <w:sz w:val="18"/>
          <w:szCs w:val="18"/>
          <w:color w:val="auto"/>
        </w:rPr>
      </w:pPr>
    </w:p>
    <w:p>
      <w:pPr>
        <w:ind w:left="980" w:right="880" w:hanging="329"/>
        <w:spacing w:after="0" w:line="307"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potential burden of complying with a variety of foreign laws, medical standards and regulatory requirements, including the regulation of pharmaceutical and biotechnology products and treatment.</w:t>
      </w:r>
    </w:p>
    <w:p>
      <w:pPr>
        <w:spacing w:after="0" w:line="124"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 any of which would harm our business, financial condition, results of operations and prospects.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events that may prevent successful or timely completion of clinical development include:</w:t>
      </w:r>
    </w:p>
    <w:p>
      <w:pPr>
        <w:spacing w:after="0" w:line="185" w:lineRule="exact"/>
        <w:rPr>
          <w:sz w:val="20"/>
          <w:szCs w:val="20"/>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initiating trials due to any additional review that is required by RAC;</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98" w:lineRule="exact"/>
        <w:rPr>
          <w:rFonts w:ascii="Arial" w:cs="Arial" w:eastAsia="Arial" w:hAnsi="Arial"/>
          <w:sz w:val="18"/>
          <w:szCs w:val="18"/>
          <w:color w:val="auto"/>
        </w:rPr>
      </w:pPr>
    </w:p>
    <w:p>
      <w:pPr>
        <w:ind w:left="980" w:right="20" w:hanging="329"/>
        <w:spacing w:after="0" w:line="24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IRB or independent ethics committee approval at each clinical trial site;</w:t>
      </w:r>
    </w:p>
    <w:p>
      <w:pPr>
        <w:spacing w:after="0" w:line="169" w:lineRule="exact"/>
        <w:rPr>
          <w:rFonts w:ascii="Arial" w:cs="Arial" w:eastAsia="Arial" w:hAnsi="Arial"/>
          <w:sz w:val="18"/>
          <w:szCs w:val="18"/>
          <w:color w:val="auto"/>
        </w:rPr>
      </w:pPr>
    </w:p>
    <w:p>
      <w:pPr>
        <w:ind w:left="980" w:hanging="329"/>
        <w:spacing w:after="0" w:line="266"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imposition of a clinical hold by regulatory authorities as a result of a serious adverse event or after an inspection of our clinical trial operations or trial sites; or our decision or the requirement of regulators or institutional review boards to suspend or terminate clinical research for various reasons, including noncompliance with regulatory requirements or a finding that the participants are being exposed to unacceptable health risks;</w:t>
      </w:r>
    </w:p>
    <w:p>
      <w:pPr>
        <w:spacing w:after="0" w:line="156" w:lineRule="exact"/>
        <w:rPr>
          <w:rFonts w:ascii="Arial" w:cs="Arial" w:eastAsia="Arial" w:hAnsi="Arial"/>
          <w:sz w:val="16"/>
          <w:szCs w:val="16"/>
          <w:color w:val="auto"/>
        </w:rPr>
      </w:pPr>
    </w:p>
    <w:p>
      <w:pPr>
        <w:ind w:left="980" w:right="680" w:hanging="329"/>
        <w:spacing w:after="0" w:line="24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any CROs we engage, or any other third parties to adhere to clinical trial requirements or regulatory requirements;</w:t>
      </w:r>
    </w:p>
    <w:p>
      <w:pPr>
        <w:spacing w:after="0" w:line="169" w:lineRule="exact"/>
        <w:rPr>
          <w:rFonts w:ascii="Arial" w:cs="Arial" w:eastAsia="Arial" w:hAnsi="Arial"/>
          <w:sz w:val="18"/>
          <w:szCs w:val="18"/>
          <w:color w:val="auto"/>
        </w:rPr>
      </w:pPr>
    </w:p>
    <w:p>
      <w:pPr>
        <w:ind w:left="980" w:right="320" w:hanging="329"/>
        <w:spacing w:after="0" w:line="24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the CROs we engage, or any other third parties to perform in accordance with the FDA’s good clinical practices, or GCP, or applicable regulatory guidelines in the European Union;</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physicians to adhere to delivery protocols leading to variable results;</w:t>
      </w:r>
    </w:p>
    <w:p>
      <w:pPr>
        <w:spacing w:after="0" w:line="198" w:lineRule="exact"/>
        <w:rPr>
          <w:rFonts w:ascii="Arial" w:cs="Arial" w:eastAsia="Arial" w:hAnsi="Arial"/>
          <w:sz w:val="18"/>
          <w:szCs w:val="18"/>
          <w:color w:val="auto"/>
        </w:rPr>
      </w:pPr>
    </w:p>
    <w:p>
      <w:pPr>
        <w:ind w:left="980" w:right="440" w:hanging="329"/>
        <w:spacing w:after="0" w:line="307"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delays in the testing, validation, manufacturing and delivery of our product candidates to the clinical sites, including delays by third parties with whom we have contracted to perform certain of those functions;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right="219" w:hanging="329"/>
        <w:spacing w:after="0" w:line="23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or inadequate supply or quality of our product candidates or other materials necessary to conduct clinical trials of our product candidates, including potential delays in our planned Phase 2-3 clinical trial in Parkinson’s disease associated with the development of V-TAG;</w:t>
      </w:r>
    </w:p>
    <w:p>
      <w:pPr>
        <w:spacing w:after="0" w:line="17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w:t>
      </w:r>
      <w:r>
        <w:rPr>
          <w:rFonts w:ascii="MS PGothic" w:cs="MS PGothic" w:eastAsia="MS PGothic" w:hAnsi="MS PGothic"/>
          <w:sz w:val="18"/>
          <w:szCs w:val="18"/>
          <w:color w:val="auto"/>
        </w:rPr>
        <w:t>‑</w:t>
      </w:r>
      <w:r>
        <w:rPr>
          <w:rFonts w:ascii="Arial" w:cs="Arial" w:eastAsia="Arial" w:hAnsi="Arial"/>
          <w:sz w:val="18"/>
          <w:szCs w:val="18"/>
          <w:color w:val="auto"/>
        </w:rPr>
        <w:t>treatment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 sites or patients dropping out of a trial at a rate higher than we anticipate;</w:t>
      </w:r>
    </w:p>
    <w:p>
      <w:pPr>
        <w:spacing w:after="0" w:line="198" w:lineRule="exact"/>
        <w:rPr>
          <w:rFonts w:ascii="Arial" w:cs="Arial" w:eastAsia="Arial" w:hAnsi="Arial"/>
          <w:sz w:val="18"/>
          <w:szCs w:val="18"/>
          <w:color w:val="auto"/>
        </w:rPr>
      </w:pPr>
    </w:p>
    <w:p>
      <w:pPr>
        <w:ind w:left="980" w:right="79" w:hanging="329"/>
        <w:spacing w:after="0" w:line="24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negative or inconclusive clinical trial results;</w:t>
      </w:r>
    </w:p>
    <w:p>
      <w:pPr>
        <w:spacing w:after="0" w:line="198" w:lineRule="exact"/>
        <w:rPr>
          <w:rFonts w:ascii="Arial" w:cs="Arial" w:eastAsia="Arial" w:hAnsi="Arial"/>
          <w:sz w:val="18"/>
          <w:szCs w:val="18"/>
          <w:color w:val="auto"/>
        </w:rPr>
      </w:pPr>
    </w:p>
    <w:p>
      <w:pPr>
        <w:ind w:left="980" w:right="419" w:hanging="329"/>
        <w:spacing w:after="0" w:line="24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sponsors;</w:t>
      </w:r>
    </w:p>
    <w:p>
      <w:pPr>
        <w:spacing w:after="0" w:line="209" w:lineRule="exact"/>
        <w:rPr>
          <w:rFonts w:ascii="Arial" w:cs="Arial" w:eastAsia="Arial" w:hAnsi="Arial"/>
          <w:sz w:val="17"/>
          <w:szCs w:val="17"/>
          <w:color w:val="auto"/>
        </w:rPr>
      </w:pPr>
    </w:p>
    <w:p>
      <w:pPr>
        <w:ind w:left="980" w:hanging="329"/>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or</w:t>
      </w:r>
    </w:p>
    <w:p>
      <w:pPr>
        <w:spacing w:after="0" w:line="221" w:lineRule="exact"/>
        <w:rPr>
          <w:rFonts w:ascii="Arial" w:cs="Arial" w:eastAsia="Arial" w:hAnsi="Arial"/>
          <w:sz w:val="16"/>
          <w:szCs w:val="16"/>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98" w:lineRule="exact"/>
        <w:rPr>
          <w:sz w:val="20"/>
          <w:szCs w:val="20"/>
          <w:color w:val="auto"/>
        </w:rPr>
      </w:pPr>
    </w:p>
    <w:p>
      <w:pPr>
        <w:ind w:right="159" w:firstLine="648"/>
        <w:spacing w:after="0" w:line="225" w:lineRule="auto"/>
        <w:rPr>
          <w:sz w:val="20"/>
          <w:szCs w:val="20"/>
          <w:color w:val="auto"/>
        </w:rPr>
      </w:pPr>
      <w:r>
        <w:rPr>
          <w:rFonts w:ascii="Arial" w:cs="Arial" w:eastAsia="Arial" w:hAnsi="Arial"/>
          <w:sz w:val="17"/>
          <w:szCs w:val="17"/>
          <w:color w:val="auto"/>
        </w:rPr>
        <w:t>Any inability to successfully complete preclinical studies and clinical trials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62" w:lineRule="exact"/>
        <w:rPr>
          <w:sz w:val="20"/>
          <w:szCs w:val="20"/>
          <w:color w:val="auto"/>
        </w:rPr>
      </w:pPr>
    </w:p>
    <w:p>
      <w:pPr>
        <w:ind w:right="299" w:firstLine="648"/>
        <w:spacing w:after="0" w:line="235"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162" w:lineRule="exact"/>
        <w:rPr>
          <w:sz w:val="20"/>
          <w:szCs w:val="20"/>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209" w:lineRule="exact"/>
        <w:rPr>
          <w:rFonts w:ascii="Arial" w:cs="Arial" w:eastAsia="Arial" w:hAnsi="Arial"/>
          <w:sz w:val="17"/>
          <w:szCs w:val="17"/>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98" w:lineRule="exact"/>
        <w:rPr>
          <w:rFonts w:ascii="Arial" w:cs="Arial" w:eastAsia="Arial" w:hAnsi="Arial"/>
          <w:sz w:val="18"/>
          <w:szCs w:val="18"/>
          <w:color w:val="auto"/>
        </w:rPr>
      </w:pPr>
    </w:p>
    <w:p>
      <w:pPr>
        <w:ind w:left="980" w:right="199" w:hanging="329"/>
        <w:spacing w:after="0" w:line="210" w:lineRule="exact"/>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w:t>
      </w:r>
    </w:p>
    <w:p>
      <w:pPr>
        <w:spacing w:after="0" w:line="175" w:lineRule="exact"/>
        <w:rPr>
          <w:rFonts w:ascii="Arial" w:cs="Arial" w:eastAsia="Arial" w:hAnsi="Arial"/>
          <w:sz w:val="18"/>
          <w:szCs w:val="18"/>
          <w:color w:val="auto"/>
        </w:rPr>
      </w:pPr>
    </w:p>
    <w:p>
      <w:pPr>
        <w:ind w:left="980" w:right="359" w:hanging="329"/>
        <w:spacing w:after="0" w:line="24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Risk Evaluation and Mitigation Strategy, or REMS;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98"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b w:val="1"/>
          <w:bCs w:val="1"/>
          <w:i w:val="1"/>
          <w:iCs w:val="1"/>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4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past clinical trials that were conducted by others with non</w:t>
      </w:r>
      <w:r>
        <w:rPr>
          <w:rFonts w:ascii="MS PGothic" w:cs="MS PGothic" w:eastAsia="MS PGothic" w:hAnsi="MS PGothic"/>
          <w:sz w:val="16"/>
          <w:szCs w:val="16"/>
          <w:color w:val="auto"/>
        </w:rPr>
        <w:t>‑</w:t>
      </w:r>
      <w:r>
        <w:rPr>
          <w:rFonts w:ascii="Arial" w:cs="Arial" w:eastAsia="Arial" w:hAnsi="Arial"/>
          <w:sz w:val="16"/>
          <w:szCs w:val="16"/>
          <w:color w:val="auto"/>
        </w:rPr>
        <w:t>AAV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our vectors demonstrate a similar adverse effect, or other adverse events, we may be required to halt or delay further clinical development of our product candidates. For example, in a recently published review of patients with hepatocellular carcinomas, it was shown that a small subset contained an integrated genome sequence of wild-type AAV2 and it was suggested that AAV2 may be associated with insertional oncogenesis.</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In addition to side effects caused by the product candidate, the administration process or related procedures also can cause side effects. VY</w:t>
      </w:r>
      <w:r>
        <w:rPr>
          <w:rFonts w:ascii="MS PGothic" w:cs="MS PGothic" w:eastAsia="MS PGothic" w:hAnsi="MS PGothic"/>
          <w:sz w:val="16"/>
          <w:szCs w:val="16"/>
          <w:color w:val="auto"/>
        </w:rPr>
        <w:t>‑</w:t>
      </w:r>
      <w:r>
        <w:rPr>
          <w:rFonts w:ascii="Arial" w:cs="Arial" w:eastAsia="Arial" w:hAnsi="Arial"/>
          <w:sz w:val="16"/>
          <w:szCs w:val="16"/>
          <w:color w:val="auto"/>
        </w:rPr>
        <w:t>AADC and VY</w:t>
      </w:r>
      <w:r>
        <w:rPr>
          <w:rFonts w:ascii="MS PGothic" w:cs="MS PGothic" w:eastAsia="MS PGothic" w:hAnsi="MS PGothic"/>
          <w:sz w:val="16"/>
          <w:szCs w:val="16"/>
          <w:color w:val="auto"/>
        </w:rPr>
        <w:t>‑</w:t>
      </w:r>
      <w:r>
        <w:rPr>
          <w:rFonts w:ascii="Arial" w:cs="Arial" w:eastAsia="Arial" w:hAnsi="Arial"/>
          <w:sz w:val="16"/>
          <w:szCs w:val="16"/>
          <w:color w:val="auto"/>
        </w:rPr>
        <w:t>HTT01 will be administered directly to the targeted cells in the brain, requiring the patient to undergo brain surgery. In a previous Phase 1 clinical trial conducted by UCSF, three patients experienced hemorrhages caused by the surgical procedure for administering VY</w:t>
      </w:r>
      <w:r>
        <w:rPr>
          <w:rFonts w:ascii="MS PGothic" w:cs="MS PGothic" w:eastAsia="MS PGothic" w:hAnsi="MS PGothic"/>
          <w:sz w:val="16"/>
          <w:szCs w:val="16"/>
          <w:color w:val="auto"/>
        </w:rPr>
        <w:t>‑</w:t>
      </w:r>
      <w:r>
        <w:rPr>
          <w:rFonts w:ascii="Arial" w:cs="Arial" w:eastAsia="Arial" w:hAnsi="Arial"/>
          <w:sz w:val="16"/>
          <w:szCs w:val="16"/>
          <w:color w:val="auto"/>
        </w:rPr>
        <w:t>AADC. In the ongoing Phase 1b clinical trial of VY-AADC, we are using the ClearPoint System, which has only been used in limited gene therapy neurosurgeries to date to provide accurate placement of the cannula in the putamen, to allow for real</w:t>
      </w:r>
      <w:r>
        <w:rPr>
          <w:rFonts w:ascii="MS PGothic" w:cs="MS PGothic" w:eastAsia="MS PGothic" w:hAnsi="MS PGothic"/>
          <w:sz w:val="16"/>
          <w:szCs w:val="16"/>
          <w:color w:val="auto"/>
        </w:rPr>
        <w:t>‑</w:t>
      </w:r>
      <w:r>
        <w:rPr>
          <w:rFonts w:ascii="Arial" w:cs="Arial" w:eastAsia="Arial" w:hAnsi="Arial"/>
          <w:sz w:val="16"/>
          <w:szCs w:val="16"/>
          <w:color w:val="auto"/>
        </w:rPr>
        <w:t>time, intra</w:t>
      </w:r>
      <w:r>
        <w:rPr>
          <w:rFonts w:ascii="MS PGothic" w:cs="MS PGothic" w:eastAsia="MS PGothic" w:hAnsi="MS PGothic"/>
          <w:sz w:val="16"/>
          <w:szCs w:val="16"/>
          <w:color w:val="auto"/>
        </w:rPr>
        <w:t>‑</w:t>
      </w:r>
      <w:r>
        <w:rPr>
          <w:rFonts w:ascii="Arial" w:cs="Arial" w:eastAsia="Arial" w:hAnsi="Arial"/>
          <w:sz w:val="16"/>
          <w:szCs w:val="16"/>
          <w:color w:val="auto"/>
        </w:rPr>
        <w:t>operative MRI to assist the physician in visualizing the delivery of VY</w:t>
      </w:r>
      <w:r>
        <w:rPr>
          <w:rFonts w:ascii="MS PGothic" w:cs="MS PGothic" w:eastAsia="MS PGothic" w:hAnsi="MS PGothic"/>
          <w:sz w:val="16"/>
          <w:szCs w:val="16"/>
          <w:color w:val="auto"/>
        </w:rPr>
        <w:t>‑</w:t>
      </w:r>
      <w:r>
        <w:rPr>
          <w:rFonts w:ascii="Arial" w:cs="Arial" w:eastAsia="Arial" w:hAnsi="Arial"/>
          <w:sz w:val="16"/>
          <w:szCs w:val="16"/>
          <w:color w:val="auto"/>
        </w:rPr>
        <w:t>AADC to the putamen and to avoid specific blood vessels during the duration of the surgical procedure, with the goal of reducing the risk of hemorrhages. One patient in the ongoing Phase 1b trial at UCSF experienced two SAEs, a pulmonary embolism, or blood clot in the lungs, and related heart arrhythmia, or irregular heartbeat, which were determined to be related to the surgical procedure and prolonged immobility, not VY</w:t>
      </w:r>
      <w:r>
        <w:rPr>
          <w:rFonts w:ascii="MS PGothic" w:cs="MS PGothic" w:eastAsia="MS PGothic" w:hAnsi="MS PGothic"/>
          <w:sz w:val="16"/>
          <w:szCs w:val="16"/>
          <w:color w:val="auto"/>
        </w:rPr>
        <w:t>‑</w:t>
      </w:r>
      <w:r>
        <w:rPr>
          <w:rFonts w:ascii="Arial" w:cs="Arial" w:eastAsia="Arial" w:hAnsi="Arial"/>
          <w:sz w:val="16"/>
          <w:szCs w:val="16"/>
          <w:color w:val="auto"/>
        </w:rPr>
        <w:t>AADC. In future trials, we may use V-TAG, a proprietary real-time, intra-operative, MRI-compatible device that we are currently developing. If other side effects were to occur in connection with the surgical procedure, our clinical trials could be suspended or terminated.</w:t>
      </w:r>
    </w:p>
    <w:p>
      <w:pPr>
        <w:spacing w:after="0" w:line="170"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If in the future we are unable to demonstrate that such side effects were caused by the administration process or related procedures or are unable to modify the trial protocol adequately to address such side effects, the FDA, the European Commission, the EMA or other regulatory authorities could order us to cease further development of, or deny approval of, our product candidates for any or all targeted indications. For products that “knock down” or reduce the amount of an abnormal gene, their effects on other parts of the body, or “off target” effects, could result in unforeseen toxicity. Even if we are able to demonstrate that any future SAEs are not product</w:t>
      </w:r>
      <w:r>
        <w:rPr>
          <w:rFonts w:ascii="MS PGothic" w:cs="MS PGothic" w:eastAsia="MS PGothic" w:hAnsi="MS PGothic"/>
          <w:sz w:val="16"/>
          <w:szCs w:val="16"/>
          <w:color w:val="auto"/>
        </w:rPr>
        <w:t>‑</w:t>
      </w:r>
      <w:r>
        <w:rPr>
          <w:rFonts w:ascii="Arial" w:cs="Arial" w:eastAsia="Arial" w:hAnsi="Arial"/>
          <w:sz w:val="16"/>
          <w:szCs w:val="16"/>
          <w:color w:val="auto"/>
        </w:rPr>
        <w: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6"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REMS to ensure that the benefits outweigh its risks, which may include, among other things, a medication guide outlining the risks of the product for distribution to patients and a communication plan to health care practitioners. Furthermore, adverse events which were initially considered unrelated to the study treatment of the clinical trial may later be found to be caused by the study treatment. If we or others later identify undesirable side effects caused by our product candidate, several potentially significant negative consequences could result, including:</w:t>
      </w:r>
    </w:p>
    <w:p>
      <w:pPr>
        <w:spacing w:after="0" w:line="165" w:lineRule="exact"/>
        <w:rPr>
          <w:sz w:val="20"/>
          <w:szCs w:val="20"/>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hanging="329"/>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administered or conduct additional clinical trials;</w:t>
      </w:r>
    </w:p>
    <w:p>
      <w:pPr>
        <w:spacing w:after="0" w:line="221" w:lineRule="exact"/>
        <w:rPr>
          <w:rFonts w:ascii="Arial" w:cs="Arial" w:eastAsia="Arial" w:hAnsi="Arial"/>
          <w:sz w:val="16"/>
          <w:szCs w:val="16"/>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98"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62"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b w:val="1"/>
          <w:bCs w:val="1"/>
          <w:i w:val="1"/>
          <w:iCs w:val="1"/>
          <w:color w:val="auto"/>
        </w:rPr>
        <w:t>We may be unable to obtain orphan drug designation or exclusivity for any of our product candidates for which we seek such designation.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63"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of 1983, the FDA may designate a product candidate as an orphan drug or biological product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or biological product will be recovered from sales in the United States. We have received feedback from the FDA that VY-AADC for the treatment of Parkinson’s disease does not qualify for orphan disease designation because the potential for its use in earlier stages of Parkinson’s disease exceeds the 200,000 patient population criteria in the United States. In the European Union, EMA’s Committee for Orphan Medicinal Products grants orphan drug designation to promote the development of products that are intended for the diagnosis, prevention or treatment of a life</w:t>
      </w:r>
      <w:r>
        <w:rPr>
          <w:rFonts w:ascii="MS PGothic" w:cs="MS PGothic" w:eastAsia="MS PGothic" w:hAnsi="MS PGothic"/>
          <w:sz w:val="16"/>
          <w:szCs w:val="16"/>
          <w:color w:val="auto"/>
        </w:rPr>
        <w:t>‑</w:t>
      </w:r>
      <w:r>
        <w:rPr>
          <w:rFonts w:ascii="Arial" w:cs="Arial" w:eastAsia="Arial" w:hAnsi="Arial"/>
          <w:sz w:val="16"/>
          <w:szCs w:val="16"/>
          <w:color w:val="auto"/>
        </w:rPr>
        <w:t>threatening or chronically debilitating condition affecting not more than five in 10,000 persons in the European Union. Additionally, orphan designation is granted for products intended for the diagnosis, prevention or treatment of a life</w:t>
      </w:r>
      <w:r>
        <w:rPr>
          <w:rFonts w:ascii="MS PGothic" w:cs="MS PGothic" w:eastAsia="MS PGothic" w:hAnsi="MS PGothic"/>
          <w:sz w:val="16"/>
          <w:szCs w:val="16"/>
          <w:color w:val="auto"/>
        </w:rPr>
        <w:t>‑</w:t>
      </w:r>
      <w:r>
        <w:rPr>
          <w:rFonts w:ascii="Arial" w:cs="Arial" w:eastAsia="Arial" w:hAnsi="Arial"/>
          <w:sz w:val="16"/>
          <w:szCs w:val="16"/>
          <w:color w:val="auto"/>
        </w:rPr>
        <w:t>threatening, seriously debilitating or serious and chronic condition and when, without incentives, it is unlikely that sales of the drug in the European Union would be sufficient to justify the necessary investment in developing the drug or biologic product. We have received feedback from the Committee for Orphan Medicinal Products that orphan designation likely would not be granted for VY-AADC in Parkinson’s disease since they do not grant such status for more severe stages of a disease.</w:t>
      </w:r>
    </w:p>
    <w:p>
      <w:pPr>
        <w:spacing w:after="0" w:line="167"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may be precluded from receiving marketing approval for our product for the applicable exclusivity period. The applicable period is seven years in the United States and 10 years in the European Union. The exclusivity period in the United States can be extended by nine months if the BLA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6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We believe that all of our current programs may qualify for orphan drug designation except for VY-AADC for Parkinson’s disease. Even if we obtain orphan drug exclusivity for a product candidate, that exclusivity may not effectively protect the product candidate from competition because different drugs or biological products can be approved for the same condition. In the United States, even after an orphan drug is approved, the FDA may subsequently approve another drug or biological product for the same condition if the FDA concludes that the latter drug or biological product is not the same drug or biological product or is clinically superior in that it is shown to be safer, more effective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or makes a major contribution to patient care. In the European Union, marketing authorization may be granted to a similar medicinal product for the same orphan indication if:</w:t>
      </w:r>
    </w:p>
    <w:p>
      <w:pPr>
        <w:spacing w:after="0" w:line="162" w:lineRule="exact"/>
        <w:rPr>
          <w:sz w:val="20"/>
          <w:szCs w:val="20"/>
          <w:color w:val="auto"/>
        </w:rPr>
      </w:pPr>
    </w:p>
    <w:p>
      <w:pPr>
        <w:ind w:left="980" w:right="240" w:hanging="329"/>
        <w:spacing w:after="0" w:line="275"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146" w:lineRule="exact"/>
        <w:rPr>
          <w:rFonts w:ascii="Arial" w:cs="Arial" w:eastAsia="Arial" w:hAnsi="Arial"/>
          <w:sz w:val="17"/>
          <w:szCs w:val="17"/>
          <w:color w:val="auto"/>
        </w:rPr>
      </w:pPr>
    </w:p>
    <w:p>
      <w:pPr>
        <w:ind w:left="980" w:right="20" w:hanging="329"/>
        <w:spacing w:after="0" w:line="24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69" w:lineRule="exact"/>
        <w:rPr>
          <w:rFonts w:ascii="Arial" w:cs="Arial" w:eastAsia="Arial" w:hAnsi="Arial"/>
          <w:sz w:val="18"/>
          <w:szCs w:val="18"/>
          <w:color w:val="auto"/>
        </w:rPr>
      </w:pPr>
    </w:p>
    <w:p>
      <w:pPr>
        <w:ind w:left="980" w:right="320" w:hanging="329"/>
        <w:spacing w:after="0" w:line="24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80" w:firstLine="648"/>
        <w:spacing w:after="0" w:line="231" w:lineRule="auto"/>
        <w:rPr>
          <w:sz w:val="20"/>
          <w:szCs w:val="20"/>
          <w:color w:val="auto"/>
        </w:rPr>
      </w:pPr>
      <w:r>
        <w:rPr>
          <w:rFonts w:ascii="Arial" w:cs="Arial" w:eastAsia="Arial" w:hAnsi="Arial"/>
          <w:sz w:val="18"/>
          <w:szCs w:val="18"/>
          <w:color w:val="auto"/>
        </w:rPr>
        <w:t>Even if we seek orphan drug designation from the FDA, the European Commission or other regulatory agencies for a product candidate, there can be no assurances that the regulatory agency or agencies will grant such designation. Additionally, the designation of any of our product candidates as an orphan drug does not guarantee that any regulatory agency will ultimately approve that product candidate.</w:t>
      </w:r>
    </w:p>
    <w:p>
      <w:pPr>
        <w:spacing w:after="0" w:line="175" w:lineRule="exact"/>
        <w:rPr>
          <w:sz w:val="20"/>
          <w:szCs w:val="20"/>
          <w:color w:val="auto"/>
        </w:rPr>
      </w:pPr>
    </w:p>
    <w:p>
      <w:pPr>
        <w:ind w:right="40" w:firstLine="648"/>
        <w:spacing w:after="0" w:line="237" w:lineRule="auto"/>
        <w:rPr>
          <w:sz w:val="20"/>
          <w:szCs w:val="20"/>
          <w:color w:val="auto"/>
        </w:rPr>
      </w:pPr>
      <w:r>
        <w:rPr>
          <w:rFonts w:ascii="Arial" w:cs="Arial" w:eastAsia="Arial" w:hAnsi="Arial"/>
          <w:sz w:val="17"/>
          <w:szCs w:val="17"/>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0"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A potential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or biological product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w:t>
      </w:r>
    </w:p>
    <w:p>
      <w:pPr>
        <w:spacing w:after="0" w:line="167"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drugs or biological products no longer meet the conditions for qualification.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A potential regenerative medicine advanced therapy designation by the FDA for our product candidates may not lead to a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may seek a regenerative medicine advanced therapy designation for some of our product candidates. A regenerative medicine advanced therapy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regenerative medicine advanced therapy program is intended to facilitate efficient development and expedite review of regenerative medicine advanced therapies, which are intended to treat, modify, reverse, or cure a serious or life-threatening disease or condition. A new drug application or a biologics license application, or BLA, for a regenerative medicine advanced therapy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162"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Designation as a regenerative medicine advanced therapy is within the discretion of the FDA. Accordingly, even if we believe one of our product candidates meets the criteria for designation as a regenerative medicine advanced therapy, the FDA may disagree and instead determine not to make such designation. In any event, the receipt of a regenerative medicine advanced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regenerative medicine advanced therapies, the FDA may later decide that the biological products no longer meet the conditions for qualification.</w:t>
      </w:r>
    </w:p>
    <w:p>
      <w:pPr>
        <w:spacing w:after="0" w:line="16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Fast track designation by the FDA may not actually lead to a faster development or regulatory review or approval process and does not assure FDA approval of our product candidate.</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If a drug is intended for the treatment of a serious or life-threatening condition and the drug demonstrates the potential to address unmet medical need for this condition, the drug sponsor may apply for FDA fast track designation. VY-AADC has been granted fast track designation by the FDA. We may seek such a designation for our other product candidates. A fast track designation does not ensure that the product candidate will receive marketing approval or that approval will be granted within any particular timeframe. Thus, fast track products may not experience a faster development process, review or approval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7"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Priority review designation by the FDA may not lead to a faster regulatory review or approval process and, in any event, does not assure FDA approval of our product candidate.</w:t>
      </w:r>
    </w:p>
    <w:p>
      <w:pPr>
        <w:spacing w:after="0" w:line="162" w:lineRule="exact"/>
        <w:rPr>
          <w:sz w:val="20"/>
          <w:szCs w:val="20"/>
          <w:color w:val="auto"/>
        </w:rPr>
      </w:pPr>
    </w:p>
    <w:p>
      <w:pPr>
        <w:ind w:right="40" w:firstLine="648"/>
        <w:spacing w:after="0" w:line="210" w:lineRule="auto"/>
        <w:rPr>
          <w:sz w:val="20"/>
          <w:szCs w:val="20"/>
          <w:color w:val="auto"/>
        </w:rPr>
      </w:pPr>
      <w:r>
        <w:rPr>
          <w:rFonts w:ascii="Arial" w:cs="Arial" w:eastAsia="Arial" w:hAnsi="Arial"/>
          <w:sz w:val="18"/>
          <w:szCs w:val="18"/>
          <w:color w:val="auto"/>
        </w:rPr>
        <w:t>If the FDA determines that a product candidate offers major advances in treatment or provides a treatment where no adequate therapy exists, the FDA may designate the product candidate for priority review. A priority review designation means that the FDA’s goal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drug candidates. If we or any future collaborators are not able to obtain, or if there are delays in obtaining, required regulatory approvals, we or they will not be able to commercialize our drug candidates, and our ability to generate revenue will be materially impaired.</w:t>
      </w:r>
    </w:p>
    <w:p>
      <w:pPr>
        <w:spacing w:after="0" w:line="161"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Our drug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other regulatory agencies in the United States and by the EMA and comparable regulatory authorities in other countries. Failure to obtain marketing approval for a drug candidate will prevent us from commercializing the drug candidate. We have not received approval to market any of our drug candidates from regulatory authorities in any jurisdiction. We have only limited experience in filing and supporting the applications necessary to gain marketing approvals and expect to rely on third-party contract research organizations to assist us in this process.</w:t>
      </w:r>
    </w:p>
    <w:p>
      <w:pPr>
        <w:spacing w:after="0" w:line="168"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Securing marketing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5" w:lineRule="exact"/>
        <w:rPr>
          <w:sz w:val="20"/>
          <w:szCs w:val="20"/>
          <w:color w:val="auto"/>
        </w:rPr>
      </w:pPr>
    </w:p>
    <w:p>
      <w:pPr>
        <w:ind w:right="60" w:firstLine="648"/>
        <w:spacing w:after="0" w:line="235" w:lineRule="auto"/>
        <w:rPr>
          <w:sz w:val="20"/>
          <w:szCs w:val="20"/>
          <w:color w:val="auto"/>
        </w:rPr>
      </w:pPr>
      <w:r>
        <w:rPr>
          <w:rFonts w:ascii="Arial" w:cs="Arial" w:eastAsia="Arial" w:hAnsi="Arial"/>
          <w:sz w:val="16"/>
          <w:szCs w:val="16"/>
          <w:color w:val="auto"/>
        </w:rPr>
        <w:t>The process of obtaining marketing approvals, both in the United States and abroad, is expensive (submission fee in the United States is more than $2.0 million and may be higher in the future),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drug candidate. Any marketing approval we, or any future collaborators, ultimately obtain may be limited or subject to restrictions or post-approval commitments that render the approved product not commercially viable.</w:t>
      </w:r>
    </w:p>
    <w:p>
      <w:pPr>
        <w:spacing w:after="0" w:line="166"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Accordingly, if we or any future collaborators experience delays in obtaining approval or if we or they fail to obtain approval of our drug candidates, the commercial prospects for our drug candidates may be harmed and our ability to generate revenues will be materially impaired.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regulatory approval for a product candidate, our products will remain subject to regulatory oversight.</w:t>
      </w:r>
    </w:p>
    <w:p>
      <w:pPr>
        <w:spacing w:after="0" w:line="208"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storing, advertising, promoting, sampling, record</w:t>
      </w:r>
      <w:r>
        <w:rPr>
          <w:rFonts w:ascii="MS PGothic" w:cs="MS PGothic" w:eastAsia="MS PGothic" w:hAnsi="MS PGothic"/>
          <w:sz w:val="17"/>
          <w:szCs w:val="17"/>
          <w:color w:val="auto"/>
        </w:rPr>
        <w:t>‑</w:t>
      </w:r>
      <w:r>
        <w:rPr>
          <w:rFonts w:ascii="Arial" w:cs="Arial" w:eastAsia="Arial" w:hAnsi="Arial"/>
          <w:sz w:val="17"/>
          <w:szCs w:val="17"/>
          <w:color w:val="auto"/>
        </w:rPr>
        <w:t>keeping and submitting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w:t>
      </w:r>
      <w:r>
        <w:rPr>
          <w:rFonts w:ascii="MS PGothic" w:cs="MS PGothic" w:eastAsia="MS PGothic" w:hAnsi="MS PGothic"/>
          <w:sz w:val="17"/>
          <w:szCs w:val="17"/>
          <w:color w:val="auto"/>
        </w:rPr>
        <w:t>‑</w:t>
      </w:r>
      <w:r>
        <w:rPr>
          <w:rFonts w:ascii="Arial" w:cs="Arial" w:eastAsia="Arial" w:hAnsi="Arial"/>
          <w:sz w:val="17"/>
          <w:szCs w:val="17"/>
          <w:color w:val="auto"/>
        </w:rPr>
        <w: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w:t>
      </w:r>
      <w:r>
        <w:rPr>
          <w:rFonts w:ascii="MS PGothic" w:cs="MS PGothic" w:eastAsia="MS PGothic" w:hAnsi="MS PGothic"/>
          <w:sz w:val="17"/>
          <w:szCs w:val="17"/>
          <w:color w:val="auto"/>
        </w:rPr>
        <w:t>‑</w:t>
      </w:r>
      <w:r>
        <w:rPr>
          <w:rFonts w:ascii="Arial" w:cs="Arial" w:eastAsia="Arial" w:hAnsi="Arial"/>
          <w:sz w:val="17"/>
          <w:szCs w:val="17"/>
          <w:color w:val="auto"/>
        </w:rPr>
        <w:t>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99" w:firstLine="648"/>
        <w:spacing w:after="0" w:line="225"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62" w:lineRule="exact"/>
        <w:rPr>
          <w:sz w:val="20"/>
          <w:szCs w:val="20"/>
          <w:color w:val="auto"/>
        </w:rPr>
      </w:pPr>
    </w:p>
    <w:p>
      <w:pPr>
        <w:ind w:right="79" w:firstLine="648"/>
        <w:spacing w:after="0" w:line="235" w:lineRule="auto"/>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62" w:lineRule="exact"/>
        <w:rPr>
          <w:sz w:val="20"/>
          <w:szCs w:val="20"/>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98" w:lineRule="exact"/>
        <w:rPr>
          <w:rFonts w:ascii="Arial" w:cs="Arial" w:eastAsia="Arial" w:hAnsi="Arial"/>
          <w:sz w:val="18"/>
          <w:szCs w:val="18"/>
          <w:color w:val="auto"/>
        </w:rPr>
      </w:pPr>
    </w:p>
    <w:p>
      <w:pPr>
        <w:ind w:left="980" w:right="319" w:hanging="329"/>
        <w:spacing w:after="0" w:line="246"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98" w:lineRule="exact"/>
        <w:rPr>
          <w:sz w:val="20"/>
          <w:szCs w:val="20"/>
          <w:color w:val="auto"/>
        </w:rPr>
      </w:pPr>
    </w:p>
    <w:p>
      <w:pPr>
        <w:ind w:right="39" w:firstLine="648"/>
        <w:spacing w:after="0" w:line="21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63" w:lineRule="exact"/>
        <w:rPr>
          <w:sz w:val="20"/>
          <w:szCs w:val="20"/>
          <w:color w:val="auto"/>
        </w:rPr>
      </w:pPr>
    </w:p>
    <w:p>
      <w:pPr>
        <w:ind w:right="99" w:firstLine="648"/>
        <w:spacing w:after="0" w:line="225" w:lineRule="auto"/>
        <w:rPr>
          <w:sz w:val="20"/>
          <w:szCs w:val="20"/>
          <w:color w:val="auto"/>
        </w:rPr>
      </w:pPr>
      <w:r>
        <w:rPr>
          <w:rFonts w:ascii="Arial" w:cs="Arial" w:eastAsia="Arial" w:hAnsi="Arial"/>
          <w:sz w:val="17"/>
          <w:szCs w:val="17"/>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162" w:lineRule="exact"/>
        <w:rPr>
          <w:sz w:val="20"/>
          <w:szCs w:val="20"/>
          <w:color w:val="auto"/>
        </w:rPr>
      </w:pPr>
    </w:p>
    <w:p>
      <w:pPr>
        <w:ind w:right="39"/>
        <w:spacing w:after="0" w:line="21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163" w:lineRule="exact"/>
        <w:rPr>
          <w:sz w:val="20"/>
          <w:szCs w:val="20"/>
          <w:color w:val="auto"/>
        </w:rPr>
      </w:pPr>
    </w:p>
    <w:p>
      <w:pPr>
        <w:ind w:right="39" w:firstLine="648"/>
        <w:spacing w:after="0" w:line="238" w:lineRule="auto"/>
        <w:rPr>
          <w:sz w:val="20"/>
          <w:szCs w:val="20"/>
          <w:color w:val="auto"/>
        </w:rPr>
      </w:pPr>
      <w:r>
        <w:rPr>
          <w:rFonts w:ascii="Arial" w:cs="Arial" w:eastAsia="Arial" w:hAnsi="Arial"/>
          <w:sz w:val="17"/>
          <w:szCs w:val="17"/>
          <w:color w:val="auto"/>
        </w:rPr>
        <w:t>The biotechnology and pharmaceutical industries, including the gene therapy field, are characterized by rapidly changing technologies, intense and dynamic competition to develop new technologies and proprietary therapies, and a strong emphasis on intellectual property. We face substantial competition from many different sources, including large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and specialty pharmaceutical and biotechnology companies, academic research institutions, government agencies and public and private research institutions.</w:t>
      </w:r>
    </w:p>
    <w:p>
      <w:pPr>
        <w:spacing w:after="0" w:line="162" w:lineRule="exact"/>
        <w:rPr>
          <w:sz w:val="20"/>
          <w:szCs w:val="20"/>
          <w:color w:val="auto"/>
        </w:rPr>
      </w:pPr>
    </w:p>
    <w:p>
      <w:pPr>
        <w:ind w:right="80" w:firstLine="648"/>
        <w:spacing w:after="0" w:line="225" w:lineRule="auto"/>
        <w:rPr>
          <w:sz w:val="20"/>
          <w:szCs w:val="20"/>
          <w:color w:val="auto"/>
        </w:rPr>
      </w:pPr>
      <w:r>
        <w:rPr>
          <w:rFonts w:ascii="Arial" w:cs="Arial" w:eastAsia="Arial" w:hAnsi="Arial"/>
          <w:sz w:val="18"/>
          <w:szCs w:val="18"/>
          <w:color w:val="auto"/>
        </w:rPr>
        <w:t>We are aware of several companies focused on developing gene therapies in various indications, including bluebird bio, Inc., Abeona Therapeutics, Inc., Adverum Biotechnologies, Inc., Aevitas Therapeutics, Inc., Agilis Biotherapeutics, LLC, Applied Genetic Technologies Corporation, Asklepios BioPharmaceutical, Inc., Audentes Therapeutics, Inc., AveXis, Inc., GenSight Biologics SA, LogicBio Therapeutics, Inc., Lysogene SA, MeiraGTx Ltd., NightstaRx Ltd, Prevail Therapeutics, Inc., REGENXBio Inc., Solid Biosciences, Inc., uniQure NV, Pfizer, Inc., or Pfizer, and Spark,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0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7"/>
          <w:szCs w:val="17"/>
          <w:color w:val="auto"/>
        </w:rPr>
        <w:t>We expect that VY-AADC will compete with a variety of therapies currently marketed and in development for Parkinson’s disease, including DBS marketed by Medtronic plc, Abbott Laboratories (acquired from St. Jude Medical in 2017), and other medical device companies, DUOPA/Duodopa marketed by AbbVie Inc., as well as other novel, non-oral forms of levodopa in development, including NeuroDerm’s ND0612 (acquired by Mitsubishi Tanabe Pharma in 2017), Acorda Therapeutics’ inhaled levodopa, CVT-301, and Sunovion Pharmaceuticals’ sublingual apomorphine, APL-130277 (acquired from Cynapsus Therapeutics). Gene therapy competition for Parkinson’s disease previously included AMT-090 or AAV-GDNF, but this was deprioritized by uniQure in 2016. Oxford Biomedica plc is planning for a Phase 1/2 trial in 2018 for OXB-102, a second generation LentiVector gene therapy.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expect that our preclinical programs will compete with a variety of therapies in development, including:</w:t>
      </w:r>
    </w:p>
    <w:p>
      <w:pPr>
        <w:spacing w:after="0" w:line="131" w:lineRule="exact"/>
        <w:rPr>
          <w:sz w:val="20"/>
          <w:szCs w:val="20"/>
          <w:color w:val="auto"/>
        </w:rPr>
      </w:pPr>
    </w:p>
    <w:p>
      <w:pPr>
        <w:ind w:left="660" w:right="60" w:hanging="9"/>
        <w:spacing w:after="0" w:line="224" w:lineRule="auto"/>
        <w:tabs>
          <w:tab w:leader="none" w:pos="1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VY-SOD101 for a monogenic form of ALS will potentially compete with IONIS-SOD1Rx being developed by Ionis Pharmaceuticals, Inc., or Ionis, in collaboration with Biogen Inc., or Biogen, and a gene therapy being developed by AveXis;</w:t>
      </w:r>
    </w:p>
    <w:p>
      <w:pPr>
        <w:spacing w:after="0" w:line="163" w:lineRule="exact"/>
        <w:rPr>
          <w:rFonts w:ascii="Arial" w:cs="Arial" w:eastAsia="Arial" w:hAnsi="Arial"/>
          <w:sz w:val="18"/>
          <w:szCs w:val="18"/>
          <w:color w:val="auto"/>
        </w:rPr>
      </w:pPr>
    </w:p>
    <w:p>
      <w:pPr>
        <w:ind w:left="660" w:right="40" w:hanging="9"/>
        <w:spacing w:after="0" w:line="219" w:lineRule="auto"/>
        <w:tabs>
          <w:tab w:leader="none" w:pos="1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VY-FXN01 for Friedreich’s ataxia will potentially compete with AAV-FXN being developed by Adverum Biotechnologies, AAV-FXN being developed by Pfizer, and frataxin targeted gene therapy being developed by Agilis Biotherapeutics, LLC in collaboration with Intrexon Corporation, and BMN 290 being developed by BioMarin Pharmaceutical Inc.;</w:t>
      </w:r>
    </w:p>
    <w:p>
      <w:pPr>
        <w:spacing w:after="0" w:line="162" w:lineRule="exact"/>
        <w:rPr>
          <w:rFonts w:ascii="Arial" w:cs="Arial" w:eastAsia="Arial" w:hAnsi="Arial"/>
          <w:sz w:val="18"/>
          <w:szCs w:val="18"/>
          <w:color w:val="auto"/>
        </w:rPr>
      </w:pPr>
    </w:p>
    <w:p>
      <w:pPr>
        <w:ind w:left="660" w:hanging="9"/>
        <w:spacing w:after="0" w:line="216" w:lineRule="auto"/>
        <w:tabs>
          <w:tab w:leader="none" w:pos="1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VY-HTT01 for Huntington’s disease will potentially compete with IONIS-HTTRx being developed by Ionis in collaboration with F. Hoffmann-La Roche Ltd., or Roche, WVE-120101 and WVE-120102 being developed by WAVE Life Sciences in collaboration with Takeda Pharmaceuticals, a Zinc Finger Protein (ZFP) therapy being developed by Sangamo Therapeutics, Inc. in collaboration with Shire plc, and gene therapies being developed by uniQure and Spark;</w:t>
      </w:r>
    </w:p>
    <w:p>
      <w:pPr>
        <w:spacing w:after="0" w:line="162" w:lineRule="exact"/>
        <w:rPr>
          <w:rFonts w:ascii="Arial" w:cs="Arial" w:eastAsia="Arial" w:hAnsi="Arial"/>
          <w:sz w:val="18"/>
          <w:szCs w:val="18"/>
          <w:color w:val="auto"/>
        </w:rPr>
      </w:pPr>
    </w:p>
    <w:p>
      <w:pPr>
        <w:ind w:left="660" w:right="200" w:hanging="9"/>
        <w:spacing w:after="0" w:line="219" w:lineRule="auto"/>
        <w:tabs>
          <w:tab w:leader="none" w:pos="13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Tau program for tauopathies including Alzheimer’s disease, PSP, and FTD will potentially compete with tau antibodies being developed by Roche Genentech Inc. in collaboration with AC Immune SA, Eli Lilly &amp; Co., AbbVie Inc., Biogen, and several other companies, as well as an antisense oligonucleotide program being developed by Ionis in collaboration with Biogen; and</w:t>
      </w:r>
    </w:p>
    <w:p>
      <w:pPr>
        <w:spacing w:after="0" w:line="33" w:lineRule="exact"/>
        <w:rPr>
          <w:rFonts w:ascii="Arial" w:cs="Arial" w:eastAsia="Arial" w:hAnsi="Arial"/>
          <w:sz w:val="18"/>
          <w:szCs w:val="18"/>
          <w:color w:val="auto"/>
        </w:rPr>
      </w:pPr>
    </w:p>
    <w:p>
      <w:pPr>
        <w:ind w:left="1360" w:hanging="709"/>
        <w:spacing w:after="0"/>
        <w:tabs>
          <w:tab w:leader="none" w:pos="1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VY-NAV01 for severe, chronic pain will potentially compete with Na</w:t>
      </w:r>
      <w:r>
        <w:rPr>
          <w:rFonts w:ascii="Arial" w:cs="Arial" w:eastAsia="Arial" w:hAnsi="Arial"/>
          <w:sz w:val="28"/>
          <w:szCs w:val="28"/>
          <w:color w:val="auto"/>
          <w:vertAlign w:val="subscript"/>
        </w:rPr>
        <w:t>v</w:t>
      </w:r>
      <w:r>
        <w:rPr>
          <w:rFonts w:ascii="Arial" w:cs="Arial" w:eastAsia="Arial" w:hAnsi="Arial"/>
          <w:sz w:val="17"/>
          <w:szCs w:val="17"/>
          <w:color w:val="auto"/>
        </w:rPr>
        <w:t>1.7 inhibitors being developed by</w:t>
      </w:r>
    </w:p>
    <w:p>
      <w:pPr>
        <w:spacing w:after="0" w:line="53" w:lineRule="exact"/>
        <w:rPr>
          <w:sz w:val="20"/>
          <w:szCs w:val="20"/>
          <w:color w:val="auto"/>
        </w:rPr>
      </w:pPr>
    </w:p>
    <w:p>
      <w:pPr>
        <w:ind w:left="660" w:right="300"/>
        <w:spacing w:after="0" w:line="195" w:lineRule="auto"/>
        <w:rPr>
          <w:sz w:val="20"/>
          <w:szCs w:val="20"/>
          <w:color w:val="auto"/>
        </w:rPr>
      </w:pPr>
      <w:r>
        <w:rPr>
          <w:rFonts w:ascii="Arial" w:cs="Arial" w:eastAsia="Arial" w:hAnsi="Arial"/>
          <w:sz w:val="17"/>
          <w:szCs w:val="17"/>
          <w:color w:val="auto"/>
        </w:rPr>
        <w:t>Pfizer, Teva Pharmaceuticals, Biogen, Roche Genentech Inc. in collaboration with Xenon Pharmaceuticals, Inc., Amgen, Inc., and Astellas Pharma Inc, and Na</w:t>
      </w:r>
      <w:r>
        <w:rPr>
          <w:rFonts w:ascii="Arial" w:cs="Arial" w:eastAsia="Arial" w:hAnsi="Arial"/>
          <w:sz w:val="28"/>
          <w:szCs w:val="28"/>
          <w:color w:val="auto"/>
          <w:vertAlign w:val="subscript"/>
        </w:rPr>
        <w:t>v</w:t>
      </w:r>
      <w:r>
        <w:rPr>
          <w:rFonts w:ascii="Arial" w:cs="Arial" w:eastAsia="Arial" w:hAnsi="Arial"/>
          <w:sz w:val="17"/>
          <w:szCs w:val="17"/>
          <w:color w:val="auto"/>
        </w:rPr>
        <w:t>1.8 inhibitors being developed by Vertex.</w:t>
      </w:r>
    </w:p>
    <w:p>
      <w:pPr>
        <w:spacing w:after="0" w:line="185" w:lineRule="exact"/>
        <w:rPr>
          <w:sz w:val="20"/>
          <w:szCs w:val="20"/>
          <w:color w:val="auto"/>
        </w:rPr>
      </w:pPr>
    </w:p>
    <w:p>
      <w:pPr>
        <w:ind w:right="360" w:firstLine="648"/>
        <w:spacing w:after="0" w:line="238" w:lineRule="auto"/>
        <w:rPr>
          <w:sz w:val="20"/>
          <w:szCs w:val="20"/>
          <w:color w:val="auto"/>
        </w:rPr>
      </w:pPr>
      <w:r>
        <w:rPr>
          <w:rFonts w:ascii="Arial" w:cs="Arial" w:eastAsia="Arial" w:hAnsi="Arial"/>
          <w:sz w:val="17"/>
          <w:szCs w:val="17"/>
          <w:color w:val="auto"/>
        </w:rPr>
        <w:t>We are also aware of several companies and institutions who have developed or are developing real-time, intra-operative, MRI-compatible devices that would compete with V-TAG. Investigators in the Phase 1b clinical trial of VY-AADC and the separate Phase 1 posterior trajectory trial have used the ClearPoint System from MRIC.</w:t>
      </w:r>
    </w:p>
    <w:p>
      <w:pPr>
        <w:spacing w:after="0" w:line="161"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59"/>
        <w:spacing w:after="0" w:line="222" w:lineRule="auto"/>
        <w:rPr>
          <w:sz w:val="20"/>
          <w:szCs w:val="20"/>
          <w:color w:val="auto"/>
        </w:rPr>
      </w:pPr>
      <w:r>
        <w:rPr>
          <w:rFonts w:ascii="Arial" w:cs="Arial" w:eastAsia="Arial" w:hAnsi="Arial"/>
          <w:sz w:val="17"/>
          <w:szCs w:val="17"/>
          <w:color w:val="auto"/>
        </w:rPr>
        <w:t>resources being concentrated among a smaller number of competitors. Smaller and other early stage companies may also prove to be significant competitors, particularly through collaborative agreements with large and established companies.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us, which could result in our competitors establishing a strong market position before we are able to enter the market. Additionally, technologies developed or acquired by our competitors may render our potential product candidates uneconomical or obsolete, and we may not be successful in marketing our product candidates against competitors. These third parties also compete with us in recruiting and retaining qualified scientific and management personnel, establishing clinical trial sites, and registering patients for clinical trials.</w:t>
      </w:r>
    </w:p>
    <w:p>
      <w:pPr>
        <w:spacing w:after="0" w:line="164" w:lineRule="exact"/>
        <w:rPr>
          <w:sz w:val="20"/>
          <w:szCs w:val="20"/>
          <w:color w:val="auto"/>
        </w:rPr>
      </w:pPr>
    </w:p>
    <w:p>
      <w:pPr>
        <w:ind w:right="219" w:firstLine="648"/>
        <w:spacing w:after="0" w:line="216"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 scope of patents relating to our competitors’ products. The availability of our competitors’ products could limit the demand, and the price we are able to charge, for any products that we may develop and commercialize. If we are not able to compete effectively against potential competitors, our business will not grow and our financial condition and operations will be harmed.</w:t>
      </w:r>
    </w:p>
    <w:p>
      <w:pPr>
        <w:spacing w:after="0" w:line="162" w:lineRule="exact"/>
        <w:rPr>
          <w:sz w:val="20"/>
          <w:szCs w:val="20"/>
          <w:color w:val="auto"/>
        </w:rPr>
      </w:pPr>
    </w:p>
    <w:p>
      <w:pPr>
        <w:ind w:right="19"/>
        <w:spacing w:after="0" w:line="224"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96" w:lineRule="exact"/>
        <w:rPr>
          <w:sz w:val="20"/>
          <w:szCs w:val="20"/>
          <w:color w:val="auto"/>
        </w:rPr>
      </w:pPr>
    </w:p>
    <w:p>
      <w:pPr>
        <w:ind w:right="19" w:firstLine="648"/>
        <w:spacing w:after="0" w:line="184" w:lineRule="exact"/>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59" w:lineRule="exact"/>
        <w:rPr>
          <w:sz w:val="20"/>
          <w:szCs w:val="20"/>
          <w:color w:val="auto"/>
        </w:rPr>
      </w:pPr>
    </w:p>
    <w:p>
      <w:pPr>
        <w:ind w:right="159" w:firstLine="648"/>
        <w:spacing w:after="0" w:line="249"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87"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we may be forced to restrict or delay efforts to seek regulatory approval in the United Kingdom and/or European Union for our product candidates, which could significantly and materially harm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08"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b w:val="1"/>
          <w:bCs w:val="1"/>
          <w:i w:val="1"/>
          <w:iCs w:val="1"/>
          <w:color w:val="auto"/>
        </w:rPr>
        <w:t>To date, all of our revenue has been derived from our collaborations with Sanofi Genzyme and AbbVie, and if either of these collaboration agreements were to be terminated, our business financial condition, results of operations and prospects would be harmed.</w:t>
      </w:r>
    </w:p>
    <w:p>
      <w:pPr>
        <w:spacing w:after="0" w:line="96" w:lineRule="exact"/>
        <w:rPr>
          <w:sz w:val="20"/>
          <w:szCs w:val="20"/>
          <w:color w:val="auto"/>
        </w:rPr>
      </w:pPr>
    </w:p>
    <w:p>
      <w:pPr>
        <w:ind w:right="40" w:firstLine="648"/>
        <w:spacing w:after="0" w:line="218" w:lineRule="auto"/>
        <w:rPr>
          <w:sz w:val="20"/>
          <w:szCs w:val="20"/>
          <w:color w:val="auto"/>
        </w:rPr>
      </w:pPr>
      <w:r>
        <w:rPr>
          <w:rFonts w:ascii="Arial" w:cs="Arial" w:eastAsia="Arial" w:hAnsi="Arial"/>
          <w:sz w:val="17"/>
          <w:szCs w:val="17"/>
          <w:color w:val="auto"/>
        </w:rPr>
        <w:t>In February 2015, we entered into a collaboration agreement with Sanofi Genzyme to leverage our combined expertise and assets in gene therapy for neurological diseases. Under the agreement, we received an upfront commitment of approximately $100.0 million. Pursuant to the agreement, we granted Sanofi Genzyme an exclusive option to license, develop and commercialize (i) ex-U.S. rights to our Parkinson’s disease, Friedreich’s ataxia and Huntington’s disease programs and a future program, or the Split Territory Programs, with an incremental option to co-commercialize the product candidate from our Huntington’s disease program in the United States and (ii) worldwide rights to our spinal muscular atrophy program. If Sanofi Genzyme exercises an option for a Split Territory Program, except for our Parkinson’s disease program, it is required to make an option exercise payment to us. Furthermore, at the inception of the agreement, we were eligible to receive up to $745.0 million in the aggregate upon the achievement of specified regulatory and commercial milestones, including tiered royalty payments based on a percentage of net sales of product candidates from the programs for which Sanofi Genzyme exercised its option, or the Optioned Programs. Our research and development activities in connection with the collaboration might not be successful. We cannot accurately predict when or if any of our product candidates will prove effective or safe in humans or whether these product candidates will receive marketing approval. There can be no assurance that we will not experience problems or delays in developing our product candidates and that such problems or delays will not cause unanticipated costs, or that any such development problems can be solved. If Sanofi Genzyme were to elect not to exercise an option, we would have incurred significant development expenses but not receive the option exercise payment or be eligible to receive future milestone or royalty payments related to such program. For example, in October 2017, Sanofi Genzyme notified us that it had decided not to exercise its option for the ex-U.S. rights to VY-AADC and terminated the portion of its collaboration with us concerning Parkinson’s disease. As a result of Sanofi Genzyme’s decision, the Company is no longer entitled to receive up to $105.0 million of milestone payments related to the Parkinson’s program.</w:t>
      </w:r>
    </w:p>
    <w:p>
      <w:pPr>
        <w:spacing w:after="0" w:line="107"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If Sanofi Genzyme exercised one or more options, following such exercise, Sanofi Genzyme will have sole responsibility for the development and commercialization of the product candidates from such program in the applicable territory. Sanofi Genzyme will have the sole discretion to determine and direct its efforts and resources, including the ability to discontinue all efforts and resources it applies to the development and, if approval is obtained, commercialization and marketing of the product candidates covered by the Optioned Programs in the applicable territories. Sanofi Genzyme may not be effective in obtaining approvals for the product candidates developed from the Optioned Programs or in marketing, or arranging for necessary supply, manufacturing or distribution relationships for, any approved products. Furthermore, Sanofi Genzyme may change its strategic focus or pursue alternative technologies in a manner that results in reduced, delayed or no revenue to us. Sanofi Genzyme has a variety of marketed products and product candidates under collaboration with other companies, including some of our competitors, and its own corporate objectives may not be consistent with our best interests. If Sanofi Genzyme fails to develop, obtain regulatory approval for or ultimately commercialize any product candidate from the Optioned Programs in the applicable territories, or if Sanofi Genzyme terminates our collaboration, our business, financial condition, results of operations and prospects would be harmed.</w:t>
      </w:r>
    </w:p>
    <w:p>
      <w:pPr>
        <w:spacing w:after="0" w:line="85"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In addition, any dispute or litigation proceedings we may have with Sanofi Genzyme in the future could delay development programs, create uncertainty as to ownership of or access to intellectual property rights, distract management from other business activities and generate substantial expense. Finally, we also may not be able to seek and obtain a viable, alternative collaborator to partner with for the development and commercialization of the Split Territory Programs or the Optioned Programs.</w:t>
      </w:r>
    </w:p>
    <w:p>
      <w:pPr>
        <w:spacing w:after="0" w:line="9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6"/>
          <w:szCs w:val="16"/>
          <w:color w:val="auto"/>
        </w:rPr>
        <w:t>In February 2018, we entered into an exclusive collaboration and option agreement with AbbVie for the research, development, and commercialization of AAV gene therapy products for the treatment of diseases of the central nervous system and other neurodegenerative diseases related to defective or excess aggregation of tau protein in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320"/>
        <w:spacing w:after="0" w:line="289" w:lineRule="auto"/>
        <w:rPr>
          <w:sz w:val="20"/>
          <w:szCs w:val="20"/>
          <w:color w:val="auto"/>
        </w:rPr>
      </w:pPr>
      <w:r>
        <w:rPr>
          <w:rFonts w:ascii="Arial" w:cs="Arial" w:eastAsia="Arial" w:hAnsi="Arial"/>
          <w:sz w:val="16"/>
          <w:szCs w:val="16"/>
          <w:color w:val="auto"/>
        </w:rPr>
        <w:t>human brain, including Alzheimer’s disease. Under the terms of the agreement, we received an upfront payment of $69.0 million and may receive option exercise payments, future development and regulatory milestone payments and royalties.</w:t>
      </w:r>
    </w:p>
    <w:p>
      <w:pPr>
        <w:spacing w:after="0" w:line="57"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Under the agreement, we are obligated to use diligent efforts to conduct research and development activities, including IND-enabling and Phase 1 clinical trial activities, for we are solely financially responsible. As described above, our research and development activities in connection with a collaboration might not be successful. Our collaboration and license agreement with AbbVie shall automatically terminate if AbbVie decides not to exercise one or more of its options prior to the expiration of the specified periods of the collaboration. If AbbVie did not exercise one or more of its options, we would have incurred significant research and development expenses but would not receive any future option exercise, milestone payments, or royalty payments under the collaboration.</w:t>
      </w:r>
    </w:p>
    <w:p>
      <w:pPr>
        <w:spacing w:after="0" w:line="81"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Such research and development activities shall be pursuant to plans agreed to by the parties and overseen by a joint governance committee, or JGC. Initially, we will have final decision-making authority within the JGC, subject to specified limitations. If AbbVie exercises its license option, however, AbbVie will assume final decision-making authority within the JGC. If AbbVie exercises its license option, it will also be solely responsible for all development and commercialization activities relating to compounds and products licensed pursuant to the agreement, and, at AbbVie’s request, we could be required to effect a full transfer of the manufacturing process for such compound and products. Even if AbbVie does not exercise any of its options under the agreement, we have agreed to grant AbbVie perpetual, exclusive or non-exclusive (as the case may be), worldwide licenses to certain know-how and patent rights developed by us or jointly by us and AbbVie arising from the collaboration.</w:t>
      </w:r>
    </w:p>
    <w:p>
      <w:pPr>
        <w:spacing w:after="0" w:line="9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AbbVie might not be effective in administering the JGC, obtaining approvals for the product candidates arising from our collaboration, or commercializing or manufacturing the resulting products. Further, AbbVie’s objectives in connection with the collaboration may not be consistent with our best interests. AbbVie could use its leadership of the JGC or intellectual property it has licensed under the agreement in a manner adverse to us, or it could halt, slow, or deprioritize its development and commercialization efforts under the collaboration. In any such instances, our business, financial condition, results of operations and prospects could be materially harmed.</w:t>
      </w:r>
    </w:p>
    <w:p>
      <w:pPr>
        <w:spacing w:after="0" w:line="95"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b w:val="1"/>
          <w:bCs w:val="1"/>
          <w:i w:val="1"/>
          <w:iCs w:val="1"/>
          <w:color w:val="auto"/>
        </w:rPr>
        <w:t>We have only used the ClearPoint System to deliver our product. While other devices for delivery may be used in the future, any issues with the ClearPoint System or the manufacturer of the ClearPoint System, may result in delays in the development and commercialization of certain of our product candidates, which could have an adverse impact on our business.</w:t>
      </w:r>
    </w:p>
    <w:p>
      <w:pPr>
        <w:spacing w:after="0" w:line="163"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The surgical approach that we are using for VY-AADC is similar, in some respects, to the stereotactic approach used for deep brain stimulation, or DBS, a marketed device-based treatment for Parkinson’s disease. One primary difference with our approach is the ability to assist the physician in visualizing the delivery of VY-AADC to the putamen using real-time, intra-operative, magnetic resonance imaging, or MRI, to avoid specific blood vessels to potentially reduce the risk of hemorrhages during the surgical procedure and to maximize the coverage of the putamen.</w:t>
      </w:r>
    </w:p>
    <w:p>
      <w:pPr>
        <w:spacing w:after="0" w:line="161" w:lineRule="exact"/>
        <w:rPr>
          <w:sz w:val="20"/>
          <w:szCs w:val="20"/>
          <w:color w:val="auto"/>
        </w:rPr>
      </w:pPr>
    </w:p>
    <w:p>
      <w:pPr>
        <w:ind w:firstLine="648"/>
        <w:spacing w:after="0" w:line="209" w:lineRule="auto"/>
        <w:rPr>
          <w:sz w:val="20"/>
          <w:szCs w:val="20"/>
          <w:color w:val="auto"/>
        </w:rPr>
      </w:pPr>
      <w:r>
        <w:rPr>
          <w:rFonts w:ascii="Arial" w:cs="Arial" w:eastAsia="Arial" w:hAnsi="Arial"/>
          <w:sz w:val="18"/>
          <w:szCs w:val="18"/>
          <w:color w:val="auto"/>
        </w:rPr>
        <w:t>Investigators in the Phase 1b clinical trial of VY-AADC and the separate Phase 1 posterior trajectory trial use the real-time, intra-operative, MRI system called the ClearPoint System from MRIC. However, not all neuro-surgical units within the United States utilize this system and may employ other neuro-navigational systems that are not compatible with real-time MRI imaging. We may continue to use the ClearPoint System in future clinical trials of VY-AADC and any other of our product candidates that are injected directly into the brain. Therefore, any issues with the ClearPoint System, such as a finding that use of the ClearPoint System causes adverse events or a product recall, or the manufacturer of the ClearPoint System, such as bankruptcy or a decision to stop production of the system due to lack of profitability, could delay the development or commercialization of certain of our product candidates as there currently is no other manufacturer of the ClearPoint System. To date, we are not aware of any other medical device that has been deemed substantially equivalent to the ClearPoint System.</w:t>
      </w:r>
    </w:p>
    <w:p>
      <w:pPr>
        <w:spacing w:after="0" w:line="169"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Management of MRIC, the manufacturer of the ClearPoint System, has expressed substantial doubt as to the ability of MRIC to continue as a going concern on several occasions. As of December 31, 2017, MRIC reported cash and cash equivalents of $9.3 million and secured debt (senior and junior) totaling approximately $4.0 million on its balance sheet. MRIC also reported a net loss of $7.2 million for the year ended December 31, 2017.</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We are developing the V-TAG as our own real-time, intra-operative, MRI-compatible device that can be used with other neuro-navigational systems to dose VY-AADC and for other surgical procedures. In March 2018, we filed an application for 510(k) clearance with the FDA for V-TAG. We believe that the experience we have gained from delivering VY-AADC in our clinical trials to date and our work to develop V-TAG may inform AAV gene therapy delivery for our Huntington’s disease program and other projects. We may not be successful in obtaining regulatory clearance of V-TAG on a timely basis or at all. If we experience difficulties or delays in obtaining regulatory clearance, we may instead need to rely on other delivery technologies for our future clinical trials, such as the ClearPoint System.</w:t>
      </w:r>
    </w:p>
    <w:p>
      <w:pPr>
        <w:spacing w:after="0" w:line="162" w:lineRule="exact"/>
        <w:rPr>
          <w:sz w:val="20"/>
          <w:szCs w:val="20"/>
          <w:color w:val="auto"/>
        </w:rPr>
      </w:pPr>
    </w:p>
    <w:p>
      <w:pPr>
        <w:ind w:right="220" w:firstLine="648"/>
        <w:spacing w:after="0" w:line="229" w:lineRule="auto"/>
        <w:rPr>
          <w:sz w:val="20"/>
          <w:szCs w:val="20"/>
          <w:color w:val="auto"/>
        </w:rPr>
      </w:pPr>
      <w:r>
        <w:rPr>
          <w:rFonts w:ascii="Arial" w:cs="Arial" w:eastAsia="Arial" w:hAnsi="Arial"/>
          <w:sz w:val="17"/>
          <w:szCs w:val="17"/>
          <w:color w:val="auto"/>
        </w:rPr>
        <w:t>In addition, we are currently exploring collaborations for V-TAG and expect to rely on third parties in the development and manufacture of the device. Such collaborations would be subject to risks similar to those described elsewhere in this “Risk Factors” section, and the corporate objectives of such potential collaborators may not be consistent with our best interests. If we are unable to enter such collaborations or such collaborations are not successful, our development of V-TAG and our use of V-TAG in our clinical trials could be adversely affected.</w:t>
      </w:r>
    </w:p>
    <w:p>
      <w:pPr>
        <w:spacing w:after="0" w:line="161" w:lineRule="exact"/>
        <w:rPr>
          <w:sz w:val="20"/>
          <w:szCs w:val="20"/>
          <w:color w:val="auto"/>
        </w:rPr>
      </w:pPr>
    </w:p>
    <w:p>
      <w:pPr>
        <w:ind w:right="680"/>
        <w:spacing w:after="0" w:line="289" w:lineRule="auto"/>
        <w:rPr>
          <w:sz w:val="20"/>
          <w:szCs w:val="20"/>
          <w:color w:val="auto"/>
        </w:rPr>
      </w:pPr>
      <w:r>
        <w:rPr>
          <w:rFonts w:ascii="Arial" w:cs="Arial" w:eastAsia="Arial" w:hAnsi="Arial"/>
          <w:sz w:val="16"/>
          <w:szCs w:val="16"/>
          <w:b w:val="1"/>
          <w:bCs w:val="1"/>
          <w:i w:val="1"/>
          <w:iCs w:val="1"/>
          <w:color w:val="auto"/>
        </w:rPr>
        <w:t>We may seek to enter into collaborations in the future with other third parties. If we are unable to enter into such collaborations, or if these collaborations are not successful, our business could be adversely affected.</w:t>
      </w:r>
    </w:p>
    <w:p>
      <w:pPr>
        <w:spacing w:after="0" w:line="124"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will seek to enter into additional collaborations in the future, including sales, marketing, distribution, development, licensing, and/or broader collaboration agreements. Our likely collaborators include large and mid-size pharmaceutical companies, regional and national pharmaceutical companies, biotechnology companies, and medical device manufacturers. However, we may not be able to enter into additional collaborations on favorable terms or at all. Our ability to generate revenues from our collaborations will depend on our and our collaborators’ abilities to successfully perform the functions assigned to each of us in these arrangements. In addition, our collaborators have the ability to abandon research or development projects and terminate applicable agreements. Moreover, an unsuccessful outcome in any clinical trial for which our collaborator is responsible could be harmful to the public perception and prospects of our gene therapy platform.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relationship with any future collaborations may pose several risks, including the following:</w:t>
      </w:r>
    </w:p>
    <w:p>
      <w:pPr>
        <w:spacing w:after="0" w:line="185" w:lineRule="exact"/>
        <w:rPr>
          <w:sz w:val="20"/>
          <w:szCs w:val="20"/>
          <w:color w:val="auto"/>
        </w:rPr>
      </w:pPr>
    </w:p>
    <w:p>
      <w:pPr>
        <w:ind w:left="980" w:right="120" w:hanging="329"/>
        <w:spacing w:after="0" w:line="246"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the efforts and resources that they will apply to these collaborations;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preclinical studies and clinical trials conducted as part of these collaborations may not be successful;</w:t>
      </w:r>
    </w:p>
    <w:p>
      <w:pPr>
        <w:spacing w:after="0" w:line="209" w:lineRule="exact"/>
        <w:rPr>
          <w:rFonts w:ascii="Arial" w:cs="Arial" w:eastAsia="Arial" w:hAnsi="Arial"/>
          <w:sz w:val="17"/>
          <w:szCs w:val="17"/>
          <w:color w:val="auto"/>
        </w:rPr>
      </w:pPr>
    </w:p>
    <w:p>
      <w:pPr>
        <w:ind w:left="980" w:right="100" w:hanging="329"/>
        <w:spacing w:after="0" w:line="246"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study or clinical trial results, changes in the collaborators’ strategic focus or available funding or external factors, such as an acquisition, that divert resources or create competing priorities;</w:t>
      </w:r>
    </w:p>
    <w:p>
      <w:pPr>
        <w:spacing w:after="0" w:line="170" w:lineRule="exact"/>
        <w:rPr>
          <w:rFonts w:ascii="Arial" w:cs="Arial" w:eastAsia="Arial" w:hAnsi="Arial"/>
          <w:sz w:val="17"/>
          <w:szCs w:val="17"/>
          <w:color w:val="auto"/>
        </w:rPr>
      </w:pPr>
    </w:p>
    <w:p>
      <w:pPr>
        <w:jc w:val="both"/>
        <w:ind w:left="980" w:hanging="329"/>
        <w:spacing w:after="0" w:line="231"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delay preclinical studies and clinical trials, provide insufficient funding for preclinical studies and clinical trials, stop a preclinical study or clinical trial or abandon a product candidate, repeat or conduct new preclinical studies or clinical trials or require a new formulation of a product candidate for preclinical studies or clinical trials;</w:t>
      </w:r>
    </w:p>
    <w:p>
      <w:pPr>
        <w:spacing w:after="0" w:line="175" w:lineRule="exact"/>
        <w:rPr>
          <w:rFonts w:ascii="Arial" w:cs="Arial" w:eastAsia="Arial" w:hAnsi="Arial"/>
          <w:sz w:val="18"/>
          <w:szCs w:val="18"/>
          <w:color w:val="auto"/>
        </w:rPr>
      </w:pPr>
    </w:p>
    <w:p>
      <w:pPr>
        <w:ind w:left="980" w:right="460" w:hanging="329"/>
        <w:spacing w:after="0" w:line="253"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165" w:lineRule="exact"/>
        <w:rPr>
          <w:rFonts w:ascii="Arial" w:cs="Arial" w:eastAsia="Arial" w:hAnsi="Arial"/>
          <w:sz w:val="17"/>
          <w:szCs w:val="17"/>
          <w:color w:val="auto"/>
        </w:rPr>
      </w:pPr>
    </w:p>
    <w:p>
      <w:pPr>
        <w:jc w:val="both"/>
        <w:ind w:left="980" w:right="360" w:hanging="329"/>
        <w:spacing w:after="0" w:line="307"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right="140"/>
        <w:spacing w:after="0" w:line="246" w:lineRule="auto"/>
        <w:rPr>
          <w:sz w:val="20"/>
          <w:szCs w:val="20"/>
          <w:color w:val="auto"/>
        </w:rPr>
      </w:pPr>
      <w:r>
        <w:rPr>
          <w:rFonts w:ascii="Arial" w:cs="Arial" w:eastAsia="Arial" w:hAnsi="Arial"/>
          <w:sz w:val="18"/>
          <w:szCs w:val="18"/>
          <w:color w:val="auto"/>
        </w:rPr>
        <w:t>to be successfully developed or can be commercialized under terms that are more economically attractive than ours;</w:t>
      </w:r>
    </w:p>
    <w:p>
      <w:pPr>
        <w:spacing w:after="0" w:line="170" w:lineRule="exact"/>
        <w:rPr>
          <w:sz w:val="20"/>
          <w:szCs w:val="20"/>
          <w:color w:val="auto"/>
        </w:rPr>
      </w:pPr>
    </w:p>
    <w:p>
      <w:pPr>
        <w:ind w:left="980" w:right="120" w:hanging="329"/>
        <w:spacing w:after="0" w:line="235"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candidates developed in collaboration with us may be viewed by our collaborators as competitive with their own product candidates or products, which may cause collaborators to cease to devote resources to the commercialization of our product candidates;</w:t>
      </w:r>
    </w:p>
    <w:p>
      <w:pPr>
        <w:spacing w:after="0" w:line="175" w:lineRule="exact"/>
        <w:rPr>
          <w:rFonts w:ascii="Arial" w:cs="Arial" w:eastAsia="Arial" w:hAnsi="Arial"/>
          <w:sz w:val="18"/>
          <w:szCs w:val="18"/>
          <w:color w:val="auto"/>
        </w:rPr>
      </w:pPr>
    </w:p>
    <w:p>
      <w:pPr>
        <w:ind w:left="980" w:right="120" w:hanging="329"/>
        <w:spacing w:after="0" w:line="235"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75" w:lineRule="exact"/>
        <w:rPr>
          <w:rFonts w:ascii="Arial" w:cs="Arial" w:eastAsia="Arial" w:hAnsi="Arial"/>
          <w:sz w:val="18"/>
          <w:szCs w:val="18"/>
          <w:color w:val="auto"/>
        </w:rPr>
      </w:pPr>
    </w:p>
    <w:p>
      <w:pPr>
        <w:ind w:left="980" w:right="60" w:hanging="329"/>
        <w:spacing w:after="0" w:line="197" w:lineRule="exact"/>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w:t>
      </w:r>
      <w:r>
        <w:rPr>
          <w:rFonts w:ascii="MS PGothic" w:cs="MS PGothic" w:eastAsia="MS PGothic" w:hAnsi="MS PGothic"/>
          <w:sz w:val="18"/>
          <w:szCs w:val="18"/>
          <w:color w:val="auto"/>
        </w:rPr>
        <w:t>‑</w:t>
      </w:r>
      <w:r>
        <w:rPr>
          <w:rFonts w:ascii="Arial" w:cs="Arial" w:eastAsia="Arial" w:hAnsi="Arial"/>
          <w:sz w:val="18"/>
          <w:szCs w:val="18"/>
          <w:color w:val="auto"/>
        </w:rPr>
        <w:t>consuming and expensive;</w:t>
      </w:r>
    </w:p>
    <w:p>
      <w:pPr>
        <w:spacing w:after="0" w:line="110" w:lineRule="exact"/>
        <w:rPr>
          <w:rFonts w:ascii="Arial" w:cs="Arial" w:eastAsia="Arial" w:hAnsi="Arial"/>
          <w:sz w:val="18"/>
          <w:szCs w:val="18"/>
          <w:color w:val="auto"/>
        </w:rPr>
      </w:pPr>
    </w:p>
    <w:p>
      <w:pPr>
        <w:jc w:val="both"/>
        <w:ind w:left="980" w:right="200" w:hanging="329"/>
        <w:spacing w:after="0" w:line="235"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07" w:lineRule="exact"/>
        <w:rPr>
          <w:rFonts w:ascii="Arial" w:cs="Arial" w:eastAsia="Arial" w:hAnsi="Arial"/>
          <w:sz w:val="18"/>
          <w:szCs w:val="18"/>
          <w:color w:val="auto"/>
        </w:rPr>
      </w:pPr>
    </w:p>
    <w:p>
      <w:pPr>
        <w:ind w:left="980" w:right="120" w:hanging="329"/>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or inventorship of intellectual property developed pursuant to our collaborations;</w:t>
      </w:r>
    </w:p>
    <w:p>
      <w:pPr>
        <w:spacing w:after="0" w:line="102" w:lineRule="exact"/>
        <w:rPr>
          <w:rFonts w:ascii="Arial" w:cs="Arial" w:eastAsia="Arial" w:hAnsi="Arial"/>
          <w:sz w:val="18"/>
          <w:szCs w:val="18"/>
          <w:color w:val="auto"/>
        </w:rPr>
      </w:pPr>
    </w:p>
    <w:p>
      <w:pPr>
        <w:ind w:left="980" w:right="40" w:hanging="329"/>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2" w:lineRule="exact"/>
        <w:rPr>
          <w:rFonts w:ascii="Arial" w:cs="Arial" w:eastAsia="Arial" w:hAnsi="Arial"/>
          <w:sz w:val="18"/>
          <w:szCs w:val="18"/>
          <w:color w:val="auto"/>
        </w:rPr>
      </w:pPr>
    </w:p>
    <w:p>
      <w:pPr>
        <w:ind w:left="980" w:right="20" w:hanging="329"/>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our collaboration agreement may restrict us from entering into certain relationships with other third parties, thereby limiting our options; and</w:t>
      </w:r>
    </w:p>
    <w:p>
      <w:pPr>
        <w:spacing w:after="0" w:line="102" w:lineRule="exact"/>
        <w:rPr>
          <w:rFonts w:ascii="Arial" w:cs="Arial" w:eastAsia="Arial" w:hAnsi="Arial"/>
          <w:sz w:val="18"/>
          <w:szCs w:val="18"/>
          <w:color w:val="auto"/>
        </w:rPr>
      </w:pPr>
    </w:p>
    <w:p>
      <w:pPr>
        <w:jc w:val="both"/>
        <w:ind w:left="980" w:right="560" w:hanging="329"/>
        <w:spacing w:after="0" w:line="235"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08"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Collaboration agreements may not lead to the development or commercialization or product candidates in the most efficient manner, or at all. 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periodic report also apply to the activities of our collaborators.</w:t>
      </w:r>
    </w:p>
    <w:p>
      <w:pPr>
        <w:spacing w:after="0" w:line="100"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We will face significant competition in seeking appropriate collaborators, and the negotiation process is time-consuming and complex. Our ability to reach a definitive collaboration agreement with any future collaborators will depend, among other things, upon our assessment of the collaborator’s resources and expertise, the terms and conditions of the proposed collaboration and the proposed collaborator’s evaluation of several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In addition, there have been a significant number of recent business combinations among large pharmaceutical companies that have resulted in a reduced number of potential future collaborators.</w:t>
      </w:r>
    </w:p>
    <w:p>
      <w:pPr>
        <w:spacing w:after="0" w:line="9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gene therapy platform. If we license rights to product candidates, we may not be able to realize the benefit of such transactions if we are unable to successfully integrate them with our existing operations and company culture.</w:t>
      </w:r>
    </w:p>
    <w:p>
      <w:pPr>
        <w:spacing w:after="0" w:line="8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We have relied, and we expect to continue to rely on third parties to conduct, supervise and monitor our clinical trials, and if these third parties perform in an unsatisfactory manner, our business could be harmed.</w:t>
      </w:r>
    </w:p>
    <w:p>
      <w:pPr>
        <w:spacing w:after="0" w:line="79" w:lineRule="exact"/>
        <w:rPr>
          <w:sz w:val="20"/>
          <w:szCs w:val="20"/>
          <w:color w:val="auto"/>
        </w:rPr>
      </w:pPr>
    </w:p>
    <w:p>
      <w:pPr>
        <w:ind w:right="80" w:firstLine="648"/>
        <w:spacing w:after="0" w:line="235" w:lineRule="auto"/>
        <w:rPr>
          <w:sz w:val="20"/>
          <w:szCs w:val="20"/>
          <w:color w:val="auto"/>
        </w:rPr>
      </w:pPr>
      <w:r>
        <w:rPr>
          <w:rFonts w:ascii="Arial" w:cs="Arial" w:eastAsia="Arial" w:hAnsi="Arial"/>
          <w:sz w:val="16"/>
          <w:szCs w:val="16"/>
          <w:color w:val="auto"/>
        </w:rPr>
        <w:t>We expect to rely on CROs and clinical trial sites to ensure our clinical trials are conducted properly and on time. We may also engage third parties such as clinical data management organizations, medical institutions and clinical investigators to conduct or assist in our clinical trials or other clinical development work. While we will have agreements governing their activities, we will have limited influence over their actual performance. We will control only certain aspects of our third-party service providers’ activities. Nevertheless, we will be responsible for ensuring that each of our clinical studies is conducted in accordance with the applicable protocol, legal, regulatory and scientific standards. Our reliance on these third-parties does not relieve us of our regulatory responsibilities. For example, our ongoing Phase 1b clinical trial of VY-AADC and our separate Phase 1 trial exploring the delivery of VY-AADC using a posterior trajectory are being conducted by four locations, including UCSF and UPMC. If any locations terminated the clinical trial, we would be required to find another party to conduct any new trials. We may be unable to find a new party to conduct new trials of our product candidates or obtain clinical supply of our product candidates or AAV vectors for such trials.</w:t>
      </w:r>
    </w:p>
    <w:p>
      <w:pPr>
        <w:spacing w:after="0" w:line="98"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We and our third-party service providers are required to comply with the FDA’s GCPs for conducting, recording and reporting the results of IND</w:t>
      </w:r>
      <w:r>
        <w:rPr>
          <w:rFonts w:ascii="MS PGothic" w:cs="MS PGothic" w:eastAsia="MS PGothic" w:hAnsi="MS PGothic"/>
          <w:sz w:val="17"/>
          <w:szCs w:val="17"/>
          <w:color w:val="auto"/>
        </w:rPr>
        <w:t>‑</w:t>
      </w:r>
      <w:r>
        <w:rPr>
          <w:rFonts w:ascii="Arial" w:cs="Arial" w:eastAsia="Arial" w:hAnsi="Arial"/>
          <w:sz w:val="17"/>
          <w:szCs w:val="17"/>
          <w:color w:val="auto"/>
        </w:rPr>
        <w:t>enabling studies and clinical studies to assure that the data and reported results are credible and accurate and that the rights, integrity and confidentiality of clinical trial participants are protected. We are also required to register ongoing clinical trials and post the results of completed clinical trials on a government-sponsored database, ClinicalTrials.gov, within specified timeframes. The FDA enforces these GCPs through periodic inspections of trial sponsors, principal investigators and clinical trial sites at which the FDA may determine that our clinical trials did not comply with GCPs. If we or our third-party service providers fail to comply with applicable GCPs, the clinical data generated in our future clinical trials may be deemed unreliable and the FDA may require us to perform additional clinical trials before approving any marketing applications. In addition, our future clinical trials will require a sufficient number of patients to evaluate the safety and effectiveness of our product candidates. Accordingly, if we or our third-party service providers fail to comply with these regulations or fail to recruit a sufficient number of patients, we may be required to repeat such clinical trials, which would delay the regulatory approval process. Failure to comply can also result in fines, adverse publicity, and civil and criminal sanctions.</w:t>
      </w:r>
    </w:p>
    <w:p>
      <w:pPr>
        <w:spacing w:after="0" w:line="88"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Our third-party service providers are not our employees, and we are therefore unable to directly monitor whether or not they devote sufficient time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our third-party service providers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40"/>
        <w:spacing w:after="0" w:line="224" w:lineRule="auto"/>
        <w:rPr>
          <w:sz w:val="20"/>
          <w:szCs w:val="20"/>
          <w:color w:val="auto"/>
        </w:rPr>
      </w:pPr>
      <w:r>
        <w:rPr>
          <w:rFonts w:ascii="Arial" w:cs="Arial" w:eastAsia="Arial" w:hAnsi="Arial"/>
          <w:sz w:val="18"/>
          <w:szCs w:val="18"/>
          <w:color w:val="auto"/>
        </w:rPr>
        <w:t>delayed or terminated, and we may not be able to obtain regulatory approval for, or successfully commercialize our product candidates. As a result, our financial results and the commercial prospects for our product candidates would be harmed, our costs could increase, and our ability to generate revenues could be delayed.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24"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proprietary manufacturing platform that provides a robust and scalable process for AAV production. We are using the baculovirus/Sf9 AAV production system, a technology for producing AAV vectors at scale in insect-derived cells. The process has been successfully transferred to our contract manufacturing organizations where it is used in manufacturing clinical materials in accordance with the FDA’s current good manufacturing practices (cGMPs). We have also built an onsite, state-of-the-art process research and development facility to enable the manufacturing of high quality AAV gene therapy vectors at laboratory scale.</w:t>
      </w:r>
    </w:p>
    <w:p>
      <w:pPr>
        <w:spacing w:after="0" w:line="167"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We presently contract with third parties for the manufacturing of our program materials. We currently have no plans to build our own clinical or commercial scale manufacturing capabilities. The use of contracted manufacturing and reliance on collaboration partners is relatively cost efficient and has eliminated the need for our direct investment in manufacturing facilities and additional staff early in development. Although we rely on contract manufacturers, we have personnel with manufacturing and quality experience to oversee our contract manufacturers.</w:t>
      </w:r>
    </w:p>
    <w:p>
      <w:pPr>
        <w:spacing w:after="0" w:line="161"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To date, our third-party manufacturers have met our manufacturing requirements. We expect third-party manufacturers to be capable of providing sufficient quantities of our program materials to meet anticipated clinical trial scale demands. To meet our projected needs for commercial manufacturing, third parties with whom we currently work might need to increase their scale of production or we will need to secure alternate suppliers. We believe that there are alternate sources of supply that can satisfy our clinical and commercial requirements, although we cannot be certain that identifying and establishing relationships with such sources, if necessary, would not result in significant delay or material additional costs.</w:t>
      </w:r>
    </w:p>
    <w:p>
      <w:pPr>
        <w:spacing w:after="0" w:line="161" w:lineRule="exact"/>
        <w:rPr>
          <w:sz w:val="20"/>
          <w:szCs w:val="20"/>
          <w:color w:val="auto"/>
        </w:rPr>
      </w:pPr>
    </w:p>
    <w:p>
      <w:pPr>
        <w:ind w:right="120" w:firstLine="648"/>
        <w:spacing w:after="0" w:line="221" w:lineRule="auto"/>
        <w:rPr>
          <w:sz w:val="20"/>
          <w:szCs w:val="20"/>
          <w:color w:val="auto"/>
        </w:rPr>
      </w:pPr>
      <w:r>
        <w:rPr>
          <w:rFonts w:ascii="Arial" w:cs="Arial" w:eastAsia="Arial" w:hAnsi="Arial"/>
          <w:sz w:val="17"/>
          <w:szCs w:val="17"/>
          <w:color w:val="auto"/>
        </w:rPr>
        <w:t>To date, our third-party manufacturers have met our quality standards. 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our program materials for clinical study.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67"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Biological products are inherently difficult to manufacture. Our program materials are manufactured using technically complex processes requiring specialized equipment and facilities, highly specific raw materials, and other production constraints. Our production process requires a number of highly specific raw materials with limited suppliers. Even though we aim to have backup supplies of raw materials whenever possible, we cannot be certain they will be sufficient if our primary sources are unavailable. A shortage of a critical raw material or a technical issue during manufacturing may lead to delays in clinical development or commercialization plans.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b w:val="1"/>
          <w:bCs w:val="1"/>
          <w:i w:val="1"/>
          <w:iCs w:val="1"/>
          <w:color w:val="auto"/>
        </w:rPr>
        <w:t>Delays in obtaining regulatory approval of our or our collaborators’ manufacturing process and facility or disruptions in our manufacturing process may delay or disrupt our commercialization efforts. Until recently, no cGMP gene therapy manufacturing facility in the United States had received approval from the FDA for the manufacture of an approved gene therapy product.</w:t>
      </w:r>
    </w:p>
    <w:p>
      <w:pPr>
        <w:spacing w:after="0" w:line="163" w:lineRule="exact"/>
        <w:rPr>
          <w:sz w:val="20"/>
          <w:szCs w:val="20"/>
          <w:color w:val="auto"/>
        </w:rPr>
      </w:pPr>
    </w:p>
    <w:p>
      <w:pPr>
        <w:ind w:right="40" w:firstLine="648"/>
        <w:spacing w:after="0" w:line="179" w:lineRule="exact"/>
        <w:rPr>
          <w:sz w:val="20"/>
          <w:szCs w:val="20"/>
          <w:color w:val="auto"/>
        </w:rPr>
      </w:pPr>
      <w:r>
        <w:rPr>
          <w:rFonts w:ascii="Arial" w:cs="Arial" w:eastAsia="Arial" w:hAnsi="Arial"/>
          <w:sz w:val="16"/>
          <w:szCs w:val="16"/>
          <w:color w:val="auto"/>
        </w:rPr>
        <w:t>Before we can begin to commercially manufacture our product candidates in our own facility, or the facility of a collaborator, we must obtain regulatory approval from the FDA for our manufacturing process and our collaborator’s facility. A manufacturing authorization must also be obtained from the appropriate European Union regulatory authorities. Until recently, no cGMP gene therapy manufacturing facility in the United States had received approval from the FDA for the manufacture of an approved gene therapy product and, therefore, the timeframe required for us to obtain such approval is uncertain. In addition, we must pass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of our or our collaborator’s manufacturing facility by the FDA and other relevant regulatory authorities before any of our product candidates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03" w:lineRule="exact"/>
        <w:rPr>
          <w:sz w:val="20"/>
          <w:szCs w:val="20"/>
          <w:color w:val="auto"/>
        </w:rPr>
      </w:pPr>
    </w:p>
    <w:p>
      <w:pPr>
        <w:ind w:right="260"/>
        <w:spacing w:after="0" w:line="203" w:lineRule="exact"/>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consuming remedial measures.</w:t>
      </w:r>
    </w:p>
    <w:p>
      <w:pPr>
        <w:spacing w:after="0" w:line="81"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w:t>
      </w:r>
      <w:r>
        <w:rPr>
          <w:rFonts w:ascii="MS PGothic" w:cs="MS PGothic" w:eastAsia="MS PGothic" w:hAnsi="MS PGothic"/>
          <w:sz w:val="17"/>
          <w:szCs w:val="17"/>
          <w:color w:val="auto"/>
        </w:rPr>
        <w:t>‑</w:t>
      </w:r>
      <w:r>
        <w:rPr>
          <w:rFonts w:ascii="Arial" w:cs="Arial" w:eastAsia="Arial" w:hAnsi="Arial"/>
          <w:sz w:val="17"/>
          <w:szCs w:val="17"/>
          <w:color w:val="auto"/>
        </w:rPr>
        <w:t>consuming to implement and that may include the temporary or permanent suspension of a clinical trial or commercial sales or the temporary or permanent closure of a manufacturing facility. Any such remedial measures imposed upon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us could harm our business, financial condition, results of operations and prospects.</w:t>
      </w:r>
    </w:p>
    <w:p>
      <w:pPr>
        <w:spacing w:after="0" w:line="9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we fail to comply with applicable cGMP regulations, FDA and foreign regulatory authorities can impose regulatory sanctions including, among other things, refusal to approve a pending application for a new product candidate or suspension or revocation of a pre</w:t>
      </w:r>
      <w:r>
        <w:rPr>
          <w:rFonts w:ascii="MS PGothic" w:cs="MS PGothic" w:eastAsia="MS PGothic" w:hAnsi="MS PGothic"/>
          <w:sz w:val="18"/>
          <w:szCs w:val="18"/>
          <w:color w:val="auto"/>
        </w:rPr>
        <w:t>‑</w:t>
      </w:r>
      <w:r>
        <w:rPr>
          <w:rFonts w:ascii="Arial" w:cs="Arial" w:eastAsia="Arial" w:hAnsi="Arial"/>
          <w:sz w:val="18"/>
          <w:szCs w:val="18"/>
          <w:color w:val="auto"/>
        </w:rPr>
        <w:t>existing approval. Such an occurrence may cause our business, financial condition, results of operations and prospects to be harmed.</w:t>
      </w:r>
    </w:p>
    <w:p>
      <w:pPr>
        <w:spacing w:after="0" w:line="95"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Additionally, if supply from any third-party manufacturers is delayed or interrupted, there could be a significant disruption in the supply of our clinical or commercial material. We have agreements in place with our contract manufacturers pursuant to which we are collaborating on cGMP manufacturing processes and analytical methods for the manufacture of our AAV product candidates. Therefore, if we are unable to enter into an agreement with our contract manufacturers to manufacture clinical or commercial material for our product programs beyond VY-AADC, or if our agreement with our contract manufacturers were terminated, we would have to find suitable alternative manufacturers. This could delay our or our collaborators’ ability to conduct clinical trials or commercialize our current and future product candidates. The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87" w:lineRule="exact"/>
        <w:rPr>
          <w:sz w:val="20"/>
          <w:szCs w:val="20"/>
          <w:color w:val="auto"/>
        </w:rPr>
      </w:pPr>
    </w:p>
    <w:p>
      <w:pPr>
        <w:ind w:right="40"/>
        <w:spacing w:after="0" w:line="324" w:lineRule="auto"/>
        <w:rPr>
          <w:sz w:val="20"/>
          <w:szCs w:val="20"/>
          <w:color w:val="auto"/>
        </w:rPr>
      </w:pPr>
      <w:r>
        <w:rPr>
          <w:rFonts w:ascii="Arial" w:cs="Arial" w:eastAsia="Arial" w:hAnsi="Arial"/>
          <w:sz w:val="15"/>
          <w:szCs w:val="15"/>
          <w:b w:val="1"/>
          <w:bCs w:val="1"/>
          <w:i w:val="1"/>
          <w:iCs w:val="1"/>
          <w:color w:val="auto"/>
        </w:rPr>
        <w:t>Any contamination in the manufacturing process for our products, shortages of raw materials or failure of any of our key suppliers to deliver necessary components could result in delays in our clinical development or marketing schedules.</w:t>
      </w:r>
    </w:p>
    <w:p>
      <w:pPr>
        <w:spacing w:after="0" w:line="34"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adversely affect our ability to produce product candidates on schedule and could, therefore, harm our results of operations and cause reputational damage.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94"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Interruptions in the supply of product candidates or inventory loss may harm our operating results and financial condition.</w:t>
      </w:r>
    </w:p>
    <w:p>
      <w:pPr>
        <w:spacing w:after="0" w:line="8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product candidates are manufactured using technically complex processes requiring specialized facilities, highly specific raw materials and other production constraints. The complexity of these processes, as well as strict government standards for the manufacture and storage of our product candidates, subjects us to manufacturing risks. While product candidate batches released for use in clinical trials or for commercialization undergo sample testing, some defects may only be identified following product release. In addition, process deviations or unanticipated effects of approved process changes may result in these intermediate products not complying with stability requirements or specifications. Our product candidates must be stored and transported at temperatures within a certain range. If these environmental conditions deviate, our product candidates’ remaining shelf</w:t>
      </w:r>
      <w:r>
        <w:rPr>
          <w:rFonts w:ascii="MS PGothic" w:cs="MS PGothic" w:eastAsia="MS PGothic" w:hAnsi="MS PGothic"/>
          <w:sz w:val="17"/>
          <w:szCs w:val="17"/>
          <w:color w:val="auto"/>
        </w:rPr>
        <w:t>‑</w:t>
      </w:r>
      <w:r>
        <w:rPr>
          <w:rFonts w:ascii="Arial" w:cs="Arial" w:eastAsia="Arial" w:hAnsi="Arial"/>
          <w:sz w:val="17"/>
          <w:szCs w:val="17"/>
          <w:color w:val="auto"/>
        </w:rPr>
        <w:t>lives could be impaired or their efficacy and safety could be negatively impacted, making them no longer suitable for use.</w:t>
      </w:r>
    </w:p>
    <w:p>
      <w:pPr>
        <w:spacing w:after="0" w:line="94"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The occurrence, or suspected occurrence, of manufacturing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Any interruption in the supply of finished products or the loss thereof could hinder our ability to timely distribute our products and satisfy customer demand. Any unforeseen failure in the storage of the product or loss in supply could delay our clinical trials and, if our product candidates are approved, result in a loss of our market share and negatively affect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63"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The success of our business depends upon our ability to identify, develop and commercialize product candidates generated through our gene therapy platform. Research programs to identify new product candidates require substantial technical, financial and human resources. Although VY</w:t>
      </w:r>
      <w:r>
        <w:rPr>
          <w:rFonts w:ascii="MS PGothic" w:cs="MS PGothic" w:eastAsia="MS PGothic" w:hAnsi="MS PGothic"/>
          <w:sz w:val="16"/>
          <w:szCs w:val="16"/>
          <w:color w:val="auto"/>
        </w:rPr>
        <w:t>‑</w:t>
      </w:r>
      <w:r>
        <w:rPr>
          <w:rFonts w:ascii="Arial" w:cs="Arial" w:eastAsia="Arial" w:hAnsi="Arial"/>
          <w:sz w:val="16"/>
          <w:szCs w:val="16"/>
          <w:color w:val="auto"/>
        </w:rPr>
        <w:t>AADC is currently in clinical development and our other product candidates are in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63"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68" w:lineRule="exact"/>
        <w:rPr>
          <w:sz w:val="20"/>
          <w:szCs w:val="20"/>
          <w:color w:val="auto"/>
        </w:rPr>
      </w:pPr>
    </w:p>
    <w:p>
      <w:pPr>
        <w:jc w:val="both"/>
        <w:ind w:right="380" w:firstLine="648"/>
        <w:spacing w:after="0" w:line="224" w:lineRule="auto"/>
        <w:rPr>
          <w:sz w:val="20"/>
          <w:szCs w:val="20"/>
          <w:color w:val="auto"/>
        </w:rPr>
      </w:pPr>
      <w:r>
        <w:rPr>
          <w:rFonts w:ascii="Arial" w:cs="Arial" w:eastAsia="Arial" w:hAnsi="Arial"/>
          <w:sz w:val="18"/>
          <w:szCs w:val="18"/>
          <w:color w:val="auto"/>
        </w:rPr>
        <w:t>If any of these events occur, we may be forced to abandon our development efforts with respect to a particular product candidate or fail to develop a potentially successful product candidate, which could harm our business, financial condition, results of operations and prospects.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Our future success depends on our ability to retain key members of our management team, and to attract, retain and motivate qualified personnel.</w:t>
      </w:r>
    </w:p>
    <w:p>
      <w:pPr>
        <w:spacing w:after="0" w:line="162"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We have been highly dependent on Steven M. Paul, M.D., our President and Chief Executive Officer as well as certain other members of our management team, the loss of whose services may adversely impact the achievement of our objectives. In early 2018, we announced Dr. Paul’s plans to transition from President and Chief Executive Officer to Executive Science Advisor. In addition to transitioning to an Executive Science Advisor role, in which he will focus on preclinical discovery research and portfolio development, Dr. Paul is expected to continue to serve on our Board of Directors, and as a member of our Science and Technology Committee.</w:t>
      </w:r>
    </w:p>
    <w:p>
      <w:pPr>
        <w:spacing w:after="0" w:line="162"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While we have entered into employment agreements or offer letters with each of our executive officers, any of them could leave our employment at any time, as all of our employees are “at will” employees. We currently do not have “key person” insurance on any of our employees. The loss of the services of one or more of our current employees might impede the achievement of our research, development and commercialization objectives.</w:t>
      </w:r>
    </w:p>
    <w:p>
      <w:pPr>
        <w:spacing w:after="0" w:line="163"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if at all, given the competition among numerous pharmaceutical and biotechnology companies and academic institutions for individuals with similar skill sets. Our consultants and advisors may be employed by employers other than us and may have commitments under consulting or advisory contracts with other entities that may limit their availability to us. In addition,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could harm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manage expected growth in the scale and complexity of our operations, our performance may suffer.</w:t>
      </w:r>
    </w:p>
    <w:p>
      <w:pPr>
        <w:spacing w:after="0" w:line="21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We can provide no assurances that we will have sufficient resources in the future to manage all of our planned programs. Future growth would impose significant added responsibilities on members of management, may lead to significant added costs, and may divert our management and business development resources.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67" w:lineRule="exact"/>
        <w:rPr>
          <w:sz w:val="20"/>
          <w:szCs w:val="20"/>
          <w:color w:val="auto"/>
        </w:rPr>
      </w:pPr>
    </w:p>
    <w:p>
      <w:pPr>
        <w:ind w:right="700"/>
        <w:spacing w:after="0" w:line="203" w:lineRule="exact"/>
        <w:rPr>
          <w:sz w:val="20"/>
          <w:szCs w:val="20"/>
          <w:color w:val="auto"/>
        </w:rPr>
      </w:pPr>
      <w:r>
        <w:rPr>
          <w:rFonts w:ascii="Arial" w:cs="Arial" w:eastAsia="Arial" w:hAnsi="Arial"/>
          <w:sz w:val="15"/>
          <w:szCs w:val="15"/>
          <w:b w:val="1"/>
          <w:bCs w:val="1"/>
          <w:i w:val="1"/>
          <w:iCs w:val="1"/>
          <w:color w:val="auto"/>
        </w:rPr>
        <w:t>Our employees, principal investigators, consultants and commercial partners may engage in misconduct or other improper activities, including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compliance with regulatory standards and requirements and insider trading.</w:t>
      </w:r>
    </w:p>
    <w:p>
      <w:pPr>
        <w:spacing w:after="0" w:line="16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7"/>
          <w:szCs w:val="17"/>
          <w:color w:val="auto"/>
        </w:rPr>
        <w:t>‑</w:t>
      </w:r>
      <w:r>
        <w:rPr>
          <w:rFonts w:ascii="Arial" w:cs="Arial" w:eastAsia="Arial" w:hAnsi="Arial"/>
          <w:sz w:val="17"/>
          <w:szCs w:val="17"/>
          <w:color w:val="auto"/>
        </w:rPr>
        <w:t>dealing and other abusive practices. These laws and regulations restrict or prohibit a wide range of pricing, discounting, marketing and promotion, sales commission,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00"/>
        <w:spacing w:after="0" w:line="223" w:lineRule="auto"/>
        <w:rPr>
          <w:sz w:val="20"/>
          <w:szCs w:val="20"/>
          <w:color w:val="auto"/>
        </w:rPr>
      </w:pPr>
      <w:r>
        <w:rPr>
          <w:rFonts w:ascii="Arial" w:cs="Arial" w:eastAsia="Arial" w:hAnsi="Arial"/>
          <w:sz w:val="17"/>
          <w:szCs w:val="17"/>
          <w:color w:val="auto"/>
        </w:rPr>
        <w:t>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147"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6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163" w:lineRule="exact"/>
        <w:rPr>
          <w:sz w:val="20"/>
          <w:szCs w:val="20"/>
          <w:color w:val="auto"/>
        </w:rPr>
      </w:pPr>
    </w:p>
    <w:p>
      <w:pPr>
        <w:ind w:left="1300" w:right="30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6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61" w:lineRule="exact"/>
        <w:rPr>
          <w:rFonts w:ascii="Arial" w:cs="Arial" w:eastAsia="Arial" w:hAnsi="Arial"/>
          <w:sz w:val="18"/>
          <w:szCs w:val="18"/>
          <w:color w:val="auto"/>
        </w:rPr>
      </w:pPr>
    </w:p>
    <w:p>
      <w:pPr>
        <w:ind w:left="1300" w:right="260" w:hanging="325"/>
        <w:spacing w:after="0" w:line="289"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civil False Claims Act and the federal Anti-Kickback Statute, new government investigative powers and enhanced penalties for noncompliance;</w:t>
      </w:r>
    </w:p>
    <w:p>
      <w:pPr>
        <w:spacing w:after="0" w:line="124" w:lineRule="exact"/>
        <w:rPr>
          <w:rFonts w:ascii="Arial" w:cs="Arial" w:eastAsia="Arial" w:hAnsi="Arial"/>
          <w:sz w:val="16"/>
          <w:szCs w:val="16"/>
          <w:color w:val="auto"/>
        </w:rPr>
      </w:pPr>
    </w:p>
    <w:p>
      <w:pPr>
        <w:ind w:left="1300" w:right="22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1300" w:right="40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teaching hospitals;</w:t>
      </w:r>
    </w:p>
    <w:p>
      <w:pPr>
        <w:spacing w:after="0" w:line="196" w:lineRule="exact"/>
        <w:rPr>
          <w:rFonts w:ascii="Arial" w:cs="Arial" w:eastAsia="Arial" w:hAnsi="Arial"/>
          <w:sz w:val="17"/>
          <w:szCs w:val="17"/>
          <w:color w:val="auto"/>
        </w:rPr>
      </w:pPr>
    </w:p>
    <w:p>
      <w:pPr>
        <w:ind w:left="1300" w:right="76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61" w:lineRule="exact"/>
        <w:rPr>
          <w:rFonts w:ascii="Arial" w:cs="Arial" w:eastAsia="Arial" w:hAnsi="Arial"/>
          <w:sz w:val="18"/>
          <w:szCs w:val="18"/>
          <w:color w:val="auto"/>
        </w:rPr>
      </w:pPr>
    </w:p>
    <w:p>
      <w:pPr>
        <w:ind w:left="1300" w:right="700" w:hanging="325"/>
        <w:spacing w:after="0" w:line="258"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63"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62"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 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was passed by the U.S. Senate.</w:t>
      </w:r>
    </w:p>
    <w:p>
      <w:pPr>
        <w:spacing w:after="0" w:line="16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The Congress will likely consider other legislation to replace elements of the ACA, during the next Congressional session.</w:t>
      </w:r>
    </w:p>
    <w:p>
      <w:pPr>
        <w:spacing w:after="0" w:line="168"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Trump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 A bipartisan bill to appropriate funds for CSR payments was introduced in the Senate, but the future of that bill is uncertain.</w:t>
      </w:r>
    </w:p>
    <w:p>
      <w:pPr>
        <w:spacing w:after="0" w:line="167"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The costs of prescription pharmaceuticals in the United States has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state and federal legislation designed to, among other things, bring more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59"/>
        <w:spacing w:after="0" w:line="211" w:lineRule="auto"/>
        <w:rPr>
          <w:sz w:val="20"/>
          <w:szCs w:val="20"/>
          <w:color w:val="auto"/>
        </w:rPr>
      </w:pPr>
      <w:r>
        <w:rPr>
          <w:rFonts w:ascii="Arial" w:cs="Arial" w:eastAsia="Arial" w:hAnsi="Arial"/>
          <w:sz w:val="18"/>
          <w:szCs w:val="18"/>
          <w:color w:val="auto"/>
        </w:rPr>
        <w:t>transparency to drug pricing, review the relationship between pricing and manufacturer patient programs, reduce the costs of drugs under Medicare and reform government program reimbursement methodologies for drug products.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w:t>
      </w:r>
    </w:p>
    <w:p>
      <w:pPr>
        <w:spacing w:after="0" w:line="165" w:lineRule="exact"/>
        <w:rPr>
          <w:sz w:val="20"/>
          <w:szCs w:val="20"/>
          <w:color w:val="auto"/>
        </w:rPr>
      </w:pPr>
    </w:p>
    <w:p>
      <w:pPr>
        <w:ind w:right="59" w:firstLine="648"/>
        <w:spacing w:after="0" w:line="241" w:lineRule="auto"/>
        <w:rPr>
          <w:sz w:val="20"/>
          <w:szCs w:val="20"/>
          <w:color w:val="auto"/>
        </w:rPr>
      </w:pPr>
      <w:r>
        <w:rPr>
          <w:rFonts w:ascii="Arial" w:cs="Arial" w:eastAsia="Arial" w:hAnsi="Arial"/>
          <w:sz w:val="16"/>
          <w:szCs w:val="16"/>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and any future collaborators to more stringent product labeling and post-marketing testing and other requirements.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b w:val="1"/>
          <w:bCs w:val="1"/>
          <w:i w:val="1"/>
          <w:iCs w:val="1"/>
          <w:color w:val="auto"/>
        </w:rPr>
        <w:t>Under the CURES Act and the Trump Administration’s regulatory reform initiatives, the FDA’s policies, regulations and guidance may be revised or revoked and that could prevent, limit or delay regulatory approval of our product candidates, which would impact our ability to generate revenue.</w:t>
      </w:r>
    </w:p>
    <w:p>
      <w:pPr>
        <w:spacing w:after="0" w:line="96"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81"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issue regulations or guidance, or implement or enforce regulatory requirements in a timely fashion or at all.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96"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b w:val="1"/>
          <w:bCs w:val="1"/>
          <w:i w:val="1"/>
          <w:iCs w:val="1"/>
          <w:color w:val="auto"/>
        </w:rPr>
        <w:t>We may be subject, directly or indirectly, to federal, state, and foreign healthcare laws and regulations, including fraud and abuse laws, false claims laws and health information privacy and security laws. If we are unable to comply, or have not fully complied, with such laws, we could face substantial penalties.</w:t>
      </w:r>
    </w:p>
    <w:p>
      <w:pPr>
        <w:spacing w:after="0" w:line="94"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will be directly, or indirectly through our prescribers, customers and purchasers, subject to various federal and state laws and regulations, including, without limitation,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 civil and criminal false claims act, and the Physician Payments Sunshine Act and regulations. These laws will impact, among other things, our proposed sales, marketing and educational programs. In addition, we may be subject to data privacy laws by both the federal government and the states in which we conduct our business. Such laws that may constrain the business or financial arrangements and relationships through which we conduct our operations include, but are not limited to:</w:t>
      </w:r>
    </w:p>
    <w:p>
      <w:pPr>
        <w:spacing w:after="0" w:line="81" w:lineRule="exact"/>
        <w:rPr>
          <w:sz w:val="20"/>
          <w:szCs w:val="20"/>
          <w:color w:val="auto"/>
        </w:rPr>
      </w:pPr>
    </w:p>
    <w:p>
      <w:pPr>
        <w:ind w:left="980" w:right="60" w:hanging="329"/>
        <w:spacing w:after="0" w:line="196" w:lineRule="exact"/>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recommendation, leasing or furnishing of, an item or service reimbursable under a federal healthcare program, such as the Medicare and Medicaid programs. This statute has been interpreted to apply to arrangements between pharmaceutical manufacturers on the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right="240"/>
        <w:spacing w:after="0" w:line="203" w:lineRule="exact"/>
        <w:rPr>
          <w:sz w:val="20"/>
          <w:szCs w:val="20"/>
          <w:color w:val="auto"/>
        </w:rPr>
      </w:pPr>
      <w:r>
        <w:rPr>
          <w:rFonts w:ascii="Arial" w:cs="Arial" w:eastAsia="Arial" w:hAnsi="Arial"/>
          <w:sz w:val="17"/>
          <w:szCs w:val="17"/>
          <w:color w:val="auto"/>
        </w:rPr>
        <w:t>one hand, and prescribers, purchasers and formulary managers on the other. Further, the Affordable Care Act amended the intent requirement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A person or entity no longer needs to have actual knowledge of this statute or specific intent to violate it;</w:t>
      </w:r>
    </w:p>
    <w:p>
      <w:pPr>
        <w:spacing w:after="0" w:line="67" w:lineRule="exact"/>
        <w:rPr>
          <w:sz w:val="20"/>
          <w:szCs w:val="20"/>
          <w:color w:val="auto"/>
        </w:rPr>
      </w:pPr>
    </w:p>
    <w:p>
      <w:pPr>
        <w:ind w:left="980" w:hanging="329"/>
        <w:spacing w:after="0" w:line="195" w:lineRule="exact"/>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penalty laws, including the civil False Claims Act,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provided and recent government cases against pharmaceutical and medical device manufacturers support the view that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violations and certain marketing practices, including off</w:t>
      </w:r>
      <w:r>
        <w:rPr>
          <w:rFonts w:ascii="MS PGothic" w:cs="MS PGothic" w:eastAsia="MS PGothic" w:hAnsi="MS PGothic"/>
          <w:sz w:val="16"/>
          <w:szCs w:val="16"/>
          <w:color w:val="auto"/>
        </w:rPr>
        <w:t>‑</w:t>
      </w:r>
      <w:r>
        <w:rPr>
          <w:rFonts w:ascii="Arial" w:cs="Arial" w:eastAsia="Arial" w:hAnsi="Arial"/>
          <w:sz w:val="16"/>
          <w:szCs w:val="16"/>
          <w:color w:val="auto"/>
        </w:rPr>
        <w:t>label promotion, may implicate the civil False Claims Act;</w:t>
      </w:r>
    </w:p>
    <w:p>
      <w:pPr>
        <w:spacing w:after="0" w:line="68" w:lineRule="exact"/>
        <w:rPr>
          <w:rFonts w:ascii="Arial" w:cs="Arial" w:eastAsia="Arial" w:hAnsi="Arial"/>
          <w:sz w:val="16"/>
          <w:szCs w:val="16"/>
          <w:color w:val="auto"/>
        </w:rPr>
      </w:pPr>
    </w:p>
    <w:p>
      <w:pPr>
        <w:ind w:left="980" w:right="60" w:hanging="329"/>
        <w:spacing w:after="0" w:line="231"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 person from knowingly and willfully executing or attempting to execute a scheme or from making false or fraudulent statements to defraud any healthcare benefit program, regardless of the payor (e.g., public or private);</w:t>
      </w:r>
    </w:p>
    <w:p>
      <w:pPr>
        <w:spacing w:after="0" w:line="67" w:lineRule="exact"/>
        <w:rPr>
          <w:rFonts w:ascii="Arial" w:cs="Arial" w:eastAsia="Arial" w:hAnsi="Arial"/>
          <w:sz w:val="18"/>
          <w:szCs w:val="18"/>
          <w:color w:val="auto"/>
        </w:rPr>
      </w:pPr>
    </w:p>
    <w:p>
      <w:pPr>
        <w:ind w:left="980" w:right="40" w:hanging="329"/>
        <w:spacing w:after="0" w:line="239"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68" w:lineRule="exact"/>
        <w:rPr>
          <w:rFonts w:ascii="Arial" w:cs="Arial" w:eastAsia="Arial" w:hAnsi="Arial"/>
          <w:sz w:val="17"/>
          <w:szCs w:val="17"/>
          <w:color w:val="auto"/>
        </w:rPr>
      </w:pPr>
    </w:p>
    <w:p>
      <w:pPr>
        <w:ind w:left="980" w:right="120" w:hanging="329"/>
        <w:spacing w:after="0" w:line="22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Payments Sunshine Act, which is part of the Affordable Care Act, that requires certain manufacturers of drugs, devices, biologics and medical supplies for which payment is available under Medicare, Medicaid, or the Children’s Health Insurance Program, with specific exceptions, to report annually to Center for Medicare &amp; Medicaid Services, or CMS, information related to payments and other transfers of value provided to physicians and teaching hospitals, and ownership and investment interests held by physicians and their immediate family members, by the 90</w:t>
      </w:r>
      <w:r>
        <w:rPr>
          <w:rFonts w:ascii="Arial" w:cs="Arial" w:eastAsia="Arial" w:hAnsi="Arial"/>
          <w:sz w:val="8"/>
          <w:szCs w:val="8"/>
          <w:color w:val="auto"/>
        </w:rPr>
        <w:t>th</w:t>
      </w:r>
      <w:r>
        <w:rPr>
          <w:rFonts w:ascii="Arial" w:cs="Arial" w:eastAsia="Arial" w:hAnsi="Arial"/>
          <w:sz w:val="18"/>
          <w:szCs w:val="18"/>
          <w:color w:val="auto"/>
        </w:rPr>
        <w:t xml:space="preserve"> day of each subsequent calendar year, and disclosure of such information is made by CMS on a publicly available website; and</w:t>
      </w:r>
    </w:p>
    <w:p>
      <w:pPr>
        <w:spacing w:after="0" w:line="68" w:lineRule="exact"/>
        <w:rPr>
          <w:rFonts w:ascii="Arial" w:cs="Arial" w:eastAsia="Arial" w:hAnsi="Arial"/>
          <w:sz w:val="18"/>
          <w:szCs w:val="18"/>
          <w:color w:val="auto"/>
        </w:rPr>
      </w:pPr>
    </w:p>
    <w:p>
      <w:pPr>
        <w:ind w:left="980" w:right="40" w:hanging="329"/>
        <w:spacing w:after="0" w:line="194" w:lineRule="exact"/>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state and/or foreign law equivalents of each of the above federal laws, such as state anti</w:t>
      </w:r>
      <w:r>
        <w:rPr>
          <w:rFonts w:ascii="MS PGothic" w:cs="MS PGothic" w:eastAsia="MS PGothic" w:hAnsi="MS PGothic"/>
          <w:sz w:val="16"/>
          <w:szCs w:val="16"/>
          <w:color w:val="auto"/>
        </w:rPr>
        <w:t>‑</w:t>
      </w:r>
      <w:r>
        <w:rPr>
          <w:rFonts w:ascii="Arial" w:cs="Arial" w:eastAsia="Arial" w:hAnsi="Arial"/>
          <w:sz w:val="16"/>
          <w:szCs w:val="16"/>
          <w:color w:val="auto"/>
        </w:rPr>
        <w:t>kickback and false claims laws that may apply to arrangements and claims involving health care items or services reimbursed by non</w:t>
      </w:r>
      <w:r>
        <w:rPr>
          <w:rFonts w:ascii="MS PGothic" w:cs="MS PGothic" w:eastAsia="MS PGothic" w:hAnsi="MS PGothic"/>
          <w:sz w:val="16"/>
          <w:szCs w:val="16"/>
          <w:color w:val="auto"/>
        </w:rPr>
        <w:t>‑</w:t>
      </w:r>
      <w:r>
        <w:rPr>
          <w:rFonts w:ascii="Arial" w:cs="Arial" w:eastAsia="Arial" w:hAnsi="Arial"/>
          <w:sz w:val="16"/>
          <w:szCs w:val="16"/>
          <w:color w:val="auto"/>
        </w:rPr>
        <w:t>governmental third-party payors; state laws that require drug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9"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disgorgement, contractual damages, reputational harm, diminished profits and future earnings, imprisonment and the curtailment or restructuring of our operations, any of which could adversely affect our ability to operate our business and our results of operations.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60" w:firstLine="648"/>
        <w:spacing w:after="0" w:line="189" w:lineRule="exact"/>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w:t>
      </w:r>
      <w:r>
        <w:rPr>
          <w:rFonts w:ascii="MS PGothic" w:cs="MS PGothic" w:eastAsia="MS PGothic" w:hAnsi="MS PGothic"/>
          <w:sz w:val="16"/>
          <w:szCs w:val="16"/>
          <w:color w:val="auto"/>
        </w:rPr>
        <w:t>‑</w:t>
      </w:r>
      <w:r>
        <w:rPr>
          <w:rFonts w:ascii="Arial" w:cs="Arial" w:eastAsia="Arial" w:hAnsi="Arial"/>
          <w:sz w:val="16"/>
          <w:szCs w:val="16"/>
          <w:color w:val="auto"/>
        </w:rPr>
        <w:t>bribery laws of European Union Member States, such as the UK Bribery Act 2010. Infringement of these laws could result in substantial fines and imprisonment.</w:t>
      </w:r>
    </w:p>
    <w:p>
      <w:pPr>
        <w:spacing w:after="0" w:line="164" w:lineRule="exact"/>
        <w:rPr>
          <w:sz w:val="20"/>
          <w:szCs w:val="20"/>
          <w:color w:val="auto"/>
        </w:rPr>
      </w:pPr>
    </w:p>
    <w:p>
      <w:pPr>
        <w:ind w:right="160" w:firstLine="648"/>
        <w:spacing w:after="0" w:line="226"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6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collection and use of personal health data in the European Union is governed by the provisions of the Data Protection Directive.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also imposes strict rules on the transfer of personal data out of the European Union to the United States. Failure to comply with the requirements of the Data Protection Directive and the related national data protection laws of the European Union Member States may result in fines and other administrative penalties. The draft Data Protection Regulation currently going through the adoption process is expected to introduce new data protection requirements in the European Union and substantial fines for breaches of the data protection rules. If the draft Data Protection Regulation is adopted in its current form it may increase our responsibility and liability in relation to personal data that we process and we may be required to put in place additional mechanisms ensuring compliance with the new data protection rules. This may be onerous and adversely affect our business, financial condition, results of operations and prospects.</w:t>
      </w:r>
    </w:p>
    <w:p>
      <w:pPr>
        <w:spacing w:after="0" w:line="170"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clinical trials and may face an even greater risk if we commercialize any products that we may develop. If we cannot successfully defend ourselves against claims that our product candidates caused injuries, we could incur substantial liabilities. Regardless of merit or eventual outcome, liability claims may result in:</w:t>
      </w:r>
    </w:p>
    <w:p>
      <w:pPr>
        <w:spacing w:after="0" w:line="163" w:lineRule="exact"/>
        <w:rPr>
          <w:sz w:val="20"/>
          <w:szCs w:val="20"/>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Although we maintain product liability insurance coverage in the amount of $5.0 million per occurrence and</w:t>
      </w:r>
    </w:p>
    <w:p>
      <w:pPr>
        <w:spacing w:after="0" w:line="229" w:lineRule="auto"/>
        <w:rPr>
          <w:sz w:val="20"/>
          <w:szCs w:val="20"/>
          <w:color w:val="auto"/>
        </w:rPr>
      </w:pPr>
      <w:r>
        <w:rPr>
          <w:rFonts w:ascii="Arial" w:cs="Arial" w:eastAsia="Arial" w:hAnsi="Arial"/>
          <w:sz w:val="16"/>
          <w:szCs w:val="16"/>
          <w:color w:val="auto"/>
        </w:rPr>
        <w:t>$50.0 million in the aggregate, this insurance may not be adequate to cover all liabilities that we may incur. We anticipate that</w:t>
      </w:r>
    </w:p>
    <w:p>
      <w:pPr>
        <w:spacing w:after="0" w:line="229" w:lineRule="auto"/>
        <w:rPr>
          <w:sz w:val="20"/>
          <w:szCs w:val="20"/>
          <w:color w:val="auto"/>
        </w:rPr>
      </w:pPr>
      <w:r>
        <w:rPr>
          <w:rFonts w:ascii="Arial" w:cs="Arial" w:eastAsia="Arial" w:hAnsi="Arial"/>
          <w:sz w:val="16"/>
          <w:szCs w:val="16"/>
          <w:color w:val="auto"/>
        </w:rPr>
        <w:t>we will need to increase our insurance coverage each time we commence a clinical trial and if we successfully commercialize</w:t>
      </w:r>
    </w:p>
    <w:p>
      <w:pPr>
        <w:spacing w:after="0" w:line="229" w:lineRule="auto"/>
        <w:rPr>
          <w:sz w:val="20"/>
          <w:szCs w:val="20"/>
          <w:color w:val="auto"/>
        </w:rPr>
      </w:pPr>
      <w:r>
        <w:rPr>
          <w:rFonts w:ascii="Arial" w:cs="Arial" w:eastAsia="Arial" w:hAnsi="Arial"/>
          <w:sz w:val="16"/>
          <w:szCs w:val="16"/>
          <w:color w:val="auto"/>
        </w:rPr>
        <w:t>any product candidate. Insurance coverage is increasingly expensive. We may not be able to maintain insurance coverage at a</w:t>
      </w:r>
    </w:p>
    <w:p>
      <w:pPr>
        <w:spacing w:after="0"/>
        <w:rPr>
          <w:sz w:val="20"/>
          <w:szCs w:val="20"/>
          <w:color w:val="auto"/>
        </w:rPr>
      </w:pPr>
      <w:r>
        <w:rPr>
          <w:rFonts w:ascii="Arial" w:cs="Arial" w:eastAsia="Arial" w:hAnsi="Arial"/>
          <w:sz w:val="18"/>
          <w:szCs w:val="18"/>
          <w:color w:val="auto"/>
        </w:rPr>
        <w:t>reasonable cost or in an amount adequate to satisfy any liability that may arise.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324" w:lineRule="auto"/>
        <w:rPr>
          <w:sz w:val="20"/>
          <w:szCs w:val="20"/>
          <w:color w:val="auto"/>
        </w:rPr>
      </w:pPr>
      <w:r>
        <w:rPr>
          <w:rFonts w:ascii="Arial" w:cs="Arial" w:eastAsia="Arial" w:hAnsi="Arial"/>
          <w:sz w:val="15"/>
          <w:szCs w:val="15"/>
          <w:b w:val="1"/>
          <w:bCs w:val="1"/>
          <w:i w:val="1"/>
          <w:iCs w:val="1"/>
          <w:color w:val="auto"/>
        </w:rPr>
        <w:t>If we, our collaborators, or any third-party manufacturers we engage fail to comply with environmental, health and safety laws and regulations, we could become subject to fines or penalties or incur costs that could harm our business.</w:t>
      </w:r>
    </w:p>
    <w:p>
      <w:pPr>
        <w:spacing w:after="0" w:line="10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We, our collaborators, and any third-party manufacturers we engage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2"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Although we maintain general liability insurance and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environmental liability or toxic tort claims that may be asserted against us in connection with our storage or disposal of biologic, hazardous or radioactive materials.</w:t>
      </w:r>
    </w:p>
    <w:p>
      <w:pPr>
        <w:spacing w:after="0" w:line="162"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harm our business, financial condition, results of operations and prospects.</w:t>
      </w:r>
    </w:p>
    <w:p>
      <w:pPr>
        <w:spacing w:after="0" w:line="162"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Further, with respect to the operations of any current or future collaborators or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recovering from a severe economic crisis. A weak or declining economy could strain our suppliers, possibly resulting in supply disruption, or cause delays in payments for our services by third</w:t>
      </w:r>
      <w:r>
        <w:rPr>
          <w:rFonts w:ascii="MS PGothic" w:cs="MS PGothic" w:eastAsia="MS PGothic" w:hAnsi="MS PGothic"/>
          <w:sz w:val="17"/>
          <w:szCs w:val="17"/>
          <w:color w:val="auto"/>
        </w:rPr>
        <w:t>‑</w:t>
      </w:r>
      <w:r>
        <w:rPr>
          <w:rFonts w:ascii="Arial" w:cs="Arial" w:eastAsia="Arial" w:hAnsi="Arial"/>
          <w:sz w:val="17"/>
          <w:szCs w:val="17"/>
          <w:color w:val="auto"/>
        </w:rPr>
        <w:t>party payors or our collaborators. Any of the foregoing could harm our business and we cannot anticipate all of the ways in which the current economic climate and financial market conditions could adversely impact our business.</w:t>
      </w:r>
    </w:p>
    <w:p>
      <w:pPr>
        <w:spacing w:after="0" w:line="162" w:lineRule="exact"/>
        <w:rPr>
          <w:sz w:val="20"/>
          <w:szCs w:val="20"/>
          <w:color w:val="auto"/>
        </w:rPr>
      </w:pPr>
    </w:p>
    <w:p>
      <w:pPr>
        <w:ind w:right="540"/>
        <w:spacing w:after="0" w:line="289"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24"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reproduce the data. Although we maintain cyber risk insurance for certain costs we may incur due to a cyber related event, this insurance may not provide adequate coverage against potential liabilities. Additionally,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The affected populations for our product candidates may be smaller than we or third parties currently project, which may affect the addressable markets for our product candidates.</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Prevalence estimates are frequently based on information and assumptions that are not exact and may not be appropriate, and the methodology is forward</w:t>
      </w:r>
      <w:r>
        <w:rPr>
          <w:rFonts w:ascii="MS PGothic" w:cs="MS PGothic" w:eastAsia="MS PGothic" w:hAnsi="MS PGothic"/>
          <w:sz w:val="16"/>
          <w:szCs w:val="16"/>
          <w:color w:val="auto"/>
        </w:rPr>
        <w:t>‑</w:t>
      </w:r>
      <w:r>
        <w:rPr>
          <w:rFonts w:ascii="Arial" w:cs="Arial" w:eastAsia="Arial" w:hAnsi="Arial"/>
          <w:sz w:val="16"/>
          <w:szCs w:val="16"/>
          <w:color w:val="auto"/>
        </w:rPr>
        <w:t>looking and speculative. The process we have used in developing an estimated prevalence range for the indications we are targeting has involved collating limited data from multiple sources. While we believe these sources are reliable, we have not independently verified the data. Accordingly, the prevalence estimates included in our periodic reports and other reports filed with or furnished to the SEC should be viewed with caution. Further, the data and statistical information used in such reports, including estimates derived from them, may differ from information and estimates made by our competitors or from current or future studies conducted by independent sources.</w:t>
      </w:r>
    </w:p>
    <w:p>
      <w:pPr>
        <w:spacing w:after="0" w:line="170"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The use of such data involves risks and uncertainties and is subject to change based on various factors. Our estimates may prove to be incorrect and new studies may change the estimated incidence or prevalence of the diseases we seek to address. The number of patients with the diseases we are targeting in the United States, the European Union and elsewhere may turn out to be lower than expected or may not be otherwise amenable to treatment with our products, or new patients may become increasingly difficult to identify or access, all of which would harm our results of operations and our business.</w:t>
      </w:r>
    </w:p>
    <w:p>
      <w:pPr>
        <w:spacing w:after="0" w:line="162"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If we are unable to establish sales, medical affairs and marketing capabilities or enter into agreements with third parties to market and sell our product candidates, we may be unable to generate any product revenue.</w:t>
      </w:r>
    </w:p>
    <w:p>
      <w:pPr>
        <w:spacing w:after="0" w:line="147" w:lineRule="exact"/>
        <w:rPr>
          <w:sz w:val="20"/>
          <w:szCs w:val="20"/>
          <w:color w:val="auto"/>
        </w:rPr>
      </w:pPr>
    </w:p>
    <w:p>
      <w:pPr>
        <w:ind w:firstLine="648"/>
        <w:spacing w:after="0" w:line="187" w:lineRule="exact"/>
        <w:rPr>
          <w:sz w:val="20"/>
          <w:szCs w:val="20"/>
          <w:color w:val="auto"/>
        </w:rPr>
      </w:pPr>
      <w:r>
        <w:rPr>
          <w:rFonts w:ascii="Arial" w:cs="Arial" w:eastAsia="Arial" w:hAnsi="Arial"/>
          <w:sz w:val="17"/>
          <w:szCs w:val="17"/>
          <w:color w:val="auto"/>
        </w:rPr>
        <w:t>We have recently begun to build our sales and marketing organization. To successfully commercialize any products that may result from our clinical development programs, we will need to further develop these capabilities, either on our own or with others. The establishment and development of our own commercial team or the establishment of a contract sales force to market any products we may develop will be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could delay any product launch. Moreover, we cannot be certain that we will be able to successfully develop this capability.</w:t>
      </w:r>
    </w:p>
    <w:p>
      <w:pPr>
        <w:spacing w:after="0" w:line="121" w:lineRule="exact"/>
        <w:rPr>
          <w:sz w:val="20"/>
          <w:szCs w:val="20"/>
          <w:color w:val="auto"/>
        </w:rPr>
      </w:pPr>
    </w:p>
    <w:p>
      <w:pPr>
        <w:ind w:right="260" w:firstLine="648"/>
        <w:spacing w:after="0" w:line="183" w:lineRule="exact"/>
        <w:rPr>
          <w:sz w:val="20"/>
          <w:szCs w:val="20"/>
          <w:color w:val="auto"/>
        </w:rPr>
      </w:pPr>
      <w:r>
        <w:rPr>
          <w:rFonts w:ascii="Arial" w:cs="Arial" w:eastAsia="Arial" w:hAnsi="Arial"/>
          <w:sz w:val="18"/>
          <w:szCs w:val="18"/>
          <w:color w:val="auto"/>
        </w:rPr>
        <w:t>Under our collaboration agreement with Sanofi Genzyme, Sanofi Genzyme has an exclusive option to license, develop and commercialize ex</w:t>
      </w:r>
      <w:r>
        <w:rPr>
          <w:rFonts w:ascii="MS PGothic" w:cs="MS PGothic" w:eastAsia="MS PGothic" w:hAnsi="MS PGothic"/>
          <w:sz w:val="18"/>
          <w:szCs w:val="18"/>
          <w:color w:val="auto"/>
        </w:rPr>
        <w:t>‑</w:t>
      </w:r>
      <w:r>
        <w:rPr>
          <w:rFonts w:ascii="Arial" w:cs="Arial" w:eastAsia="Arial" w:hAnsi="Arial"/>
          <w:sz w:val="18"/>
          <w:szCs w:val="18"/>
          <w:color w:val="auto"/>
        </w:rPr>
        <w:t>U.S. rights to our Friedreich’s ataxia program, a future program to be designated by Sanofi Genzyme and our Huntington’s disease program. Additionally, we have granted Sanofi Genzyme an incremental option to co</w:t>
      </w:r>
      <w:r>
        <w:rPr>
          <w:rFonts w:ascii="MS PGothic" w:cs="MS PGothic" w:eastAsia="MS PGothic" w:hAnsi="MS PGothic"/>
          <w:sz w:val="18"/>
          <w:szCs w:val="18"/>
          <w:color w:val="auto"/>
        </w:rPr>
        <w:t>‑</w:t>
      </w:r>
      <w:r>
        <w:rPr>
          <w:rFonts w:ascii="Arial" w:cs="Arial" w:eastAsia="Arial" w:hAnsi="Arial"/>
          <w:sz w:val="18"/>
          <w:szCs w:val="18"/>
          <w:color w:val="auto"/>
        </w:rPr>
        <w:t>commercialize our Huntington’s disease program in the United States and to acquire worldwide rights to our spinal muscular atrophy program. If Sanofi Genzyme exercises any of these options, we would be eligible to receive specified option fees. In addition, we would be eligible to receive specified milestone payments and royalties for any product developed in such programs.</w:t>
      </w:r>
    </w:p>
    <w:p>
      <w:pPr>
        <w:spacing w:after="0" w:line="138"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Under our collaboration and option agreement with AbbVie, AbbVie has options to advance certain compounds into further development and to obtain an exclusive, worldwide license, with the right to sublicense, under certain of our intellectual property rights to develop and commercialize such compounds and corresponding products for all human diagnostic, prophylactic and therapeutic uses. If AbbVie exercises any of these options, we would be eligible to receive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specified option fees. In addition, we would be eligible to receive specified development and regulatory milestone payments and tiered royalties on the global commercial net sales products developed under our collaboration.</w:t>
      </w:r>
    </w:p>
    <w:p>
      <w:pPr>
        <w:spacing w:after="0" w:line="106"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the future, we may enter into collaborations regarding other of our product candidates with other entities to utilize their established marketing and distribution capabilities, but we may be unable to enter into such agreements on favorable terms, if at all. If any current or future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w:t>
      </w:r>
      <w:r>
        <w:rPr>
          <w:rFonts w:ascii="MS PGothic" w:cs="MS PGothic" w:eastAsia="MS PGothic" w:hAnsi="MS PGothic"/>
          <w:sz w:val="17"/>
          <w:szCs w:val="17"/>
          <w:color w:val="auto"/>
        </w:rPr>
        <w:t>‑</w:t>
      </w:r>
      <w:r>
        <w:rPr>
          <w:rFonts w:ascii="Arial" w:cs="Arial" w:eastAsia="Arial" w:hAnsi="Arial"/>
          <w:sz w:val="17"/>
          <w:szCs w:val="17"/>
          <w:color w:val="auto"/>
        </w:rPr>
        <w:t>funded medical affairs, marketing and sales operations to recruit, hire, train and retain marketing and sales personnel. We also face competition in our search for third parties to assist us with the sales and marketing efforts of our product candidates. We might face unforeseen costs and expenses associated with creating an independent sales and marketing organization. Our sales personnel might also face difficulties obtaining access to physicians or being able to persuade adequate numbers of physicians to use or prescribe our products or selling our products if we lack complementary products, which could disadvantage us compared to companies with more extensive product lines. Without an internal team or the support of a third</w:t>
      </w:r>
      <w:r>
        <w:rPr>
          <w:rFonts w:ascii="MS PGothic" w:cs="MS PGothic" w:eastAsia="MS PGothic" w:hAnsi="MS PGothic"/>
          <w:sz w:val="17"/>
          <w:szCs w:val="17"/>
          <w:color w:val="auto"/>
        </w:rPr>
        <w:t>‑</w:t>
      </w:r>
      <w:r>
        <w:rPr>
          <w:rFonts w:ascii="Arial" w:cs="Arial" w:eastAsia="Arial" w:hAnsi="Arial"/>
          <w:sz w:val="17"/>
          <w:szCs w:val="17"/>
          <w:color w:val="auto"/>
        </w:rPr>
        <w:t>party to perform marketing and sales functions, we may be unable to compete successfully against these more established companies.</w:t>
      </w:r>
    </w:p>
    <w:p>
      <w:pPr>
        <w:spacing w:after="0" w:line="142" w:lineRule="exact"/>
        <w:rPr>
          <w:sz w:val="20"/>
          <w:szCs w:val="20"/>
          <w:color w:val="auto"/>
        </w:rPr>
      </w:pPr>
    </w:p>
    <w:p>
      <w:pPr>
        <w:ind w:right="80" w:firstLine="648"/>
        <w:spacing w:after="0" w:line="185" w:lineRule="exact"/>
        <w:rPr>
          <w:sz w:val="20"/>
          <w:szCs w:val="20"/>
          <w:color w:val="auto"/>
        </w:rPr>
      </w:pPr>
      <w:r>
        <w:rPr>
          <w:rFonts w:ascii="Arial" w:cs="Arial" w:eastAsia="Arial" w:hAnsi="Arial"/>
          <w:sz w:val="18"/>
          <w:szCs w:val="18"/>
          <w:color w:val="auto"/>
        </w:rPr>
        <w:t>Our efforts to educate the medical community and third</w:t>
      </w:r>
      <w:r>
        <w:rPr>
          <w:rFonts w:ascii="MS PGothic" w:cs="MS PGothic" w:eastAsia="MS PGothic" w:hAnsi="MS PGothic"/>
          <w:sz w:val="18"/>
          <w:szCs w:val="18"/>
          <w:color w:val="auto"/>
        </w:rPr>
        <w:t>‑</w:t>
      </w:r>
      <w:r>
        <w:rPr>
          <w:rFonts w:ascii="Arial" w:cs="Arial" w:eastAsia="Arial" w:hAnsi="Arial"/>
          <w:sz w:val="18"/>
          <w:szCs w:val="18"/>
          <w:color w:val="auto"/>
        </w:rPr>
        <w:t>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w:t>
      </w:r>
      <w:r>
        <w:rPr>
          <w:rFonts w:ascii="MS PGothic" w:cs="MS PGothic" w:eastAsia="MS PGothic" w:hAnsi="MS PGothic"/>
          <w:sz w:val="18"/>
          <w:szCs w:val="18"/>
          <w:color w:val="auto"/>
        </w:rPr>
        <w:t>‑</w:t>
      </w:r>
      <w:r>
        <w:rPr>
          <w:rFonts w:ascii="Arial" w:cs="Arial" w:eastAsia="Arial" w:hAnsi="Arial"/>
          <w:sz w:val="18"/>
          <w:szCs w:val="18"/>
          <w:color w:val="auto"/>
        </w:rPr>
        <w:t>party payors, we will not be able to generate significant revenues from such product, which could harm our business, financial condition, results of operations and prospects.</w:t>
      </w:r>
    </w:p>
    <w:p>
      <w:pPr>
        <w:spacing w:after="0" w:line="122" w:lineRule="exact"/>
        <w:rPr>
          <w:sz w:val="20"/>
          <w:szCs w:val="20"/>
          <w:color w:val="auto"/>
        </w:rPr>
      </w:pPr>
    </w:p>
    <w:p>
      <w:pPr>
        <w:spacing w:after="0" w:line="194" w:lineRule="exact"/>
        <w:rPr>
          <w:sz w:val="20"/>
          <w:szCs w:val="20"/>
          <w:color w:val="auto"/>
        </w:rPr>
      </w:pPr>
      <w:r>
        <w:rPr>
          <w:rFonts w:ascii="Arial" w:cs="Arial" w:eastAsia="Arial" w:hAnsi="Arial"/>
          <w:sz w:val="18"/>
          <w:szCs w:val="18"/>
          <w:b w:val="1"/>
          <w:bCs w:val="1"/>
          <w:i w:val="1"/>
          <w:iCs w:val="1"/>
          <w:color w:val="auto"/>
        </w:rPr>
        <w:t>The insurance coverage and reimbursement status of newly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approved products is uncertain. Failure to obtain or maintain adequate coverage and reimbursement for our product candidates, if approved, could limit our ability to market those products and decrease our ability to generate product revenue.</w:t>
      </w:r>
    </w:p>
    <w:p>
      <w:pPr>
        <w:spacing w:after="0" w:line="123"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w:t>
      </w:r>
      <w:r>
        <w:rPr>
          <w:rFonts w:ascii="MS PGothic" w:cs="MS PGothic" w:eastAsia="MS PGothic" w:hAnsi="MS PGothic"/>
          <w:sz w:val="18"/>
          <w:szCs w:val="18"/>
          <w:color w:val="auto"/>
        </w:rPr>
        <w:t>‑</w:t>
      </w:r>
      <w:r>
        <w:rPr>
          <w:rFonts w:ascii="Arial" w:cs="Arial" w:eastAsia="Arial" w:hAnsi="Arial"/>
          <w:sz w:val="18"/>
          <w:szCs w:val="18"/>
          <w:color w:val="auto"/>
        </w:rPr>
        <w:t>party payors. Coverage and reimbursement by a third</w:t>
      </w:r>
      <w:r>
        <w:rPr>
          <w:rFonts w:ascii="MS PGothic" w:cs="MS PGothic" w:eastAsia="MS PGothic" w:hAnsi="MS PGothic"/>
          <w:sz w:val="18"/>
          <w:szCs w:val="18"/>
          <w:color w:val="auto"/>
        </w:rPr>
        <w:t>‑</w:t>
      </w:r>
      <w:r>
        <w:rPr>
          <w:rFonts w:ascii="Arial" w:cs="Arial" w:eastAsia="Arial" w:hAnsi="Arial"/>
          <w:sz w:val="18"/>
          <w:szCs w:val="18"/>
          <w:color w:val="auto"/>
        </w:rPr>
        <w:t>party payor may depend upon several factors, including the third</w:t>
      </w:r>
      <w:r>
        <w:rPr>
          <w:rFonts w:ascii="MS PGothic" w:cs="MS PGothic" w:eastAsia="MS PGothic" w:hAnsi="MS PGothic"/>
          <w:sz w:val="18"/>
          <w:szCs w:val="18"/>
          <w:color w:val="auto"/>
        </w:rPr>
        <w:t>‑</w:t>
      </w:r>
      <w:r>
        <w:rPr>
          <w:rFonts w:ascii="Arial" w:cs="Arial" w:eastAsia="Arial" w:hAnsi="Arial"/>
          <w:sz w:val="18"/>
          <w:szCs w:val="18"/>
          <w:color w:val="auto"/>
        </w:rPr>
        <w:t>party payor’s determination that use of a product is:</w:t>
      </w:r>
    </w:p>
    <w:p>
      <w:pPr>
        <w:spacing w:after="0" w:line="138" w:lineRule="exact"/>
        <w:rPr>
          <w:sz w:val="20"/>
          <w:szCs w:val="20"/>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appropriate for the specific patient and the indication;</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convenient and easy-to-administer compared to alternative treatments;</w:t>
      </w:r>
    </w:p>
    <w:p>
      <w:pPr>
        <w:spacing w:after="0" w:line="157"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w:t>
      </w:r>
      <w:r>
        <w:rPr>
          <w:rFonts w:ascii="MS PGothic" w:cs="MS PGothic" w:eastAsia="MS PGothic" w:hAnsi="MS PGothic"/>
          <w:sz w:val="18"/>
          <w:szCs w:val="18"/>
          <w:color w:val="auto"/>
        </w:rPr>
        <w:t>‑</w:t>
      </w:r>
      <w:r>
        <w:rPr>
          <w:rFonts w:ascii="Arial" w:cs="Arial" w:eastAsia="Arial" w:hAnsi="Arial"/>
          <w:sz w:val="18"/>
          <w:szCs w:val="18"/>
          <w:color w:val="auto"/>
        </w:rPr>
        <w:t>effective compared to alternative treatments; and</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58"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No uniform policy requirement for coverage and reimbursement for drug products exists among third</w:t>
      </w:r>
      <w:r>
        <w:rPr>
          <w:rFonts w:ascii="MS PGothic" w:cs="MS PGothic" w:eastAsia="MS PGothic" w:hAnsi="MS PGothic"/>
          <w:sz w:val="16"/>
          <w:szCs w:val="16"/>
          <w:color w:val="auto"/>
        </w:rPr>
        <w:t>‑</w:t>
      </w:r>
      <w:r>
        <w:rPr>
          <w:rFonts w:ascii="Arial" w:cs="Arial" w:eastAsia="Arial" w:hAnsi="Arial"/>
          <w:sz w:val="16"/>
          <w:szCs w:val="16"/>
          <w:color w:val="auto"/>
        </w:rPr>
        <w:t>party payors. Therefore, coverage and reimbursement for drug products can differ significantly from payor to payor. As a result, obtaining coverage and reimbursement for a product from third</w:t>
      </w:r>
      <w:r>
        <w:rPr>
          <w:rFonts w:ascii="MS PGothic" w:cs="MS PGothic" w:eastAsia="MS PGothic" w:hAnsi="MS PGothic"/>
          <w:sz w:val="16"/>
          <w:szCs w:val="16"/>
          <w:color w:val="auto"/>
        </w:rPr>
        <w:t>‑</w:t>
      </w:r>
      <w:r>
        <w:rPr>
          <w:rFonts w:ascii="Arial" w:cs="Arial" w:eastAsia="Arial" w:hAnsi="Arial"/>
          <w:sz w:val="16"/>
          <w:szCs w:val="16"/>
          <w:color w:val="auto"/>
        </w:rPr>
        <w:t>party payors is a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process that could require us to provide to each different payor supporting scientific, clinical and cost</w:t>
      </w:r>
      <w:r>
        <w:rPr>
          <w:rFonts w:ascii="MS PGothic" w:cs="MS PGothic" w:eastAsia="MS PGothic" w:hAnsi="MS PGothic"/>
          <w:sz w:val="16"/>
          <w:szCs w:val="16"/>
          <w:color w:val="auto"/>
        </w:rPr>
        <w:t>‑</w:t>
      </w:r>
      <w:r>
        <w:rPr>
          <w:rFonts w:ascii="Arial" w:cs="Arial" w:eastAsia="Arial" w:hAnsi="Arial"/>
          <w:sz w:val="16"/>
          <w:szCs w:val="16"/>
          <w:color w:val="auto"/>
        </w:rPr>
        <w:t>effectiveness data. We may not be able to provide data sufficient to gain acceptance with respect to coverage and reimbursement. If coverage and reimbursement are not available, or are available only at limited levels, we may not be able to successfully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commercialize our product candidates. Even if coverage is provided, the approved reimbursement amount may not be</w:t>
      </w:r>
    </w:p>
    <w:p>
      <w:pPr>
        <w:spacing w:after="0" w:line="215" w:lineRule="auto"/>
        <w:rPr>
          <w:sz w:val="20"/>
          <w:szCs w:val="20"/>
          <w:color w:val="auto"/>
        </w:rPr>
      </w:pPr>
      <w:r>
        <w:rPr>
          <w:rFonts w:ascii="Arial" w:cs="Arial" w:eastAsia="Arial" w:hAnsi="Arial"/>
          <w:sz w:val="17"/>
          <w:szCs w:val="17"/>
          <w:color w:val="auto"/>
        </w:rPr>
        <w:t>adequate to realize a sufficient return on our investment including our research, development, manufacture, sales, and</w:t>
      </w:r>
    </w:p>
    <w:p>
      <w:pPr>
        <w:spacing w:after="0" w:line="229" w:lineRule="auto"/>
        <w:rPr>
          <w:sz w:val="20"/>
          <w:szCs w:val="20"/>
          <w:color w:val="auto"/>
        </w:rPr>
      </w:pPr>
      <w:r>
        <w:rPr>
          <w:rFonts w:ascii="Arial" w:cs="Arial" w:eastAsia="Arial" w:hAnsi="Arial"/>
          <w:sz w:val="16"/>
          <w:szCs w:val="16"/>
          <w:color w:val="auto"/>
        </w:rPr>
        <w:t>distribution expenses. Interim reimbursement levels for new drugs, if applicable, may also not be sufficient to cover our costs</w:t>
      </w:r>
    </w:p>
    <w:p>
      <w:pPr>
        <w:spacing w:after="0" w:line="229" w:lineRule="auto"/>
        <w:rPr>
          <w:sz w:val="20"/>
          <w:szCs w:val="20"/>
          <w:color w:val="auto"/>
        </w:rPr>
      </w:pPr>
      <w:r>
        <w:rPr>
          <w:rFonts w:ascii="Arial" w:cs="Arial" w:eastAsia="Arial" w:hAnsi="Arial"/>
          <w:sz w:val="16"/>
          <w:szCs w:val="16"/>
          <w:color w:val="auto"/>
        </w:rPr>
        <w:t>and may not be made permanent. Reimbursement rates may vary according to the use of the drug and the clinical setting in</w:t>
      </w:r>
    </w:p>
    <w:p>
      <w:pPr>
        <w:spacing w:after="0" w:line="216" w:lineRule="auto"/>
        <w:rPr>
          <w:sz w:val="20"/>
          <w:szCs w:val="20"/>
          <w:color w:val="auto"/>
        </w:rPr>
      </w:pPr>
      <w:r>
        <w:rPr>
          <w:rFonts w:ascii="Arial" w:cs="Arial" w:eastAsia="Arial" w:hAnsi="Arial"/>
          <w:sz w:val="17"/>
          <w:szCs w:val="17"/>
          <w:color w:val="auto"/>
        </w:rPr>
        <w:t>which it is used, may be based on reimbursement levels already set for lower cost drugs and may be incorporated into</w:t>
      </w:r>
    </w:p>
    <w:p>
      <w:pPr>
        <w:spacing w:after="0" w:line="176" w:lineRule="exact"/>
        <w:rPr>
          <w:sz w:val="20"/>
          <w:szCs w:val="20"/>
          <w:color w:val="auto"/>
        </w:rPr>
      </w:pPr>
      <w:r>
        <w:rPr>
          <w:rFonts w:ascii="Arial" w:cs="Arial" w:eastAsia="Arial" w:hAnsi="Arial"/>
          <w:sz w:val="16"/>
          <w:szCs w:val="16"/>
          <w:color w:val="auto"/>
        </w:rPr>
        <w:t>existing payments for other services. Assuming we obtain coverage for a given product by a third</w:t>
      </w:r>
      <w:r>
        <w:rPr>
          <w:rFonts w:ascii="MS PGothic" w:cs="MS PGothic" w:eastAsia="MS PGothic" w:hAnsi="MS PGothic"/>
          <w:sz w:val="16"/>
          <w:szCs w:val="16"/>
          <w:color w:val="auto"/>
        </w:rPr>
        <w:t>‑</w:t>
      </w:r>
      <w:r>
        <w:rPr>
          <w:rFonts w:ascii="Arial" w:cs="Arial" w:eastAsia="Arial" w:hAnsi="Arial"/>
          <w:sz w:val="16"/>
          <w:szCs w:val="16"/>
          <w:color w:val="auto"/>
        </w:rPr>
        <w:t>party payor, the resulting</w:t>
      </w:r>
    </w:p>
    <w:p>
      <w:pPr>
        <w:spacing w:after="0" w:line="176" w:lineRule="exact"/>
        <w:rPr>
          <w:sz w:val="20"/>
          <w:szCs w:val="20"/>
          <w:color w:val="auto"/>
        </w:rPr>
      </w:pPr>
      <w:r>
        <w:rPr>
          <w:rFonts w:ascii="Arial" w:cs="Arial" w:eastAsia="Arial" w:hAnsi="Arial"/>
          <w:sz w:val="16"/>
          <w:szCs w:val="16"/>
          <w:color w:val="auto"/>
        </w:rPr>
        <w:t>reimbursement payment rates may not be adequate or may require co</w:t>
      </w:r>
      <w:r>
        <w:rPr>
          <w:rFonts w:ascii="MS PGothic" w:cs="MS PGothic" w:eastAsia="MS PGothic" w:hAnsi="MS PGothic"/>
          <w:sz w:val="16"/>
          <w:szCs w:val="16"/>
          <w:color w:val="auto"/>
        </w:rPr>
        <w:t>‑</w:t>
      </w:r>
      <w:r>
        <w:rPr>
          <w:rFonts w:ascii="Arial" w:cs="Arial" w:eastAsia="Arial" w:hAnsi="Arial"/>
          <w:sz w:val="16"/>
          <w:szCs w:val="16"/>
          <w:color w:val="auto"/>
        </w:rPr>
        <w:t>payments that patients find unacceptably high. Patients</w:t>
      </w:r>
    </w:p>
    <w:p>
      <w:pPr>
        <w:spacing w:after="0" w:line="215" w:lineRule="auto"/>
        <w:rPr>
          <w:sz w:val="20"/>
          <w:szCs w:val="20"/>
          <w:color w:val="auto"/>
        </w:rPr>
      </w:pPr>
      <w:r>
        <w:rPr>
          <w:rFonts w:ascii="Arial" w:cs="Arial" w:eastAsia="Arial" w:hAnsi="Arial"/>
          <w:sz w:val="17"/>
          <w:szCs w:val="17"/>
          <w:color w:val="auto"/>
        </w:rPr>
        <w:t>who are prescribed medications for the treatment of their conditions, and their prescribing physicians, generally rely on</w:t>
      </w:r>
    </w:p>
    <w:p>
      <w:pPr>
        <w:spacing w:after="0" w:line="176"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to reimburse all or part of the costs associated with their prescription drugs. Patients are unlikely to use our</w:t>
      </w:r>
    </w:p>
    <w:p>
      <w:pPr>
        <w:spacing w:after="0" w:line="229" w:lineRule="auto"/>
        <w:rPr>
          <w:sz w:val="20"/>
          <w:szCs w:val="20"/>
          <w:color w:val="auto"/>
        </w:rPr>
      </w:pPr>
      <w:r>
        <w:rPr>
          <w:rFonts w:ascii="Arial" w:cs="Arial" w:eastAsia="Arial" w:hAnsi="Arial"/>
          <w:sz w:val="16"/>
          <w:szCs w:val="16"/>
          <w:color w:val="auto"/>
        </w:rPr>
        <w:t>products unless coverage is provided and reimbursement is adequate to cover all or a significant portion of the cost of our</w:t>
      </w:r>
    </w:p>
    <w:p>
      <w:pPr>
        <w:spacing w:after="0" w:line="229" w:lineRule="auto"/>
        <w:rPr>
          <w:sz w:val="20"/>
          <w:szCs w:val="20"/>
          <w:color w:val="auto"/>
        </w:rPr>
      </w:pPr>
      <w:r>
        <w:rPr>
          <w:rFonts w:ascii="Arial" w:cs="Arial" w:eastAsia="Arial" w:hAnsi="Arial"/>
          <w:sz w:val="16"/>
          <w:szCs w:val="16"/>
          <w:color w:val="auto"/>
        </w:rPr>
        <w:t>products. Therefore, coverage and adequate reimbursement is critical to new product acceptance. Additionally, there may be</w:t>
      </w:r>
    </w:p>
    <w:p>
      <w:pPr>
        <w:spacing w:after="0" w:line="229" w:lineRule="auto"/>
        <w:rPr>
          <w:sz w:val="20"/>
          <w:szCs w:val="20"/>
          <w:color w:val="auto"/>
        </w:rPr>
      </w:pPr>
      <w:r>
        <w:rPr>
          <w:rFonts w:ascii="Arial" w:cs="Arial" w:eastAsia="Arial" w:hAnsi="Arial"/>
          <w:sz w:val="16"/>
          <w:szCs w:val="16"/>
          <w:color w:val="auto"/>
        </w:rPr>
        <w:t>significant delays in obtaining coverage and reimbursement for newly approved drugs and biologics, and coverage may be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more limited than the purposes for which the drug is approved by the FDA or comparable foreign regulatory authorities.</w:t>
      </w:r>
    </w:p>
    <w:p>
      <w:pPr>
        <w:spacing w:after="0" w:line="140"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of newly approved products. In the United States,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67"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The CMS is responsible for determining whether a product should be approved for coverage and reimbursement under the Medicare program. It is difficult to predict what CMS will decide with respect to coverage and reimbursement for novel products such as ours, as there is no body of established practices and precedents for these types of products. Currently, no gene therapy product has been approved for coverage and reimbursement by the CMS.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w:t>
      </w:r>
      <w:r>
        <w:rPr>
          <w:rFonts w:ascii="MS PGothic" w:cs="MS PGothic" w:eastAsia="MS PGothic" w:hAnsi="MS PGothic"/>
          <w:sz w:val="17"/>
          <w:szCs w:val="17"/>
          <w:color w:val="auto"/>
        </w:rPr>
        <w:t>‑</w:t>
      </w:r>
      <w:r>
        <w:rPr>
          <w:rFonts w:ascii="Arial" w:cs="Arial" w:eastAsia="Arial" w:hAnsi="Arial"/>
          <w:sz w:val="17"/>
          <w:szCs w:val="17"/>
          <w:color w:val="auto"/>
        </w:rPr>
        <w:t>party payors will decide with respect to the coverage and reimbursement for our product candidates, especially given that the cost of our product candidates is likely to be very high and pricing of such products is highly uncertain.</w:t>
      </w:r>
    </w:p>
    <w:p>
      <w:pPr>
        <w:spacing w:after="0" w:line="162"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Outside the United States, international operations generally are subject to extensive government price controls and other market regulations, and increasing emphasis on cost</w:t>
      </w:r>
      <w:r>
        <w:rPr>
          <w:rFonts w:ascii="MS PGothic" w:cs="MS PGothic" w:eastAsia="MS PGothic" w:hAnsi="MS PGothic"/>
          <w:sz w:val="17"/>
          <w:szCs w:val="17"/>
          <w:color w:val="auto"/>
        </w:rPr>
        <w:t>‑</w:t>
      </w:r>
      <w:r>
        <w:rPr>
          <w:rFonts w:ascii="Arial" w:cs="Arial" w:eastAsia="Arial" w:hAnsi="Arial"/>
          <w:sz w:val="17"/>
          <w:szCs w:val="17"/>
          <w:color w:val="auto"/>
        </w:rPr>
        <w:t>containment initiatives in the European Union, Canada and other countries may put pricing pressure on us. For example, one gene therapy product was approved in the European Union in 2012 but is yet to be widely available commercially.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64"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Moreover, increasing efforts by government and third</w:t>
      </w:r>
      <w:r>
        <w:rPr>
          <w:rFonts w:ascii="MS PGothic" w:cs="MS PGothic" w:eastAsia="MS PGothic" w:hAnsi="MS PGothic"/>
          <w:sz w:val="17"/>
          <w:szCs w:val="17"/>
          <w:color w:val="auto"/>
        </w:rPr>
        <w:t>‑</w:t>
      </w:r>
      <w:r>
        <w:rPr>
          <w:rFonts w:ascii="Arial" w:cs="Arial" w:eastAsia="Arial" w:hAnsi="Arial"/>
          <w:sz w:val="17"/>
          <w:szCs w:val="17"/>
          <w:color w:val="auto"/>
        </w:rPr>
        <w:t>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 regulations that govern marketing approvals, pricing, coverage and reimbursement for new drug and device products vary widely from country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To obtain reimbursement or pricing approval in some countries, we may be required to conduct a clinical trial that compares the cost-effectiveness of our product candidate to other available therapies. Adverse pricing limitations may hinder our ability to recoup our investment in one or more product candidates, even if our product candidates obtain marketing approval.</w:t>
      </w:r>
    </w:p>
    <w:p>
      <w:pPr>
        <w:spacing w:after="0" w:line="16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Therefore, it is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65" w:lineRule="exact"/>
        <w:rPr>
          <w:sz w:val="20"/>
          <w:szCs w:val="20"/>
          <w:color w:val="auto"/>
        </w:rPr>
      </w:pPr>
    </w:p>
    <w:p>
      <w:pPr>
        <w:spacing w:after="0" w:line="203" w:lineRule="exact"/>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its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w:t>
      </w:r>
    </w:p>
    <w:p>
      <w:pPr>
        <w:spacing w:after="0" w:line="162" w:lineRule="exact"/>
        <w:rPr>
          <w:sz w:val="20"/>
          <w:szCs w:val="20"/>
          <w:color w:val="auto"/>
        </w:rPr>
      </w:pPr>
    </w:p>
    <w:p>
      <w:pPr>
        <w:ind w:right="80" w:firstLine="648"/>
        <w:spacing w:after="0" w:line="182" w:lineRule="exact"/>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Even with the requisite approvals from the FDA in the United States, EMA in the European Union and other regulatory authorities internationally, the commercial success of our product candidates will depend, in part, on the acceptance of physicians, patients and health care payors of gene therapy products in general, and our product candidates in particular, as medically necessary, cost</w:t>
      </w:r>
      <w:r>
        <w:rPr>
          <w:rFonts w:ascii="MS PGothic" w:cs="MS PGothic" w:eastAsia="MS PGothic" w:hAnsi="MS PGothic"/>
          <w:sz w:val="17"/>
          <w:szCs w:val="17"/>
          <w:color w:val="auto"/>
        </w:rPr>
        <w:t>‑</w:t>
      </w:r>
      <w:r>
        <w:rPr>
          <w:rFonts w:ascii="Arial" w:cs="Arial" w:eastAsia="Arial" w:hAnsi="Arial"/>
          <w:sz w:val="17"/>
          <w:szCs w:val="17"/>
          <w:color w:val="auto"/>
        </w:rPr>
        <w: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our product candidates, if approved for commercial sale, will depend on several factors, including:</w:t>
      </w:r>
    </w:p>
    <w:p>
      <w:pPr>
        <w:spacing w:after="0" w:line="162" w:lineRule="exact"/>
        <w:rPr>
          <w:sz w:val="20"/>
          <w:szCs w:val="20"/>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98" w:lineRule="exact"/>
        <w:rPr>
          <w:rFonts w:ascii="Arial" w:cs="Arial" w:eastAsia="Arial" w:hAnsi="Arial"/>
          <w:sz w:val="18"/>
          <w:szCs w:val="18"/>
          <w:color w:val="auto"/>
        </w:rPr>
      </w:pPr>
    </w:p>
    <w:p>
      <w:pPr>
        <w:ind w:left="980" w:right="140" w:hanging="329"/>
        <w:spacing w:after="0" w:line="246"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or the European Commission, or other regulatory authorities;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patient awareness of, and willingness to seek, genotyping;</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98" w:lineRule="exact"/>
        <w:rPr>
          <w:rFonts w:ascii="Arial" w:cs="Arial" w:eastAsia="Arial" w:hAnsi="Arial"/>
          <w:sz w:val="18"/>
          <w:szCs w:val="18"/>
          <w:color w:val="auto"/>
        </w:rPr>
      </w:pPr>
    </w:p>
    <w:p>
      <w:pPr>
        <w:ind w:left="980" w:right="440" w:hanging="329"/>
        <w:spacing w:after="0" w:line="246"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physicians to undergo specialized training with respect to administration of our product candidates;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right="40" w:hanging="329"/>
        <w:spacing w:after="0" w:line="235"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regulatory authorities, including any limitations or warnings contained in a product’s approved labeling or restrictions on the use of our products together with other medications;</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98"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sufficient third</w:t>
      </w:r>
      <w:r>
        <w:rPr>
          <w:rFonts w:ascii="MS PGothic" w:cs="MS PGothic" w:eastAsia="MS PGothic" w:hAnsi="MS PGothic"/>
          <w:sz w:val="18"/>
          <w:szCs w:val="18"/>
          <w:color w:val="auto"/>
        </w:rPr>
        <w:t>‑</w:t>
      </w:r>
      <w:r>
        <w:rPr>
          <w:rFonts w:ascii="Arial" w:cs="Arial" w:eastAsia="Arial" w:hAnsi="Arial"/>
          <w:sz w:val="18"/>
          <w:szCs w:val="18"/>
          <w:color w:val="auto"/>
        </w:rPr>
        <w:t>party payor coverage and reimbursement.</w:t>
      </w:r>
    </w:p>
    <w:p>
      <w:pPr>
        <w:spacing w:after="0" w:line="198"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62"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Gene therapy remains a novel technology, with three gene therapy products approved to date in the United States and only two gene therapy products approved to date in the European Union, of which one is no longer approved.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w:t>
      </w:r>
      <w:r>
        <w:rPr>
          <w:rFonts w:ascii="MS PGothic" w:cs="MS PGothic" w:eastAsia="MS PGothic" w:hAnsi="MS PGothic"/>
          <w:sz w:val="17"/>
          <w:szCs w:val="17"/>
          <w:color w:val="auto"/>
        </w:rPr>
        <w:t>‑</w:t>
      </w:r>
      <w:r>
        <w:rPr>
          <w:rFonts w:ascii="Arial" w:cs="Arial" w:eastAsia="Arial" w:hAnsi="Arial"/>
          <w:sz w:val="17"/>
          <w:szCs w:val="17"/>
          <w:color w:val="auto"/>
        </w:rPr>
        <w:t>publicized adverse events, including cases of leukemia and death seen in other trials using non-AAV vectors.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62"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If we obtain approval to commercialize our product candidates outside of the United States, in particular in the European Union, a variety of risks associated with international operations could harm our business.</w:t>
      </w:r>
    </w:p>
    <w:p>
      <w:pPr>
        <w:spacing w:after="0" w:line="147"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We expect that we will be subject to additional risks in commercializing our product candidates outside the United States, including:</w:t>
      </w:r>
    </w:p>
    <w:p>
      <w:pPr>
        <w:spacing w:after="0" w:line="162" w:lineRule="exact"/>
        <w:rPr>
          <w:sz w:val="20"/>
          <w:szCs w:val="20"/>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hanging="329"/>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09" w:lineRule="exact"/>
        <w:rPr>
          <w:rFonts w:ascii="Arial" w:cs="Arial" w:eastAsia="Arial" w:hAnsi="Arial"/>
          <w:sz w:val="17"/>
          <w:szCs w:val="17"/>
          <w:color w:val="auto"/>
        </w:rPr>
      </w:pPr>
    </w:p>
    <w:p>
      <w:pPr>
        <w:ind w:left="980" w:right="300" w:hanging="329"/>
        <w:spacing w:after="0" w:line="246"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shortages resulting from any events affecting raw material supply or manufacturing capabilities abroad;</w:t>
      </w:r>
    </w:p>
    <w:p>
      <w:pPr>
        <w:spacing w:after="0" w:line="209" w:lineRule="exact"/>
        <w:rPr>
          <w:rFonts w:ascii="Arial" w:cs="Arial" w:eastAsia="Arial" w:hAnsi="Arial"/>
          <w:sz w:val="17"/>
          <w:szCs w:val="17"/>
          <w:color w:val="auto"/>
        </w:rPr>
      </w:pPr>
    </w:p>
    <w:p>
      <w:pPr>
        <w:ind w:left="980" w:right="500" w:hanging="329"/>
        <w:spacing w:after="0" w:line="307"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typhoons, floods and fires, or from economic or political instability; and</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greater difficulty with enforcing our contracts in jurisdictions outside of the United States.</w:t>
      </w:r>
    </w:p>
    <w:p>
      <w:pPr>
        <w:spacing w:after="0" w:line="198"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68"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many foreign countries, it is common for others to engage in business practices that are prohibited by U.S. laws and regulations applicable to us, including the FCPA.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61"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also may suspend or bar issuers from trading securities on U.S. exchanges for violations of the FCPA’s accounting provisions. Although we expect to implement policies and procedures designed to comply with these laws and policies, there can be no assurance that our employees, contractors and agents will comply with these laws and policies. If we are unable to successfully manage the challenges of international expansion and operations, our business and operating results could be harmed.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to, in part, the terms and conditions of licenses granted to us by others.</w:t>
      </w:r>
    </w:p>
    <w:p>
      <w:pPr>
        <w:spacing w:after="0" w:line="162" w:lineRule="exact"/>
        <w:rPr>
          <w:sz w:val="20"/>
          <w:szCs w:val="20"/>
          <w:color w:val="auto"/>
        </w:rPr>
      </w:pPr>
    </w:p>
    <w:p>
      <w:pPr>
        <w:ind w:right="100" w:firstLine="648"/>
        <w:spacing w:after="0" w:line="258" w:lineRule="auto"/>
        <w:rPr>
          <w:sz w:val="20"/>
          <w:szCs w:val="20"/>
          <w:color w:val="auto"/>
        </w:rPr>
      </w:pPr>
      <w:r>
        <w:rPr>
          <w:rFonts w:ascii="Arial" w:cs="Arial" w:eastAsia="Arial" w:hAnsi="Arial"/>
          <w:sz w:val="17"/>
          <w:szCs w:val="17"/>
          <w:color w:val="auto"/>
        </w:rPr>
        <w:t>We are reliant upon licenses to certain patent rights and proprietary technology from third parties that are important or necessary to the development of our technology and products, including technology related to our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99"/>
        <w:spacing w:after="0" w:line="214" w:lineRule="auto"/>
        <w:rPr>
          <w:sz w:val="20"/>
          <w:szCs w:val="20"/>
          <w:color w:val="auto"/>
        </w:rPr>
      </w:pPr>
      <w:r>
        <w:rPr>
          <w:rFonts w:ascii="Arial" w:cs="Arial" w:eastAsia="Arial" w:hAnsi="Arial"/>
          <w:sz w:val="18"/>
          <w:szCs w:val="18"/>
          <w:color w:val="auto"/>
        </w:rPr>
        <w:t>manufacturing process and our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These licenses may also require us to grant back certain rights to licensors and to pay certain amounts relating to sublicensing patent and other rights under the agreement.</w:t>
      </w:r>
    </w:p>
    <w:p>
      <w:pPr>
        <w:spacing w:after="0" w:line="162" w:lineRule="exact"/>
        <w:rPr>
          <w:sz w:val="20"/>
          <w:szCs w:val="20"/>
          <w:color w:val="auto"/>
        </w:rPr>
      </w:pPr>
    </w:p>
    <w:p>
      <w:pPr>
        <w:ind w:right="119" w:firstLine="648"/>
        <w:spacing w:after="0" w:line="221" w:lineRule="auto"/>
        <w:rPr>
          <w:sz w:val="20"/>
          <w:szCs w:val="20"/>
          <w:color w:val="auto"/>
        </w:rPr>
      </w:pPr>
      <w:r>
        <w:rPr>
          <w:rFonts w:ascii="Arial" w:cs="Arial" w:eastAsia="Arial" w:hAnsi="Arial"/>
          <w:sz w:val="17"/>
          <w:szCs w:val="17"/>
          <w:color w:val="auto"/>
        </w:rPr>
        <w:t>In some circumstances, particularly in-licenses with academic institutions, we may not have the right to control the preparation, filing and prosecution of patent applications, or to maintain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 In certain circumstances, we have or may license technology from third parties on a non-exclusive basis. In such instances, other licensees may have the right to enforce our licensed patents in their respective fields, without our oversight or control. Those other licensees may choose to enforce our licensed patents in a way that harms our interest, for example, by advocating for claim interpretations or agreeing on invalidity positions that conflict with our positions or our interest. In addition to the foregoing, the risks associated with patent rights that we license from third parties will also apply to patent rights we may own in the future.</w:t>
      </w:r>
    </w:p>
    <w:p>
      <w:pPr>
        <w:spacing w:after="0" w:line="163" w:lineRule="exact"/>
        <w:rPr>
          <w:sz w:val="20"/>
          <w:szCs w:val="20"/>
          <w:color w:val="auto"/>
        </w:rPr>
      </w:pPr>
    </w:p>
    <w:p>
      <w:pPr>
        <w:ind w:right="59" w:firstLine="648"/>
        <w:spacing w:after="0" w:line="216" w:lineRule="auto"/>
        <w:rPr>
          <w:sz w:val="20"/>
          <w:szCs w:val="20"/>
          <w:color w:val="auto"/>
        </w:rPr>
      </w:pPr>
      <w:r>
        <w:rPr>
          <w:rFonts w:ascii="Arial" w:cs="Arial" w:eastAsia="Arial" w:hAnsi="Arial"/>
          <w:sz w:val="18"/>
          <w:szCs w:val="18"/>
          <w:color w:val="auto"/>
        </w:rPr>
        <w:t>Further, in many of our license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and minimum yearly diligence obligations in developing and commercializing the product. Disputes may arise regarding intellectual property subject to a licensing agreement, including:</w:t>
      </w:r>
    </w:p>
    <w:p>
      <w:pPr>
        <w:spacing w:after="0" w:line="162" w:lineRule="exact"/>
        <w:rPr>
          <w:sz w:val="20"/>
          <w:szCs w:val="20"/>
          <w:color w:val="auto"/>
        </w:rPr>
      </w:pPr>
    </w:p>
    <w:p>
      <w:pPr>
        <w:ind w:left="980" w:hanging="329"/>
        <w:spacing w:after="0" w:line="207" w:lineRule="exact"/>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w:t>
      </w:r>
      <w:r>
        <w:rPr>
          <w:rFonts w:ascii="MS PGothic" w:cs="MS PGothic" w:eastAsia="MS PGothic" w:hAnsi="MS PGothic"/>
          <w:sz w:val="18"/>
          <w:szCs w:val="18"/>
          <w:color w:val="auto"/>
        </w:rPr>
        <w:t>‑</w:t>
      </w:r>
      <w:r>
        <w:rPr>
          <w:rFonts w:ascii="Arial" w:cs="Arial" w:eastAsia="Arial" w:hAnsi="Arial"/>
          <w:sz w:val="18"/>
          <w:szCs w:val="18"/>
          <w:color w:val="auto"/>
        </w:rPr>
        <w:t>related issues;</w:t>
      </w:r>
    </w:p>
    <w:p>
      <w:pPr>
        <w:spacing w:after="0" w:line="198" w:lineRule="exact"/>
        <w:rPr>
          <w:rFonts w:ascii="Arial" w:cs="Arial" w:eastAsia="Arial" w:hAnsi="Arial"/>
          <w:sz w:val="18"/>
          <w:szCs w:val="18"/>
          <w:color w:val="auto"/>
        </w:rPr>
      </w:pPr>
    </w:p>
    <w:p>
      <w:pPr>
        <w:ind w:left="980" w:right="359" w:hanging="329"/>
        <w:spacing w:after="0" w:line="246"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221" w:lineRule="exact"/>
        <w:rPr>
          <w:rFonts w:ascii="Arial" w:cs="Arial" w:eastAsia="Arial" w:hAnsi="Arial"/>
          <w:sz w:val="16"/>
          <w:szCs w:val="16"/>
          <w:color w:val="auto"/>
        </w:rPr>
      </w:pPr>
    </w:p>
    <w:p>
      <w:pPr>
        <w:ind w:left="980" w:right="799" w:hanging="329"/>
        <w:spacing w:after="0" w:line="210" w:lineRule="exact"/>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w:t>
      </w:r>
      <w:r>
        <w:rPr>
          <w:rFonts w:ascii="MS PGothic" w:cs="MS PGothic" w:eastAsia="MS PGothic" w:hAnsi="MS PGothic"/>
          <w:sz w:val="18"/>
          <w:szCs w:val="18"/>
          <w:color w:val="auto"/>
        </w:rPr>
        <w:t>‑</w:t>
      </w:r>
      <w:r>
        <w:rPr>
          <w:rFonts w:ascii="Arial" w:cs="Arial" w:eastAsia="Arial" w:hAnsi="Arial"/>
          <w:sz w:val="18"/>
          <w:szCs w:val="18"/>
          <w:color w:val="auto"/>
        </w:rPr>
        <w:t>how resulting from the joint creation or use of intellectual property by our licensors and us and our partners; and</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98" w:lineRule="exact"/>
        <w:rPr>
          <w:sz w:val="20"/>
          <w:szCs w:val="20"/>
          <w:color w:val="auto"/>
        </w:rPr>
      </w:pPr>
    </w:p>
    <w:p>
      <w:pPr>
        <w:jc w:val="both"/>
        <w:ind w:right="399" w:firstLine="648"/>
        <w:spacing w:after="0" w:line="22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3" w:lineRule="exact"/>
        <w:rPr>
          <w:sz w:val="20"/>
          <w:szCs w:val="20"/>
          <w:color w:val="auto"/>
        </w:rPr>
      </w:pPr>
    </w:p>
    <w:p>
      <w:pPr>
        <w:ind w:right="39" w:firstLine="648"/>
        <w:spacing w:after="0" w:line="214" w:lineRule="auto"/>
        <w:rPr>
          <w:sz w:val="20"/>
          <w:szCs w:val="20"/>
          <w:color w:val="auto"/>
        </w:rPr>
      </w:pPr>
      <w:r>
        <w:rPr>
          <w:rFonts w:ascii="Arial" w:cs="Arial" w:eastAsia="Arial" w:hAnsi="Arial"/>
          <w:sz w:val="18"/>
          <w:szCs w:val="18"/>
          <w:color w:val="auto"/>
        </w:rPr>
        <w:t>If we fail to comply with our obligations under these license agreements, or we are subject to a bankruptcy, the licensor may have the right to terminate the license, in which event we would not be able to develop, manufacture, or market products covered by the license or may face other penalties under the agreements.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Furthermore, the research resulting in certain of our licensed patent rights and technology was funded by the U.S. government. As a result, the government may have certain rights, or march</w:t>
      </w:r>
      <w:r>
        <w:rPr>
          <w:rFonts w:ascii="MS PGothic" w:cs="MS PGothic" w:eastAsia="MS PGothic" w:hAnsi="MS PGothic"/>
          <w:sz w:val="17"/>
          <w:szCs w:val="17"/>
          <w:color w:val="auto"/>
        </w:rPr>
        <w:t>‑</w:t>
      </w:r>
      <w:r>
        <w:rPr>
          <w:rFonts w:ascii="Arial" w:cs="Arial" w:eastAsia="Arial" w:hAnsi="Arial"/>
          <w:sz w:val="17"/>
          <w:szCs w:val="17"/>
          <w:color w:val="auto"/>
        </w:rPr>
        <w:t>in rights, to such patent rights and technology. When new technologies are developed with U.S. government funding, the U.S. government generally obtains certain rights in any resulting patents, including a non</w:t>
      </w:r>
      <w:r>
        <w:rPr>
          <w:rFonts w:ascii="MS PGothic" w:cs="MS PGothic" w:eastAsia="MS PGothic" w:hAnsi="MS PGothic"/>
          <w:sz w:val="17"/>
          <w:szCs w:val="17"/>
          <w:color w:val="auto"/>
        </w:rPr>
        <w:t>‑</w:t>
      </w:r>
      <w:r>
        <w:rPr>
          <w:rFonts w:ascii="Arial" w:cs="Arial" w:eastAsia="Arial" w:hAnsi="Arial"/>
          <w:sz w:val="17"/>
          <w:szCs w:val="17"/>
          <w:color w:val="auto"/>
        </w:rPr>
        <w:t>exclusive, royalty-free license authorizing the U.S. government, or a third party on its behalf, to use the invention for non</w:t>
      </w:r>
      <w:r>
        <w:rPr>
          <w:rFonts w:ascii="MS PGothic" w:cs="MS PGothic" w:eastAsia="MS PGothic" w:hAnsi="MS PGothic"/>
          <w:sz w:val="17"/>
          <w:szCs w:val="17"/>
          <w:color w:val="auto"/>
        </w:rPr>
        <w:t>‑</w:t>
      </w:r>
      <w:r>
        <w:rPr>
          <w:rFonts w:ascii="Arial" w:cs="Arial" w:eastAsia="Arial" w:hAnsi="Arial"/>
          <w:sz w:val="17"/>
          <w:szCs w:val="17"/>
          <w:color w:val="auto"/>
        </w:rPr>
        <w:t>commercial purposes. These rights may permit the government to disclose our confidential information to third parties and to exercise march</w:t>
      </w:r>
      <w:r>
        <w:rPr>
          <w:rFonts w:ascii="MS PGothic" w:cs="MS PGothic" w:eastAsia="MS PGothic" w:hAnsi="MS PGothic"/>
          <w:sz w:val="17"/>
          <w:szCs w:val="17"/>
          <w:color w:val="auto"/>
        </w:rPr>
        <w:t>‑</w:t>
      </w:r>
      <w:r>
        <w:rPr>
          <w:rFonts w:ascii="Arial" w:cs="Arial" w:eastAsia="Arial" w:hAnsi="Arial"/>
          <w:sz w:val="17"/>
          <w:szCs w:val="17"/>
          <w:color w:val="auto"/>
        </w:rPr>
        <w:t>in rights to use or allow third parties to use our licensed technology. The U.S. government can exercise its march</w:t>
      </w:r>
      <w:r>
        <w:rPr>
          <w:rFonts w:ascii="MS PGothic" w:cs="MS PGothic" w:eastAsia="MS PGothic" w:hAnsi="MS PGothic"/>
          <w:sz w:val="17"/>
          <w:szCs w:val="17"/>
          <w:color w:val="auto"/>
        </w:rPr>
        <w:t>‑</w:t>
      </w:r>
      <w:r>
        <w:rPr>
          <w:rFonts w:ascii="Arial" w:cs="Arial" w:eastAsia="Arial" w:hAnsi="Arial"/>
          <w:sz w:val="17"/>
          <w:szCs w:val="17"/>
          <w:color w:val="auto"/>
        </w:rPr>
        <w:t>in rights if it determines that action is necessary because we fail to achieve practical application of the government</w:t>
      </w:r>
      <w:r>
        <w:rPr>
          <w:rFonts w:ascii="MS PGothic" w:cs="MS PGothic" w:eastAsia="MS PGothic" w:hAnsi="MS PGothic"/>
          <w:sz w:val="17"/>
          <w:szCs w:val="17"/>
          <w:color w:val="auto"/>
        </w:rPr>
        <w:t>‑</w:t>
      </w:r>
      <w:r>
        <w:rPr>
          <w:rFonts w:ascii="Arial" w:cs="Arial" w:eastAsia="Arial" w:hAnsi="Arial"/>
          <w:sz w:val="17"/>
          <w:szCs w:val="17"/>
          <w:color w:val="auto"/>
        </w:rPr>
        <w: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or a third party on its behalf, of such rights could harm our competitive position, business, financial condition, results of operations and prospects.</w:t>
      </w:r>
    </w:p>
    <w:p>
      <w:pPr>
        <w:spacing w:after="0" w:line="163" w:lineRule="exact"/>
        <w:rPr>
          <w:sz w:val="20"/>
          <w:szCs w:val="20"/>
          <w:color w:val="auto"/>
        </w:rPr>
      </w:pPr>
    </w:p>
    <w:p>
      <w:pPr>
        <w:jc w:val="both"/>
        <w:ind w:right="200"/>
        <w:spacing w:after="0" w:line="21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163"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Our success depends, in large part, on our and our licensors’ ability to obtain and maintain patent protection in the United States and other countries with respect to our proprietary product candidates and manufacturing technology. We and our licensors have sought and we intend to seek in the future, to protect our proprietary position by filing patent applications in the United States and abroad related to many of our novel technologies and product candidates that are important to our business.</w:t>
      </w:r>
    </w:p>
    <w:p>
      <w:pPr>
        <w:spacing w:after="0" w:line="162"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The patent prosecution process is expensive, time</w:t>
      </w:r>
      <w:r>
        <w:rPr>
          <w:rFonts w:ascii="MS PGothic" w:cs="MS PGothic" w:eastAsia="MS PGothic" w:hAnsi="MS PGothic"/>
          <w:sz w:val="16"/>
          <w:szCs w:val="16"/>
          <w:color w:val="auto"/>
        </w:rPr>
        <w:t>‑</w:t>
      </w:r>
      <w:r>
        <w:rPr>
          <w:rFonts w:ascii="Arial" w:cs="Arial" w:eastAsia="Arial" w:hAnsi="Arial"/>
          <w:sz w:val="16"/>
          <w:szCs w:val="16"/>
          <w:color w:val="auto"/>
        </w:rPr>
        <w:t>consuming and complex, and we may not have and may not in the future be able to file, prosecute, maintain, enforce or license all necessary or desirable patent applications at a reasonable cost or in a timely manner. For example, in some cases, the work of certain academic researchers in the gene therapy field has entered the public domain, which may compromise our ability to obtain patent protection for certain inventions related to or building upon such prior work. Consequently, we will not be able to obtain any such patents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w:t>
      </w:r>
    </w:p>
    <w:p>
      <w:pPr>
        <w:spacing w:after="0" w:line="163"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pending and future patent applications may not result in patents being issued which protect our technology or product candidates or which effectively prevent others from commercializing competitive technologies and product candidates.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Changes in either the patent laws or interpretation of the patent laws in the United States and other countries may diminish the value of our patents or narrow the scope of our and our licensors’ patent protection.</w:t>
      </w:r>
    </w:p>
    <w:p>
      <w:pPr>
        <w:spacing w:after="0" w:line="164"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7"/>
          <w:szCs w:val="17"/>
          <w:color w:val="auto"/>
        </w:rPr>
        <w:t>We may not be aware of all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potentially relating to our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 Databases for patents and publications, and methods for searching them, are inherently limited, so it is not practical to review and know the full scope of all issued and pending patent applications. As a result, the issuance, scope, validity, enforceability, and commercial value of our and our licensed patent rights are uncertain.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w:t>
      </w:r>
      <w:r>
        <w:rPr>
          <w:rFonts w:ascii="MS PGothic" w:cs="MS PGothic" w:eastAsia="MS PGothic" w:hAnsi="MS PGothic"/>
          <w:sz w:val="17"/>
          <w:szCs w:val="17"/>
          <w:color w:val="auto"/>
        </w:rPr>
        <w:t>‑</w:t>
      </w:r>
      <w:r>
        <w:rPr>
          <w:rFonts w:ascii="Arial" w:cs="Arial" w:eastAsia="Arial" w:hAnsi="Arial"/>
          <w:sz w:val="17"/>
          <w:szCs w:val="17"/>
          <w:color w:val="auto"/>
        </w:rPr>
        <w:t>infringing manner.</w:t>
      </w:r>
    </w:p>
    <w:p>
      <w:pPr>
        <w:spacing w:after="0" w:line="163"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63"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w:t>
      </w:r>
    </w:p>
    <w:p>
      <w:pPr>
        <w:spacing w:after="0" w:line="159"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We may not be successful in obtaining necessary rights to our product candidates through acquisitions and in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licenses.</w:t>
      </w:r>
    </w:p>
    <w:p>
      <w:pPr>
        <w:spacing w:after="0" w:line="219"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We currently have rights to certain intellectual property, through licenses from third parties, to develop our product candidates. Because our programs may require the use of proprietary rights held by third parties, the growth of our business likely will depend, in part, on our ability to acquire, in</w:t>
      </w:r>
      <w:r>
        <w:rPr>
          <w:rFonts w:ascii="MS PGothic" w:cs="MS PGothic" w:eastAsia="MS PGothic" w:hAnsi="MS PGothic"/>
          <w:sz w:val="16"/>
          <w:szCs w:val="16"/>
          <w:color w:val="auto"/>
        </w:rPr>
        <w:t>‑</w:t>
      </w:r>
      <w:r>
        <w:rPr>
          <w:rFonts w:ascii="Arial" w:cs="Arial" w:eastAsia="Arial" w:hAnsi="Arial"/>
          <w:sz w:val="16"/>
          <w:szCs w:val="16"/>
          <w:color w:val="auto"/>
        </w:rPr>
        <w:t>license or use these proprietary rights. We may be unable to acquire or in</w:t>
      </w:r>
      <w:r>
        <w:rPr>
          <w:rFonts w:ascii="MS PGothic" w:cs="MS PGothic" w:eastAsia="MS PGothic" w:hAnsi="MS PGothic"/>
          <w:sz w:val="16"/>
          <w:szCs w:val="16"/>
          <w:color w:val="auto"/>
        </w:rPr>
        <w:t>‑</w:t>
      </w:r>
      <w:r>
        <w:rPr>
          <w:rFonts w:ascii="Arial" w:cs="Arial" w:eastAsia="Arial" w:hAnsi="Arial"/>
          <w:sz w:val="16"/>
          <w:szCs w:val="16"/>
          <w:color w:val="auto"/>
        </w:rPr>
        <w:t>license any compositions, methods of use, processes or other intellectual property rights from third parties that we identify as necessary for our product candidates. The licensing or acquisition of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is a competitive area, and several more established companies may pursue strategies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on terms that would allow us to make an appropriate return on our investment.</w:t>
      </w:r>
    </w:p>
    <w:p>
      <w:pPr>
        <w:spacing w:after="0" w:line="163"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We sometimes collaborate with non</w:t>
      </w:r>
      <w:r>
        <w:rPr>
          <w:rFonts w:ascii="MS PGothic" w:cs="MS PGothic" w:eastAsia="MS PGothic" w:hAnsi="MS PGothic"/>
          <w:sz w:val="18"/>
          <w:szCs w:val="18"/>
          <w:color w:val="auto"/>
        </w:rPr>
        <w:t>‑</w:t>
      </w:r>
      <w:r>
        <w:rPr>
          <w:rFonts w:ascii="Arial" w:cs="Arial" w:eastAsia="Arial" w:hAnsi="Arial"/>
          <w:sz w:val="18"/>
          <w:szCs w:val="18"/>
          <w:color w:val="auto"/>
        </w:rPr>
        <w:t>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develop our program.</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If we are unable to successfully obtain rights to required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or maintain the existing intellectual property rights we have,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significantly.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00"/>
        <w:spacing w:after="0" w:line="194" w:lineRule="exact"/>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Periodic maintenance fees, renewal fees, annuity fees and various other government fees on patents and/or</w:t>
      </w:r>
    </w:p>
    <w:p>
      <w:pPr>
        <w:spacing w:after="0" w:line="229" w:lineRule="auto"/>
        <w:rPr>
          <w:sz w:val="20"/>
          <w:szCs w:val="20"/>
          <w:color w:val="auto"/>
        </w:rPr>
      </w:pPr>
      <w:r>
        <w:rPr>
          <w:rFonts w:ascii="Arial" w:cs="Arial" w:eastAsia="Arial" w:hAnsi="Arial"/>
          <w:sz w:val="16"/>
          <w:szCs w:val="16"/>
          <w:color w:val="auto"/>
        </w:rPr>
        <w:t>applications will be due to be paid to the United States Patent and Trademark Office, or USPTO, and various government</w:t>
      </w:r>
    </w:p>
    <w:p>
      <w:pPr>
        <w:spacing w:after="0" w:line="229" w:lineRule="auto"/>
        <w:rPr>
          <w:sz w:val="20"/>
          <w:szCs w:val="20"/>
          <w:color w:val="auto"/>
        </w:rPr>
      </w:pPr>
      <w:r>
        <w:rPr>
          <w:rFonts w:ascii="Arial" w:cs="Arial" w:eastAsia="Arial" w:hAnsi="Arial"/>
          <w:sz w:val="16"/>
          <w:szCs w:val="16"/>
          <w:color w:val="auto"/>
        </w:rPr>
        <w:t>patent agencies outside of the United States over the lifetime of our licensed patents and/or applications and any patent rights</w:t>
      </w:r>
    </w:p>
    <w:p>
      <w:pPr>
        <w:spacing w:after="0" w:line="176" w:lineRule="exact"/>
        <w:rPr>
          <w:sz w:val="20"/>
          <w:szCs w:val="20"/>
          <w:color w:val="auto"/>
        </w:rPr>
      </w:pPr>
      <w:r>
        <w:rPr>
          <w:rFonts w:ascii="Arial" w:cs="Arial" w:eastAsia="Arial" w:hAnsi="Arial"/>
          <w:sz w:val="16"/>
          <w:szCs w:val="16"/>
          <w:color w:val="auto"/>
        </w:rPr>
        <w:t>we may own in the future. We rely on our outside counsel or our licensing partners to pay these fees due to non</w:t>
      </w:r>
      <w:r>
        <w:rPr>
          <w:rFonts w:ascii="MS PGothic" w:cs="MS PGothic" w:eastAsia="MS PGothic" w:hAnsi="MS PGothic"/>
          <w:sz w:val="16"/>
          <w:szCs w:val="16"/>
          <w:color w:val="auto"/>
        </w:rPr>
        <w:t>‑</w:t>
      </w:r>
      <w:r>
        <w:rPr>
          <w:rFonts w:ascii="Arial" w:cs="Arial" w:eastAsia="Arial" w:hAnsi="Arial"/>
          <w:sz w:val="16"/>
          <w:szCs w:val="16"/>
          <w:color w:val="auto"/>
        </w:rPr>
        <w:t>U.S. patent</w:t>
      </w:r>
    </w:p>
    <w:p>
      <w:pPr>
        <w:spacing w:after="0" w:line="176" w:lineRule="exact"/>
        <w:rPr>
          <w:sz w:val="20"/>
          <w:szCs w:val="20"/>
          <w:color w:val="auto"/>
        </w:rPr>
      </w:pPr>
      <w:r>
        <w:rPr>
          <w:rFonts w:ascii="Arial" w:cs="Arial" w:eastAsia="Arial" w:hAnsi="Arial"/>
          <w:sz w:val="17"/>
          <w:szCs w:val="17"/>
          <w:color w:val="auto"/>
        </w:rPr>
        <w:t>agencies. The USPTO and various non</w:t>
      </w:r>
      <w:r>
        <w:rPr>
          <w:rFonts w:ascii="MS PGothic" w:cs="MS PGothic" w:eastAsia="MS PGothic" w:hAnsi="MS PGothic"/>
          <w:sz w:val="17"/>
          <w:szCs w:val="17"/>
          <w:color w:val="auto"/>
        </w:rPr>
        <w:t>‑</w:t>
      </w:r>
      <w:r>
        <w:rPr>
          <w:rFonts w:ascii="Arial" w:cs="Arial" w:eastAsia="Arial" w:hAnsi="Arial"/>
          <w:sz w:val="17"/>
          <w:szCs w:val="17"/>
          <w:color w:val="auto"/>
        </w:rPr>
        <w:t>U.S. government patent agencies require compliance with several procedural,</w:t>
      </w:r>
    </w:p>
    <w:p>
      <w:pPr>
        <w:spacing w:after="0" w:line="229" w:lineRule="auto"/>
        <w:rPr>
          <w:sz w:val="20"/>
          <w:szCs w:val="20"/>
          <w:color w:val="auto"/>
        </w:rPr>
      </w:pPr>
      <w:r>
        <w:rPr>
          <w:rFonts w:ascii="Arial" w:cs="Arial" w:eastAsia="Arial" w:hAnsi="Arial"/>
          <w:sz w:val="16"/>
          <w:szCs w:val="16"/>
          <w:color w:val="auto"/>
        </w:rPr>
        <w:t>documentary, fee payment and other similar provisions during the patent application process. We employ reputable law firms</w:t>
      </w:r>
    </w:p>
    <w:p>
      <w:pPr>
        <w:spacing w:after="0" w:line="229" w:lineRule="auto"/>
        <w:rPr>
          <w:sz w:val="20"/>
          <w:szCs w:val="20"/>
          <w:color w:val="auto"/>
        </w:rPr>
      </w:pPr>
      <w:r>
        <w:rPr>
          <w:rFonts w:ascii="Arial" w:cs="Arial" w:eastAsia="Arial" w:hAnsi="Arial"/>
          <w:sz w:val="16"/>
          <w:szCs w:val="16"/>
          <w:color w:val="auto"/>
        </w:rPr>
        <w:t>and other professionals to help us comply and we are also dependent on our licensors to take the necessary action to comply</w:t>
      </w:r>
    </w:p>
    <w:p>
      <w:pPr>
        <w:spacing w:after="0" w:line="229" w:lineRule="auto"/>
        <w:rPr>
          <w:sz w:val="20"/>
          <w:szCs w:val="20"/>
          <w:color w:val="auto"/>
        </w:rPr>
      </w:pPr>
      <w:r>
        <w:rPr>
          <w:rFonts w:ascii="Arial" w:cs="Arial" w:eastAsia="Arial" w:hAnsi="Arial"/>
          <w:sz w:val="16"/>
          <w:szCs w:val="16"/>
          <w:color w:val="auto"/>
        </w:rPr>
        <w:t>with these requirements with respect to our licensed intellectual property. In many cases, an inadvertent lapse can be cured by</w:t>
      </w:r>
    </w:p>
    <w:p>
      <w:pPr>
        <w:spacing w:after="0" w:line="216" w:lineRule="auto"/>
        <w:rPr>
          <w:sz w:val="20"/>
          <w:szCs w:val="20"/>
          <w:color w:val="auto"/>
        </w:rPr>
      </w:pPr>
      <w:r>
        <w:rPr>
          <w:rFonts w:ascii="Arial" w:cs="Arial" w:eastAsia="Arial" w:hAnsi="Arial"/>
          <w:sz w:val="17"/>
          <w:szCs w:val="17"/>
          <w:color w:val="auto"/>
        </w:rPr>
        <w:t>payment of a late fee or by other means in accordance with the applicable rules. There are situations, however, in which</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compliance can result in abandonment or lapse of the patent or patent application, resulting in partial or complete loss of</w:t>
      </w:r>
    </w:p>
    <w:p>
      <w:pPr>
        <w:spacing w:after="0" w:line="229" w:lineRule="auto"/>
        <w:rPr>
          <w:sz w:val="20"/>
          <w:szCs w:val="20"/>
          <w:color w:val="auto"/>
        </w:rPr>
      </w:pPr>
      <w:r>
        <w:rPr>
          <w:rFonts w:ascii="Arial" w:cs="Arial" w:eastAsia="Arial" w:hAnsi="Arial"/>
          <w:sz w:val="16"/>
          <w:szCs w:val="16"/>
          <w:color w:val="auto"/>
        </w:rPr>
        <w:t>patent rights in the relevant jurisdiction. In such an event, potential competitors might be able to enter the market and this</w:t>
      </w:r>
    </w:p>
    <w:p>
      <w:pPr>
        <w:spacing w:after="0"/>
        <w:rPr>
          <w:sz w:val="20"/>
          <w:szCs w:val="20"/>
          <w:color w:val="auto"/>
        </w:rPr>
      </w:pPr>
      <w:r>
        <w:rPr>
          <w:rFonts w:ascii="Arial" w:cs="Arial" w:eastAsia="Arial" w:hAnsi="Arial"/>
          <w:sz w:val="18"/>
          <w:szCs w:val="18"/>
          <w:color w:val="auto"/>
        </w:rPr>
        <w:t>circumstance could harm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5" w:lineRule="exact"/>
        <w:rPr>
          <w:sz w:val="20"/>
          <w:szCs w:val="20"/>
          <w:color w:val="auto"/>
        </w:rPr>
      </w:pPr>
    </w:p>
    <w:p>
      <w:pPr>
        <w:ind w:right="12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4"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62"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If one of our licensing partners or we initiate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w:t>
      </w:r>
      <w:r>
        <w:rPr>
          <w:rFonts w:ascii="MS PGothic" w:cs="MS PGothic" w:eastAsia="MS PGothic" w:hAnsi="MS PGothic"/>
          <w:sz w:val="17"/>
          <w:szCs w:val="17"/>
          <w:color w:val="auto"/>
        </w:rPr>
        <w:t>‑</w:t>
      </w:r>
      <w:r>
        <w:rPr>
          <w:rFonts w:ascii="Arial" w:cs="Arial" w:eastAsia="Arial" w:hAnsi="Arial"/>
          <w:sz w:val="17"/>
          <w:szCs w:val="17"/>
          <w:color w:val="auto"/>
        </w:rPr>
        <w:t>enablement. Grounds for an unenforceability assertion could be an allegation that someone connected with prosecution of the patent withheld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information material to patentability from the USPTO, or made a misleading statement, during prosecution. Third parties also may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 xml:space="preserv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harm our business.</w:t>
      </w:r>
    </w:p>
    <w:p>
      <w:pPr>
        <w:spacing w:after="0" w:line="168"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 that is not patentable or that we elect not to patent, processes for which patents are difficult to enforce and any other elements of our product candidate discovery and development processes that involve proprietary know</w:t>
      </w:r>
      <w:r>
        <w:rPr>
          <w:rFonts w:ascii="MS PGothic" w:cs="MS PGothic" w:eastAsia="MS PGothic" w:hAnsi="MS PGothic"/>
          <w:sz w:val="17"/>
          <w:szCs w:val="17"/>
          <w:color w:val="auto"/>
        </w:rPr>
        <w:t>‑</w:t>
      </w:r>
      <w:r>
        <w:rPr>
          <w:rFonts w:ascii="Arial" w:cs="Arial" w:eastAsia="Arial" w:hAnsi="Arial"/>
          <w:sz w:val="17"/>
          <w:szCs w:val="17"/>
          <w:color w:val="auto"/>
        </w:rPr>
        <w:t>how, information or technology that is not covered by patents. However, trade secrets can be difficult to protect. Some courts inside and outside the United States are less willing or unwilling to protect trade secrets. We seek to protect our proprietary technology and processes, in part, by entering into confidentiality agreements with our employees, consultants, scientific advisors, collaborators, contractors, and other third-parties.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become party to, or threatened with, infringement litigation claims regarding our products and technology, including claims from competitors or from non-practicing entities that have no relevant product revenue and against whom our own patent portfolio may have no deterrent effect. Moreover, we may become party to, or be threatened with, adversarial proceedings or litigation regarding intellectual property rights with respect to our product candidates and technology, including interference proceedings, post 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 or foreign patent offices.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w:t>
      </w:r>
      <w:r>
        <w:rPr>
          <w:rFonts w:ascii="MS PGothic" w:cs="MS PGothic" w:eastAsia="MS PGothic" w:hAnsi="MS PGothic"/>
          <w:sz w:val="16"/>
          <w:szCs w:val="16"/>
          <w:color w:val="auto"/>
        </w:rPr>
        <w:t>‑</w:t>
      </w:r>
      <w:r>
        <w:rPr>
          <w:rFonts w:ascii="Arial" w:cs="Arial" w:eastAsia="Arial" w:hAnsi="Arial"/>
          <w:sz w:val="16"/>
          <w:szCs w:val="16"/>
          <w:color w:val="auto"/>
        </w:rPr>
        <w:t>party patents are valid, enforceable and infringed, which could adversely affect our ability to commercialize our product candidates or any other of our product candidates or technologies covered by the asserted third</w:t>
      </w:r>
      <w:r>
        <w:rPr>
          <w:rFonts w:ascii="MS PGothic" w:cs="MS PGothic" w:eastAsia="MS PGothic" w:hAnsi="MS PGothic"/>
          <w:sz w:val="16"/>
          <w:szCs w:val="16"/>
          <w:color w:val="auto"/>
        </w:rPr>
        <w:t>‑</w:t>
      </w:r>
      <w:r>
        <w:rPr>
          <w:rFonts w:ascii="Arial" w:cs="Arial" w:eastAsia="Arial" w:hAnsi="Arial"/>
          <w:sz w:val="16"/>
          <w:szCs w:val="16"/>
          <w:color w:val="auto"/>
        </w:rPr>
        <w:t>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 challenges exist in other jurisdictions. If we are found to infringe a third-party’s valid and enforceable intellectual property rights, we could be required to obtain a license from such third-party to continue developing, manufacturing and marketing our product candidates and technology. However, we may not be able to obtain any required license on commercially reasonable terms or at all. Even if we were able to obtain a license, it could be 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from manufacturing and commercializing our product candidates or force us to cease some of our business operations, which could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negative impact on our business, reputation, financial condition, results of operations and prospects.</w:t>
      </w:r>
    </w:p>
    <w:p>
      <w:pPr>
        <w:spacing w:after="0" w:line="16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Competitors may infringe our intellectual property rights or the intellectual property rights of our licensing partners, or we may be required to defend against claims of infringement. To counter infringement or unauthorized use claims or to defend against claims of infringement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66"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3"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w:t>
      </w:r>
      <w:r>
        <w:rPr>
          <w:rFonts w:ascii="MS PGothic" w:cs="MS PGothic" w:eastAsia="MS PGothic" w:hAnsi="MS PGothic"/>
          <w:sz w:val="17"/>
          <w:szCs w:val="17"/>
          <w:color w:val="auto"/>
        </w:rPr>
        <w:t>‑</w:t>
      </w:r>
      <w:r>
        <w:rPr>
          <w:rFonts w:ascii="Arial" w:cs="Arial" w:eastAsia="Arial" w:hAnsi="Arial"/>
          <w:sz w:val="17"/>
          <w:szCs w:val="17"/>
          <w:color w:val="auto"/>
        </w:rPr>
        <w:t>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8"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the assignment agreements may be breached, and we may be forced to bring claims against third parties, or defend claims that they may bring against us, to determine the ownership of what we regard as our intellectual property.</w:t>
      </w:r>
    </w:p>
    <w:p>
      <w:pPr>
        <w:spacing w:after="0" w:line="16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63"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62" w:lineRule="exact"/>
        <w:rPr>
          <w:sz w:val="20"/>
          <w:szCs w:val="20"/>
          <w:color w:val="auto"/>
        </w:rPr>
      </w:pPr>
    </w:p>
    <w:p>
      <w:pPr>
        <w:ind w:right="160" w:firstLine="648"/>
        <w:spacing w:after="0" w:line="189" w:lineRule="exact"/>
        <w:rPr>
          <w:sz w:val="20"/>
          <w:szCs w:val="20"/>
          <w:color w:val="auto"/>
        </w:rPr>
      </w:pPr>
      <w:r>
        <w:rPr>
          <w:rFonts w:ascii="Arial" w:cs="Arial" w:eastAsia="Arial" w:hAnsi="Arial"/>
          <w:sz w:val="16"/>
          <w:szCs w:val="16"/>
          <w:color w:val="auto"/>
        </w:rPr>
        <w:t>Recent patent reform legislation could increase the uncertainties and costs surrounding the prosecution of patent applications and the enforcement or defense of issued patents. On September 16, 2011,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or the Leahy</w:t>
      </w:r>
      <w:r>
        <w:rPr>
          <w:rFonts w:ascii="MS PGothic" w:cs="MS PGothic" w:eastAsia="MS PGothic" w:hAnsi="MS PGothic"/>
          <w:sz w:val="16"/>
          <w:szCs w:val="16"/>
          <w:color w:val="auto"/>
        </w:rPr>
        <w:t>‑</w:t>
      </w:r>
      <w:r>
        <w:rPr>
          <w:rFonts w:ascii="Arial" w:cs="Arial" w:eastAsia="Arial" w:hAnsi="Arial"/>
          <w:sz w:val="16"/>
          <w:szCs w:val="16"/>
          <w:color w:val="auto"/>
        </w:rPr>
        <w:t>Smith Act, was signed into law. The Leahy</w:t>
      </w:r>
      <w:r>
        <w:rPr>
          <w:rFonts w:ascii="MS PGothic" w:cs="MS PGothic" w:eastAsia="MS PGothic" w:hAnsi="MS PGothic"/>
          <w:sz w:val="16"/>
          <w:szCs w:val="16"/>
          <w:color w:val="auto"/>
        </w:rPr>
        <w:t>‑</w:t>
      </w:r>
      <w:r>
        <w:rPr>
          <w:rFonts w:ascii="Arial" w:cs="Arial" w:eastAsia="Arial" w:hAnsi="Arial"/>
          <w:sz w:val="16"/>
          <w:szCs w:val="16"/>
          <w:color w:val="auto"/>
        </w:rPr>
        <w:t>Smith Act includes several significant changes to U.S. patent law. These include provisions that affect the way patent applications are prosecuted and also may affect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patent litigation. These also include provisions that switched the United States from a “first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invent” system to a</w:t>
      </w:r>
    </w:p>
    <w:p>
      <w:pPr>
        <w:spacing w:after="0" w:line="176" w:lineRule="exact"/>
        <w:rPr>
          <w:sz w:val="20"/>
          <w:szCs w:val="20"/>
          <w:color w:val="auto"/>
        </w:rPr>
      </w:pPr>
      <w:r>
        <w:rPr>
          <w:rFonts w:ascii="Arial" w:cs="Arial" w:eastAsia="Arial" w:hAnsi="Arial"/>
          <w:sz w:val="18"/>
          <w:szCs w:val="18"/>
          <w:color w:val="auto"/>
        </w:rPr>
        <w:t>“first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file” system, allow third</w:t>
      </w:r>
      <w:r>
        <w:rPr>
          <w:rFonts w:ascii="MS PGothic" w:cs="MS PGothic" w:eastAsia="MS PGothic" w:hAnsi="MS PGothic"/>
          <w:sz w:val="18"/>
          <w:szCs w:val="18"/>
          <w:color w:val="auto"/>
        </w:rPr>
        <w:t>‑</w:t>
      </w:r>
      <w:r>
        <w:rPr>
          <w:rFonts w:ascii="Arial" w:cs="Arial" w:eastAsia="Arial" w:hAnsi="Arial"/>
          <w:sz w:val="18"/>
          <w:szCs w:val="18"/>
          <w:color w:val="auto"/>
        </w:rPr>
        <w:t>party submission of prior art to the USPTO during patent prosecution and set forth</w:t>
      </w:r>
    </w:p>
    <w:p>
      <w:pPr>
        <w:spacing w:after="0" w:line="216" w:lineRule="auto"/>
        <w:rPr>
          <w:sz w:val="20"/>
          <w:szCs w:val="20"/>
          <w:color w:val="auto"/>
        </w:rPr>
      </w:pPr>
      <w:r>
        <w:rPr>
          <w:rFonts w:ascii="Arial" w:cs="Arial" w:eastAsia="Arial" w:hAnsi="Arial"/>
          <w:sz w:val="17"/>
          <w:szCs w:val="17"/>
          <w:color w:val="auto"/>
        </w:rPr>
        <w:t>additional procedures to attack the validity of a patent by the USPTO administered post grant proceedings. Under a</w:t>
      </w:r>
    </w:p>
    <w:p>
      <w:pPr>
        <w:spacing w:after="0" w:line="176" w:lineRule="exact"/>
        <w:rPr>
          <w:sz w:val="20"/>
          <w:szCs w:val="20"/>
          <w:color w:val="auto"/>
        </w:rPr>
      </w:pPr>
      <w:r>
        <w:rPr>
          <w:rFonts w:ascii="Arial" w:cs="Arial" w:eastAsia="Arial" w:hAnsi="Arial"/>
          <w:sz w:val="17"/>
          <w:szCs w:val="17"/>
          <w:color w:val="auto"/>
        </w:rPr>
        <w:t>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file system, assuming the other requirements for patentability are met, the first inventor to file a patent application</w:t>
      </w:r>
    </w:p>
    <w:p>
      <w:pPr>
        <w:spacing w:after="0" w:line="229" w:lineRule="auto"/>
        <w:rPr>
          <w:sz w:val="20"/>
          <w:szCs w:val="20"/>
          <w:color w:val="auto"/>
        </w:rPr>
      </w:pPr>
      <w:r>
        <w:rPr>
          <w:rFonts w:ascii="Arial" w:cs="Arial" w:eastAsia="Arial" w:hAnsi="Arial"/>
          <w:sz w:val="16"/>
          <w:szCs w:val="16"/>
          <w:color w:val="auto"/>
        </w:rPr>
        <w:t>generally will be entitled to the patent on an invention regardless of whether another inventor had made the invention earlier.</w:t>
      </w:r>
    </w:p>
    <w:p>
      <w:pPr>
        <w:spacing w:after="0" w:line="176" w:lineRule="exact"/>
        <w:rPr>
          <w:sz w:val="20"/>
          <w:szCs w:val="20"/>
          <w:color w:val="auto"/>
        </w:rPr>
      </w:pPr>
      <w:r>
        <w:rPr>
          <w:rFonts w:ascii="Arial" w:cs="Arial" w:eastAsia="Arial" w:hAnsi="Arial"/>
          <w:sz w:val="16"/>
          <w:szCs w:val="16"/>
          <w:color w:val="auto"/>
        </w:rPr>
        <w:t>The USPTO recently developed new regulations and procedures to govern administration of the Leahy</w:t>
      </w:r>
      <w:r>
        <w:rPr>
          <w:rFonts w:ascii="MS PGothic" w:cs="MS PGothic" w:eastAsia="MS PGothic" w:hAnsi="MS PGothic"/>
          <w:sz w:val="16"/>
          <w:szCs w:val="16"/>
          <w:color w:val="auto"/>
        </w:rPr>
        <w:t>‑</w:t>
      </w:r>
      <w:r>
        <w:rPr>
          <w:rFonts w:ascii="Arial" w:cs="Arial" w:eastAsia="Arial" w:hAnsi="Arial"/>
          <w:sz w:val="16"/>
          <w:szCs w:val="16"/>
          <w:color w:val="auto"/>
        </w:rPr>
        <w:t>Smith Act, and many</w:t>
      </w:r>
    </w:p>
    <w:p>
      <w:pPr>
        <w:spacing w:after="0" w:line="176" w:lineRule="exact"/>
        <w:rPr>
          <w:sz w:val="20"/>
          <w:szCs w:val="20"/>
          <w:color w:val="auto"/>
        </w:rPr>
      </w:pPr>
      <w:r>
        <w:rPr>
          <w:rFonts w:ascii="Arial" w:cs="Arial" w:eastAsia="Arial" w:hAnsi="Arial"/>
          <w:sz w:val="16"/>
          <w:szCs w:val="16"/>
          <w:color w:val="auto"/>
        </w:rPr>
        <w:t>of the substantive changes to patent law associated with the Leahy</w:t>
      </w:r>
      <w:r>
        <w:rPr>
          <w:rFonts w:ascii="MS PGothic" w:cs="MS PGothic" w:eastAsia="MS PGothic" w:hAnsi="MS PGothic"/>
          <w:sz w:val="16"/>
          <w:szCs w:val="16"/>
          <w:color w:val="auto"/>
        </w:rPr>
        <w:t>‑</w:t>
      </w:r>
      <w:r>
        <w:rPr>
          <w:rFonts w:ascii="Arial" w:cs="Arial" w:eastAsia="Arial" w:hAnsi="Arial"/>
          <w:sz w:val="16"/>
          <w:szCs w:val="16"/>
          <w:color w:val="auto"/>
        </w:rPr>
        <w:t>Smith Act, and in particular, the first to file provisions,</w:t>
      </w:r>
    </w:p>
    <w:p>
      <w:pPr>
        <w:spacing w:after="0" w:line="176" w:lineRule="exact"/>
        <w:rPr>
          <w:sz w:val="20"/>
          <w:szCs w:val="20"/>
          <w:color w:val="auto"/>
        </w:rPr>
      </w:pPr>
      <w:r>
        <w:rPr>
          <w:rFonts w:ascii="Arial" w:cs="Arial" w:eastAsia="Arial" w:hAnsi="Arial"/>
          <w:sz w:val="16"/>
          <w:szCs w:val="16"/>
          <w:color w:val="auto"/>
        </w:rPr>
        <w:t>only became effective on March 16, 2013. Accordingly,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w:t>
      </w:r>
    </w:p>
    <w:p>
      <w:pPr>
        <w:spacing w:after="0" w:line="176" w:lineRule="exact"/>
        <w:rPr>
          <w:sz w:val="20"/>
          <w:szCs w:val="20"/>
          <w:color w:val="auto"/>
        </w:rPr>
      </w:pPr>
      <w:r>
        <w:rPr>
          <w:rFonts w:ascii="Arial" w:cs="Arial" w:eastAsia="Arial" w:hAnsi="Arial"/>
          <w:sz w:val="16"/>
          <w:szCs w:val="16"/>
          <w:color w:val="auto"/>
        </w:rPr>
        <w:t>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w:t>
      </w:r>
    </w:p>
    <w:p>
      <w:pPr>
        <w:spacing w:after="0" w:line="216" w:lineRule="auto"/>
        <w:rPr>
          <w:sz w:val="20"/>
          <w:szCs w:val="20"/>
          <w:color w:val="auto"/>
        </w:rPr>
      </w:pPr>
      <w:r>
        <w:rPr>
          <w:rFonts w:ascii="Arial" w:cs="Arial" w:eastAsia="Arial" w:hAnsi="Arial"/>
          <w:sz w:val="17"/>
          <w:szCs w:val="17"/>
          <w:color w:val="auto"/>
        </w:rPr>
        <w:t>costs surrounding the prosecution of our patent applications and the enforcement or defense of our issued patents, all of</w:t>
      </w:r>
    </w:p>
    <w:p>
      <w:pPr>
        <w:spacing w:after="0"/>
        <w:rPr>
          <w:sz w:val="20"/>
          <w:szCs w:val="20"/>
          <w:color w:val="auto"/>
        </w:rPr>
      </w:pPr>
      <w:r>
        <w:rPr>
          <w:rFonts w:ascii="Arial" w:cs="Arial" w:eastAsia="Arial" w:hAnsi="Arial"/>
          <w:sz w:val="18"/>
          <w:szCs w:val="18"/>
          <w:color w:val="auto"/>
        </w:rPr>
        <w:t>which could harm our business, financial condition, results of operations and prospects.</w:t>
      </w:r>
    </w:p>
    <w:p>
      <w:pPr>
        <w:spacing w:after="0" w:line="16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For example, the Leahy-Smith Act provides a new administrative tribunal known as the Patent Trial and Appeals Board, or PTAB, that provides a venue for companies to challenge the validity of competitor patents at a cost that is much lower than district court litigation and on timelines that are much faster. Although it is not clear what, if any, long-term impacts the PTAB proceedings will have on the operation of our business, the initial results of patent challenge proceedings before the PTAB since its inception in 2013 have resulted in the invalidation of many U.S. patent claims. The availability of the PTAB as a lower-cost, faster and potentially more potent tribunal for challenging patents could therefore increase the likelihood that our own licensed patents will be challenged, thereby increasing the uncertainties and costs of maintaining and enforcing them. Moreover, if such challenges occur, we may not have the right to control the defense. In certain situations, we may be required to rely on our licensor to consider our suggestions and to defend such challenges, with the possibility that it may not do so in a way that best protects our interests.</w:t>
      </w:r>
    </w:p>
    <w:p>
      <w:pPr>
        <w:spacing w:after="0" w:line="164"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 xml:space="preserve">We also may be subject to a third-party preissuance submission of prior art to the USPTO, or become involved in other contested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products.</w:t>
      </w:r>
    </w:p>
    <w:p>
      <w:pPr>
        <w:spacing w:after="0" w:line="168" w:lineRule="exact"/>
        <w:rPr>
          <w:sz w:val="20"/>
          <w:szCs w:val="20"/>
          <w:color w:val="auto"/>
        </w:rPr>
      </w:pPr>
    </w:p>
    <w:p>
      <w:pPr>
        <w:ind w:right="20" w:firstLine="648"/>
        <w:spacing w:after="0" w:line="179" w:lineRule="exact"/>
        <w:rPr>
          <w:sz w:val="20"/>
          <w:szCs w:val="20"/>
          <w:color w:val="auto"/>
        </w:rPr>
      </w:pPr>
      <w:r>
        <w:rPr>
          <w:rFonts w:ascii="Arial" w:cs="Arial" w:eastAsia="Arial" w:hAnsi="Arial"/>
          <w:sz w:val="17"/>
          <w:szCs w:val="17"/>
          <w:color w:val="auto"/>
        </w:rPr>
        <w:t xml:space="preserve">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w:t>
      </w:r>
      <w:r>
        <w:rPr>
          <w:rFonts w:ascii="Arial" w:cs="Arial" w:eastAsia="Arial" w:hAnsi="Arial"/>
          <w:sz w:val="17"/>
          <w:szCs w:val="17"/>
          <w:i w:val="1"/>
          <w:iCs w:val="1"/>
          <w:color w:val="auto"/>
        </w:rPr>
        <w:t>Mayo Collaborative Services v. Prometheus Laboratories, Inc</w:t>
      </w:r>
      <w:r>
        <w:rPr>
          <w:rFonts w:ascii="Arial" w:cs="Arial" w:eastAsia="Arial" w:hAnsi="Arial"/>
          <w:sz w:val="17"/>
          <w:szCs w:val="17"/>
          <w:color w:val="auto"/>
        </w:rPr>
        <w:t>., or Prometheus, a case involving patent claims directed to a process of measuring a metabolic product in a patient to optimize a drug dosage for the patient. According to the Supreme Court, the addition of well</w:t>
      </w:r>
      <w:r>
        <w:rPr>
          <w:rFonts w:ascii="MS PGothic" w:cs="MS PGothic" w:eastAsia="MS PGothic" w:hAnsi="MS PGothic"/>
          <w:sz w:val="17"/>
          <w:szCs w:val="17"/>
          <w:color w:val="auto"/>
        </w:rPr>
        <w:t>‑</w:t>
      </w:r>
      <w:r>
        <w:rPr>
          <w:rFonts w:ascii="Arial" w:cs="Arial" w:eastAsia="Arial" w:hAnsi="Arial"/>
          <w:sz w:val="17"/>
          <w:szCs w:val="17"/>
          <w:color w:val="auto"/>
        </w:rPr>
        <w:t>understood, routine or conventional activity such as “administering” or “determining” steps was not enough to transform an otherwise patent</w:t>
      </w:r>
      <w:r>
        <w:rPr>
          <w:rFonts w:ascii="MS PGothic" w:cs="MS PGothic" w:eastAsia="MS PGothic" w:hAnsi="MS PGothic"/>
          <w:sz w:val="17"/>
          <w:szCs w:val="17"/>
          <w:color w:val="auto"/>
        </w:rPr>
        <w:t>‑</w:t>
      </w:r>
      <w:r>
        <w:rPr>
          <w:rFonts w:ascii="Arial" w:cs="Arial" w:eastAsia="Arial" w:hAnsi="Arial"/>
          <w:sz w:val="17"/>
          <w:szCs w:val="17"/>
          <w:color w:val="auto"/>
        </w:rPr>
        <w:t>ineligible natural phenomenon into patent</w:t>
      </w:r>
      <w:r>
        <w:rPr>
          <w:rFonts w:ascii="MS PGothic" w:cs="MS PGothic" w:eastAsia="MS PGothic" w:hAnsi="MS PGothic"/>
          <w:sz w:val="17"/>
          <w:szCs w:val="17"/>
          <w:color w:val="auto"/>
        </w:rPr>
        <w:t>‑</w:t>
      </w:r>
      <w:r>
        <w:rPr>
          <w:rFonts w:ascii="Arial" w:cs="Arial" w:eastAsia="Arial" w:hAnsi="Arial"/>
          <w:sz w:val="17"/>
          <w:szCs w:val="17"/>
          <w:color w:val="auto"/>
        </w:rPr>
        <w: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w:t>
      </w:r>
      <w:r>
        <w:rPr>
          <w:rFonts w:ascii="MS PGothic" w:cs="MS PGothic" w:eastAsia="MS PGothic" w:hAnsi="MS PGothic"/>
          <w:sz w:val="17"/>
          <w:szCs w:val="17"/>
          <w:color w:val="auto"/>
        </w:rPr>
        <w:t>‑</w:t>
      </w:r>
      <w:r>
        <w:rPr>
          <w:rFonts w:ascii="Arial" w:cs="Arial" w:eastAsia="Arial" w:hAnsi="Arial"/>
          <w:sz w:val="17"/>
          <w:szCs w:val="17"/>
          <w:color w:val="auto"/>
        </w:rPr>
        <w:t xml:space="preserve">eligible subject matter. On June 13, 2013, the Supreme Court issued its decision in </w:t>
      </w:r>
      <w:r>
        <w:rPr>
          <w:rFonts w:ascii="Arial" w:cs="Arial" w:eastAsia="Arial" w:hAnsi="Arial"/>
          <w:sz w:val="17"/>
          <w:szCs w:val="17"/>
          <w:i w:val="1"/>
          <w:iCs w:val="1"/>
          <w:color w:val="auto"/>
        </w:rPr>
        <w:t>Association for Molecular Pathology v. Myriad</w:t>
      </w:r>
      <w:r>
        <w:rPr>
          <w:rFonts w:ascii="Arial" w:cs="Arial" w:eastAsia="Arial" w:hAnsi="Arial"/>
          <w:sz w:val="17"/>
          <w:szCs w:val="17"/>
          <w:color w:val="auto"/>
        </w:rPr>
        <w:t xml:space="preserve"> </w:t>
      </w:r>
      <w:r>
        <w:rPr>
          <w:rFonts w:ascii="Arial" w:cs="Arial" w:eastAsia="Arial" w:hAnsi="Arial"/>
          <w:sz w:val="17"/>
          <w:szCs w:val="17"/>
          <w:i w:val="1"/>
          <w:iCs w:val="1"/>
          <w:color w:val="auto"/>
        </w:rPr>
        <w:t>Genetics, Inc</w:t>
      </w:r>
      <w:r>
        <w:rPr>
          <w:rFonts w:ascii="Arial" w:cs="Arial" w:eastAsia="Arial" w:hAnsi="Arial"/>
          <w:sz w:val="17"/>
          <w:szCs w:val="17"/>
          <w:color w:val="auto"/>
        </w:rPr>
        <w:t>., or Myriad, a case involving patent claims held by Myriad Genetics, Inc. relating to the breast cancer</w:t>
      </w:r>
      <w:r>
        <w:rPr>
          <w:rFonts w:ascii="Arial" w:cs="Arial" w:eastAsia="Arial" w:hAnsi="Arial"/>
          <w:sz w:val="17"/>
          <w:szCs w:val="17"/>
          <w:i w:val="1"/>
          <w:iCs w:val="1"/>
          <w:color w:val="auto"/>
        </w:rPr>
        <w:t xml:space="preserve"> </w:t>
      </w:r>
      <w:r>
        <w:rPr>
          <w:rFonts w:ascii="Arial" w:cs="Arial" w:eastAsia="Arial" w:hAnsi="Arial"/>
          <w:sz w:val="17"/>
          <w:szCs w:val="17"/>
          <w:color w:val="auto"/>
        </w:rPr>
        <w:t>susceptibility genes BRCA1 and BRCA2. In Myriad, the Supreme Court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68" w:lineRule="exact"/>
        <w:rPr>
          <w:sz w:val="20"/>
          <w:szCs w:val="20"/>
          <w:color w:val="auto"/>
        </w:rPr>
      </w:pPr>
    </w:p>
    <w:p>
      <w:pPr>
        <w:ind w:right="120" w:firstLine="648"/>
        <w:spacing w:after="0" w:line="238" w:lineRule="auto"/>
        <w:rPr>
          <w:sz w:val="20"/>
          <w:szCs w:val="20"/>
          <w:color w:val="auto"/>
        </w:rPr>
      </w:pPr>
      <w:r>
        <w:rPr>
          <w:rFonts w:ascii="Arial" w:cs="Arial" w:eastAsia="Arial" w:hAnsi="Arial"/>
          <w:sz w:val="17"/>
          <w:szCs w:val="17"/>
          <w:color w:val="auto"/>
        </w:rPr>
        <w:t>On March 4, 2014, the USPTO issued a guidance memorandum to patent examiners titled 2014 Procedure for Subject Matter Eligibility Analysis of Claims Reciting or Involving Laws of Nature/Natural Principles, Natural Phenomena, and/or Natural Products. These guidelines and more recent guidelines superseding them instruct USPTO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examiners on the ramifications of the Prometheus and Myriad rulings and apply the Myriad ruling to natural products and principles including all naturally occurring nucleic acids.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62"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We cannot assure you that our efforts to seek patent protection for our technology and products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have an adverse effect on our existing patent portfolio and our ability to protect and enforce our intellectual property in the future.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Moreover, although the Supreme Court has held in Myriad that isolated segments of naturally occurring DNA are</w:t>
      </w:r>
    </w:p>
    <w:p>
      <w:pPr>
        <w:spacing w:after="0" w:line="183" w:lineRule="exact"/>
        <w:rPr>
          <w:sz w:val="20"/>
          <w:szCs w:val="20"/>
          <w:color w:val="auto"/>
        </w:rPr>
      </w:pPr>
      <w:r>
        <w:rPr>
          <w:rFonts w:ascii="Arial" w:cs="Arial" w:eastAsia="Arial" w:hAnsi="Arial"/>
          <w:sz w:val="17"/>
          <w:szCs w:val="17"/>
          <w:color w:val="auto"/>
        </w:rPr>
        <w:t>not patent</w:t>
      </w:r>
      <w:r>
        <w:rPr>
          <w:rFonts w:ascii="MS PGothic" w:cs="MS PGothic" w:eastAsia="MS PGothic" w:hAnsi="MS PGothic"/>
          <w:sz w:val="17"/>
          <w:szCs w:val="17"/>
          <w:color w:val="auto"/>
        </w:rPr>
        <w:t>‑</w:t>
      </w:r>
      <w:r>
        <w:rPr>
          <w:rFonts w:ascii="Arial" w:cs="Arial" w:eastAsia="Arial" w:hAnsi="Arial"/>
          <w:sz w:val="17"/>
          <w:szCs w:val="17"/>
          <w:color w:val="auto"/>
        </w:rPr>
        <w:t>eligible subject matter, certain third parties could allege that activities that we may undertake infringe other</w:t>
      </w:r>
    </w:p>
    <w:p>
      <w:pPr>
        <w:spacing w:after="0" w:line="176" w:lineRule="exact"/>
        <w:rPr>
          <w:sz w:val="20"/>
          <w:szCs w:val="20"/>
          <w:color w:val="auto"/>
        </w:rPr>
      </w:pPr>
      <w:r>
        <w:rPr>
          <w:rFonts w:ascii="Arial" w:cs="Arial" w:eastAsia="Arial" w:hAnsi="Arial"/>
          <w:sz w:val="18"/>
          <w:szCs w:val="18"/>
          <w:color w:val="auto"/>
        </w:rPr>
        <w:t>gene</w:t>
      </w:r>
      <w:r>
        <w:rPr>
          <w:rFonts w:ascii="MS PGothic" w:cs="MS PGothic" w:eastAsia="MS PGothic" w:hAnsi="MS PGothic"/>
          <w:sz w:val="18"/>
          <w:szCs w:val="18"/>
          <w:color w:val="auto"/>
        </w:rPr>
        <w:t>‑</w:t>
      </w:r>
      <w:r>
        <w:rPr>
          <w:rFonts w:ascii="Arial" w:cs="Arial" w:eastAsia="Arial" w:hAnsi="Arial"/>
          <w:sz w:val="18"/>
          <w:szCs w:val="18"/>
          <w:color w:val="auto"/>
        </w:rPr>
        <w:t>related patent claims, and we may deem it necessary to defend ourselves against these claims by asserting</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infringement and/or invalidity positions, or paying to obtain a license to these claims. In any of the foregoing or in other</w:t>
      </w:r>
    </w:p>
    <w:p>
      <w:pPr>
        <w:spacing w:after="0" w:line="176" w:lineRule="exact"/>
        <w:rPr>
          <w:sz w:val="20"/>
          <w:szCs w:val="20"/>
          <w:color w:val="auto"/>
        </w:rPr>
      </w:pPr>
      <w:r>
        <w:rPr>
          <w:rFonts w:ascii="Arial" w:cs="Arial" w:eastAsia="Arial" w:hAnsi="Arial"/>
          <w:sz w:val="17"/>
          <w:szCs w:val="17"/>
          <w:color w:val="auto"/>
        </w:rPr>
        <w:t>situations involving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if we are unsuccessful in defending against claims of patent</w:t>
      </w:r>
    </w:p>
    <w:p>
      <w:pPr>
        <w:spacing w:after="0" w:line="230" w:lineRule="auto"/>
        <w:rPr>
          <w:sz w:val="20"/>
          <w:szCs w:val="20"/>
          <w:color w:val="auto"/>
        </w:rPr>
      </w:pPr>
      <w:r>
        <w:rPr>
          <w:rFonts w:ascii="Arial" w:cs="Arial" w:eastAsia="Arial" w:hAnsi="Arial"/>
          <w:sz w:val="16"/>
          <w:szCs w:val="16"/>
          <w:color w:val="auto"/>
        </w:rPr>
        <w:t>infringement, we could be forced to pay damages or be subjected to an injunction that would prevent us from utilizing the</w:t>
      </w:r>
    </w:p>
    <w:p>
      <w:pPr>
        <w:spacing w:after="0"/>
        <w:rPr>
          <w:sz w:val="20"/>
          <w:szCs w:val="20"/>
          <w:color w:val="auto"/>
        </w:rPr>
      </w:pPr>
      <w:r>
        <w:rPr>
          <w:rFonts w:ascii="Arial" w:cs="Arial" w:eastAsia="Arial" w:hAnsi="Arial"/>
          <w:sz w:val="17"/>
          <w:szCs w:val="17"/>
          <w:color w:val="auto"/>
        </w:rPr>
        <w:t>patented subject matter. Such outcomes could harm our business, financial condition, results of operations or prospects.</w:t>
      </w:r>
    </w:p>
    <w:p>
      <w:pPr>
        <w:spacing w:after="0" w:line="180"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Outside the United States, other courts have also begun to address the patenting of genetic material. In August 2015, the Australian High Court ruled that isolated genes cannot be patented in Australia. The decision did not address methods of using genetic material. Any ruling of a similar scope in other countries could affect the scope of our intellectual property rights.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our product candidates, our business may be harmed.</w:t>
      </w:r>
    </w:p>
    <w:p>
      <w:pPr>
        <w:spacing w:after="0" w:line="219"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of our U.S. patents may be eligible for limited patent term extension under the Drug Price Competition and Patent Term Restoration Act of 1984, or Hatch</w:t>
      </w:r>
      <w:r>
        <w:rPr>
          <w:rFonts w:ascii="MS PGothic" w:cs="MS PGothic" w:eastAsia="MS PGothic" w:hAnsi="MS PGothic"/>
          <w:sz w:val="16"/>
          <w:szCs w:val="16"/>
          <w:color w:val="auto"/>
        </w:rPr>
        <w:t>‑</w:t>
      </w:r>
      <w:r>
        <w:rPr>
          <w:rFonts w:ascii="Arial" w:cs="Arial" w:eastAsia="Arial" w:hAnsi="Arial"/>
          <w:sz w:val="16"/>
          <w:szCs w:val="16"/>
          <w:color w:val="auto"/>
        </w:rPr>
        <w:t>Waxman Amendments.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per FDA-approved product, and only those claims covering the approved drug, a method for using it or a method for manufacturing it may be extended. Further, certain of our licenses currently or in the future may not provide us with the right to control decisions the licensor or its other licensees on Orange Book listings or patent term extension decisions under the Hatch-Waxman Act. Thus, if one of our important licensed patents is eligible for a patent term extension under the Hatch-Waxman Act, and it covers a product of another licensee in addition to our own product candidate, we may not be able to obtain that extension if the other licensee seeks and obtains that extension first.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time-period or the scope of patent protection afforded during any such extension could be less than we request. If we are unable to obtain patent term extension or the scope of term of any such extension is less than we request, the period during which we will have the right to exclusively market our product may be shortened and our competitors may obtain approval of competing products following our patent expiration, and our revenue could be materially reduced.</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If our trademarks and trade name are not adequately protected, then we may not be able to build name recognition in our markets of interest and our business may be adversely affected.</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own service mark registrations in the USPTO for the marks “VOYAGER THERAPEUTICS” and “VOYAGER THERAPEUTICS Logo” and pending trademark applications in the USPTO for the marks “VOYAGER TRAJECTORY ARRAY GUIDE”, “V-TAG” and the “V-TAG Logo” as well as a pending trademark application in the European Community for “V-TAG”. Our trademarks or our trade name may be challenged, infringed, circumvented or declared generic or found to infringe prior third-party marks. We may not be able to protect our rights in our trademarks or in our trade name, which we need in order to build name recognition among potential partners or customers in our markets of interest. It is possible that competitors may adopt trade names or trademarks similar to ours, thereby impeding our ability to build brand identity and possibly leading to market confusion. In addition, there could be potential trade name or trademark infringement claims brought by owners of prior registered trademarks or trademarks that incorporate variations of our registered or unregistered trademarks or trade name. Over the long term, if we are unable to establish name recognition based on our trademarks and trade name, then we may not be able to compete effectively, and our business may be adversely affected. Our efforts to enforce and protect our proprietary rights related to trademarks, trade secrets, domain names, copyrights and other intellectual property may be ineffective and could result in substantial costs and diversion of resources and could adversely impact our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44"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such rights may not adequately protect our business or permit us to maintain our competitive advantage. For example:</w:t>
      </w:r>
    </w:p>
    <w:p>
      <w:pPr>
        <w:spacing w:after="0" w:line="136" w:lineRule="exact"/>
        <w:rPr>
          <w:sz w:val="20"/>
          <w:szCs w:val="20"/>
          <w:color w:val="auto"/>
        </w:rPr>
      </w:pPr>
    </w:p>
    <w:p>
      <w:pPr>
        <w:ind w:left="980" w:right="360" w:hanging="329"/>
        <w:spacing w:after="0" w:line="246"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in the future;</w:t>
      </w:r>
    </w:p>
    <w:p>
      <w:pPr>
        <w:spacing w:after="0" w:line="129" w:lineRule="exact"/>
        <w:rPr>
          <w:rFonts w:ascii="Arial" w:cs="Arial" w:eastAsia="Arial" w:hAnsi="Arial"/>
          <w:sz w:val="18"/>
          <w:szCs w:val="18"/>
          <w:color w:val="auto"/>
        </w:rPr>
      </w:pPr>
    </w:p>
    <w:p>
      <w:pPr>
        <w:ind w:left="980" w:right="100" w:hanging="329"/>
        <w:spacing w:after="0" w:line="307"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or pending patent application that we license or may own in the future;</w:t>
      </w:r>
    </w:p>
    <w:p>
      <w:pPr>
        <w:spacing w:after="0" w:line="83" w:lineRule="exact"/>
        <w:rPr>
          <w:rFonts w:ascii="Arial" w:cs="Arial" w:eastAsia="Arial" w:hAnsi="Arial"/>
          <w:sz w:val="16"/>
          <w:szCs w:val="16"/>
          <w:color w:val="auto"/>
        </w:rPr>
      </w:pPr>
    </w:p>
    <w:p>
      <w:pPr>
        <w:ind w:left="980" w:right="660" w:hanging="329"/>
        <w:spacing w:after="0" w:line="246"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29" w:lineRule="exact"/>
        <w:rPr>
          <w:rFonts w:ascii="Arial" w:cs="Arial" w:eastAsia="Arial" w:hAnsi="Arial"/>
          <w:sz w:val="18"/>
          <w:szCs w:val="18"/>
          <w:color w:val="auto"/>
        </w:rPr>
      </w:pPr>
    </w:p>
    <w:p>
      <w:pPr>
        <w:ind w:left="980" w:right="480" w:hanging="329"/>
        <w:spacing w:after="0" w:line="246"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29" w:lineRule="exact"/>
        <w:rPr>
          <w:rFonts w:ascii="Arial" w:cs="Arial" w:eastAsia="Arial" w:hAnsi="Arial"/>
          <w:sz w:val="18"/>
          <w:szCs w:val="18"/>
          <w:color w:val="auto"/>
        </w:rPr>
      </w:pPr>
    </w:p>
    <w:p>
      <w:pPr>
        <w:ind w:left="980" w:right="120" w:hanging="329"/>
        <w:spacing w:after="0" w:line="246"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29" w:lineRule="exact"/>
        <w:rPr>
          <w:rFonts w:ascii="Arial" w:cs="Arial" w:eastAsia="Arial" w:hAnsi="Arial"/>
          <w:sz w:val="18"/>
          <w:szCs w:val="18"/>
          <w:color w:val="auto"/>
        </w:rPr>
      </w:pPr>
    </w:p>
    <w:p>
      <w:pPr>
        <w:ind w:left="980" w:right="660" w:hanging="329"/>
        <w:spacing w:after="0" w:line="246"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29" w:lineRule="exact"/>
        <w:rPr>
          <w:rFonts w:ascii="Arial" w:cs="Arial" w:eastAsia="Arial" w:hAnsi="Arial"/>
          <w:sz w:val="18"/>
          <w:szCs w:val="18"/>
          <w:color w:val="auto"/>
        </w:rPr>
      </w:pPr>
    </w:p>
    <w:p>
      <w:pPr>
        <w:ind w:left="980" w:right="120" w:hanging="329"/>
        <w:spacing w:after="0" w:line="235"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4" w:lineRule="exact"/>
        <w:rPr>
          <w:rFonts w:ascii="Arial" w:cs="Arial" w:eastAsia="Arial" w:hAnsi="Arial"/>
          <w:sz w:val="18"/>
          <w:szCs w:val="18"/>
          <w:color w:val="auto"/>
        </w:rPr>
      </w:pPr>
    </w:p>
    <w:p>
      <w:pPr>
        <w:ind w:left="980" w:hanging="329"/>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57" w:lineRule="exact"/>
        <w:rPr>
          <w:rFonts w:ascii="Arial" w:cs="Arial" w:eastAsia="Arial" w:hAnsi="Arial"/>
          <w:sz w:val="18"/>
          <w:szCs w:val="18"/>
          <w:color w:val="auto"/>
        </w:rPr>
      </w:pPr>
    </w:p>
    <w:p>
      <w:pPr>
        <w:ind w:left="980" w:right="280" w:hanging="329"/>
        <w:spacing w:after="0" w:line="210" w:lineRule="exact"/>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and a third party may subsequently file a patent covering such intellectual property.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700" w:firstLine="648"/>
        <w:spacing w:after="0" w:line="235"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2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3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Because we currently rely on certain third parties to manufacture all or part of our product candidates and to perform quality testing, and because we collaborate with various organizations and academic institutions for the advancement of our gene therapy platform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w:t>
      </w:r>
      <w:r>
        <w:rPr>
          <w:rFonts w:ascii="MS PGothic" w:cs="MS PGothic" w:eastAsia="MS PGothic" w:hAnsi="MS PGothic"/>
          <w:sz w:val="16"/>
          <w:szCs w:val="16"/>
          <w:color w:val="auto"/>
        </w:rPr>
        <w:t>‑</w:t>
      </w:r>
      <w:r>
        <w:rPr>
          <w:rFonts w:ascii="Arial" w:cs="Arial" w:eastAsia="Arial" w:hAnsi="Arial"/>
          <w:sz w:val="16"/>
          <w:szCs w:val="16"/>
          <w:color w:val="auto"/>
        </w:rPr>
        <w:t>how and trade secrets, a competitor’s discovery of our proprietary technology and confidential information or other unauthorized use or disclosure would impair our competitive position and may harm our business, financial condition, results of operations and prospects.</w:t>
      </w:r>
    </w:p>
    <w:p>
      <w:pPr>
        <w:spacing w:after="0" w:line="126"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exercise significant influence over our company.</w:t>
      </w:r>
    </w:p>
    <w:p>
      <w:pPr>
        <w:spacing w:after="0" w:line="103"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holdings of our executive officers, directors, principal stockholders and their affiliates, including investment funds affiliated with Third Rock Ventures, investment funds affiliated with Fidelity Management Research Company, or Fidelity, and investment funds affiliated with BB Biotech AG represent beneficial ownership, in the aggregate, of approximately 50% of our outstanding common stock as of April 23, 2018.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100" w:lineRule="exact"/>
        <w:rPr>
          <w:sz w:val="20"/>
          <w:szCs w:val="20"/>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8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Our shares of common stock began trading on the NASDAQ Global Select Market on November 11, 2015.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94"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maintain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08"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63"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In addition, shares of common stock that are either subject to outstanding options or reserved for future issuance under our stock incentive plans will become eligible for sale in the public market to the extent permitted by the provisions of various vesting schedules and Rule 144 and Rule 701 under the Securities Act of 1933, as amended, and, in any event, we have filed a registration statement permitting shares of common stock issued on exercise of options to be freely sold in the public market. If these additional shares of common stock are sold, or if it is perceived that they will be sold, in the public market, the trading price of our common stock could decline. In addition, we have registered on a registration statement on Form S-3 that has been declared effective, the sale of up to $250.0 million in aggregate of an indeterminate number of shares of common stock and preferred stock, an indeterminate principal amount of debt securities, and an indeterminate number of warrants. In November 2017, under such shelf registration statement, we issued and sold 5,175,000 shares of common stock to the public at an offering price of $12.00 per share, including 675,000 shares of common stock issued upon the full exercise by the underwriter of their option to purchase additional shares, resulting in net proceeds of $58.0 million after deducting underwriting discounts, commissions, and offering expenses payable by us. The registration statement also registers the offering, issuance, and sale of common stock having up to a maximum aggregate offering price of $75.0 million that we may issue and sell in an at-the-market offering under a sales agreement we entered into with Cowen and Company, LLC on December 1, 2016 pursuant to a sales agreement prospectus that forms a part of the registration statement. As of March 31, 2018, approximately $75.0 million in shares of common stock remain eligible for sale under the sales agreement.</w:t>
      </w:r>
    </w:p>
    <w:p>
      <w:pPr>
        <w:spacing w:after="0" w:line="167" w:lineRule="exact"/>
        <w:rPr>
          <w:sz w:val="20"/>
          <w:szCs w:val="20"/>
          <w:color w:val="auto"/>
        </w:rPr>
      </w:pPr>
    </w:p>
    <w:p>
      <w:pPr>
        <w:jc w:val="both"/>
        <w:ind w:right="260" w:firstLine="648"/>
        <w:spacing w:after="0" w:line="219" w:lineRule="auto"/>
        <w:rPr>
          <w:sz w:val="20"/>
          <w:szCs w:val="20"/>
          <w:color w:val="auto"/>
        </w:rPr>
      </w:pPr>
      <w:r>
        <w:rPr>
          <w:rFonts w:ascii="Arial" w:cs="Arial" w:eastAsia="Arial" w:hAnsi="Arial"/>
          <w:sz w:val="18"/>
          <w:szCs w:val="18"/>
          <w:color w:val="auto"/>
        </w:rPr>
        <w:t>Certain holders of our common stock have rights, subject to specified conditions, to require us to file registration statements covering their shares or to include their shares in registration statements that we may file for ourselves or other stockholders. Any sales of securities by these stockholders could have a material adverse effect on the trading price of our common stock.</w:t>
      </w:r>
    </w:p>
    <w:p>
      <w:pPr>
        <w:spacing w:after="0" w:line="163"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price of our common stock is likely to be volatile and may fluctuate substantially. From January 1, 2018 through March 31, 2018, the sales price of our common stock ranged from a high of $31.91 to a low of $15.86 on the Nasdaq Global Select Market. As a result of this volatility, our stockholders may not be able to sell their common stock at or above the price at which they purchased it. The market price for our common stock may be influenced by many factors, including:</w:t>
      </w:r>
    </w:p>
    <w:p>
      <w:pPr>
        <w:spacing w:after="0" w:line="155" w:lineRule="exact"/>
        <w:rPr>
          <w:sz w:val="20"/>
          <w:szCs w:val="20"/>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success in commercializing any product candidates for which we obtain marketing approval;</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action and results of clinical trials of our product candidates or those of our competitors;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clinical trials of our product candidates;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clinical trials of product candidates of our competitors;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commencement, termination, and success of our collaborations;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80" w:right="300" w:hanging="329"/>
        <w:spacing w:after="0" w:line="235"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technologies, the cost of commercializing such product candidates, and the cost of development of any such product candidates or technologies;</w:t>
      </w:r>
    </w:p>
    <w:p>
      <w:pPr>
        <w:spacing w:after="0" w:line="107" w:lineRule="exact"/>
        <w:rPr>
          <w:rFonts w:ascii="Arial" w:cs="Arial" w:eastAsia="Arial" w:hAnsi="Arial"/>
          <w:sz w:val="18"/>
          <w:szCs w:val="18"/>
          <w:color w:val="auto"/>
        </w:rPr>
      </w:pPr>
    </w:p>
    <w:p>
      <w:pPr>
        <w:ind w:left="980" w:right="40" w:hanging="329"/>
        <w:spacing w:after="0" w:line="246"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2"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to secure third-party reimbursement for our product candidates;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 and elsewhere in this Quarterly Report on Form 10-Q.</w:t>
      </w:r>
    </w:p>
    <w:p>
      <w:pPr>
        <w:spacing w:after="0" w:line="343"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If our operating results fall below the expectations of investors or securities analysts for a given period, the price of our common stock could decline substantially. Furthermore, any fluctuations in our operating results from period to period may, in turn, cause the price of our stock to fluctuate substantially. We believe that such comparisons of our financial results are not necessarily meaningful and should not be relied upon as an indication of our future performance.</w:t>
      </w:r>
    </w:p>
    <w:p>
      <w:pPr>
        <w:spacing w:after="0" w:line="87"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class-action litigation often has been instituted against that company. We also may face securities class-action litigation if we cannot obtain regulatory approvals for or if we otherwise fail to commercialize our product candidates.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5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We have broad discretion in how we apply our available funds, and we may not use these funds effectively, which could affect our results of operations and cause our stock price to decline.</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Our management will have broad discretion in the application of our existing cash, cash equivalents and marketable securities and could spend these funds in ways that do not improve our results of operations or enhance the value of our common stock. The failure by our management to apply our available funds effectively could result in financial losses that could cause the price of our common stock to decline and delay the development of our product candidates and preclinical programs. Pending their use, we may invest our available funds in a manner that does not produce income or that loses value.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94"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For so long as we remain an “emerging growth company,” or EGC, as defined in the JOBS Act, we are permitted and intend to rely on exemptions from certain disclosure requirements that are applicable to other public companies that are not EGCs. These exemptions include:</w:t>
      </w:r>
    </w:p>
    <w:p>
      <w:pPr>
        <w:spacing w:after="0" w:line="82" w:lineRule="exact"/>
        <w:rPr>
          <w:sz w:val="20"/>
          <w:szCs w:val="20"/>
          <w:color w:val="auto"/>
        </w:rPr>
      </w:pPr>
    </w:p>
    <w:p>
      <w:pPr>
        <w:ind w:left="980" w:right="120" w:hanging="329"/>
        <w:spacing w:after="0" w:line="210" w:lineRule="exact"/>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w:t>
      </w:r>
    </w:p>
    <w:p>
      <w:pPr>
        <w:spacing w:after="0" w:line="175" w:lineRule="exact"/>
        <w:rPr>
          <w:rFonts w:ascii="Arial" w:cs="Arial" w:eastAsia="Arial" w:hAnsi="Arial"/>
          <w:sz w:val="18"/>
          <w:szCs w:val="18"/>
          <w:color w:val="auto"/>
        </w:rPr>
      </w:pPr>
    </w:p>
    <w:p>
      <w:pPr>
        <w:ind w:left="980" w:right="280" w:hanging="329"/>
        <w:spacing w:after="0" w:line="235"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98" w:lineRule="exact"/>
        <w:rPr>
          <w:rFonts w:ascii="Arial" w:cs="Arial" w:eastAsia="Arial" w:hAnsi="Arial"/>
          <w:sz w:val="18"/>
          <w:szCs w:val="18"/>
          <w:color w:val="auto"/>
        </w:rPr>
      </w:pPr>
    </w:p>
    <w:p>
      <w:pPr>
        <w:ind w:left="980" w:right="500" w:hanging="329"/>
        <w:spacing w:after="0" w:line="275"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46"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We may take advantage of these exemptions until we are no longer an EGC. We would cease to be an EGC upon the earlier of: (i) the last day of the fiscal year in which we have total annual gross revenue of $1.07 billion or more; (ii) the last day of the fiscal year following the fifth anniversary of the date of the completion of our IPO, which is December 31, 2020;</w:t>
      </w:r>
    </w:p>
    <w:p>
      <w:pPr>
        <w:ind w:left="320" w:hanging="317"/>
        <w:spacing w:after="0" w:line="218"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during the previous three years; or</w:t>
      </w:r>
    </w:p>
    <w:p>
      <w:pPr>
        <w:ind w:right="60" w:firstLine="3"/>
        <w:spacing w:after="0" w:line="189" w:lineRule="exact"/>
        <w:tabs>
          <w:tab w:leader="none" w:pos="3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Securities and Exchange Commission or SEC, which means the first day of the year following the first year in which the market value of our common stock that is held by non</w:t>
      </w:r>
      <w:r>
        <w:rPr>
          <w:rFonts w:ascii="MS PGothic" w:cs="MS PGothic" w:eastAsia="MS PGothic" w:hAnsi="MS PGothic"/>
          <w:sz w:val="18"/>
          <w:szCs w:val="18"/>
          <w:color w:val="auto"/>
        </w:rPr>
        <w:t>‑</w:t>
      </w:r>
      <w:r>
        <w:rPr>
          <w:rFonts w:ascii="Arial" w:cs="Arial" w:eastAsia="Arial" w:hAnsi="Arial"/>
          <w:sz w:val="18"/>
          <w:szCs w:val="18"/>
          <w:color w:val="auto"/>
        </w:rPr>
        <w:t>affiliates exceeds $700.0 million as of June 30th.</w:t>
      </w:r>
    </w:p>
    <w:p>
      <w:pPr>
        <w:spacing w:after="0" w:line="163"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We expect to continue to take advantage of some, but not all, of the available exemptions. In particular, we have not included all of the executive compensation information that would be required if we were not an EGC. We cannot predict whether investors will find our common stock less attractive if we rely on certain or all of these exemptions.</w:t>
      </w:r>
    </w:p>
    <w:p>
      <w:pPr>
        <w:spacing w:after="0" w:line="147"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 If some investors find our common stock less attractive as a result, there may be a less active trading market for our common stock and our stock price may be more volatile and may decline.</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a public company, and particularly after we are no longer an EGC, we will incur significant legal, accounting and other expenses that we did not incur as a private company. In addition,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the Dodd-Frank Wall Street Form and Consumer Protection Act, and rules subsequently implemented by the SEC and The NASDAQ Stock Market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For example, these rules and regulations have made it more difficult and more expensive for us to obtain director and officer liability insurance, and we have been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66" w:lineRule="exact"/>
        <w:rPr>
          <w:sz w:val="20"/>
          <w:szCs w:val="20"/>
          <w:color w:val="auto"/>
        </w:rPr>
      </w:pPr>
    </w:p>
    <w:p>
      <w:pPr>
        <w:ind w:right="680"/>
        <w:spacing w:after="0" w:line="22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Provisions in our amended and restated certificate of incorporation and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65" w:lineRule="exact"/>
        <w:rPr>
          <w:sz w:val="20"/>
          <w:szCs w:val="20"/>
          <w:color w:val="auto"/>
        </w:rPr>
      </w:pPr>
    </w:p>
    <w:p>
      <w:pPr>
        <w:ind w:left="980" w:right="240" w:hanging="329"/>
        <w:spacing w:after="0" w:line="246"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members of the board is elected each year;</w:t>
      </w:r>
    </w:p>
    <w:p>
      <w:pPr>
        <w:spacing w:after="0" w:line="129"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169" w:lineRule="exact"/>
        <w:rPr>
          <w:rFonts w:ascii="Arial" w:cs="Arial" w:eastAsia="Arial" w:hAnsi="Arial"/>
          <w:sz w:val="17"/>
          <w:szCs w:val="17"/>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57" w:lineRule="exact"/>
        <w:rPr>
          <w:rFonts w:ascii="Arial" w:cs="Arial" w:eastAsia="Arial" w:hAnsi="Arial"/>
          <w:sz w:val="18"/>
          <w:szCs w:val="18"/>
          <w:color w:val="auto"/>
        </w:rPr>
      </w:pPr>
    </w:p>
    <w:p>
      <w:pPr>
        <w:ind w:left="980" w:right="240" w:hanging="329"/>
        <w:spacing w:after="0" w:line="246"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29" w:lineRule="exact"/>
        <w:rPr>
          <w:rFonts w:ascii="Arial" w:cs="Arial" w:eastAsia="Arial" w:hAnsi="Arial"/>
          <w:sz w:val="18"/>
          <w:szCs w:val="18"/>
          <w:color w:val="auto"/>
        </w:rPr>
      </w:pPr>
    </w:p>
    <w:p>
      <w:pPr>
        <w:ind w:left="980" w:right="240" w:hanging="329"/>
        <w:spacing w:after="0" w:line="246"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29"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57" w:lineRule="exact"/>
        <w:rPr>
          <w:rFonts w:ascii="Arial" w:cs="Arial" w:eastAsia="Arial" w:hAnsi="Arial"/>
          <w:sz w:val="18"/>
          <w:szCs w:val="18"/>
          <w:color w:val="auto"/>
        </w:rPr>
      </w:pPr>
    </w:p>
    <w:p>
      <w:pPr>
        <w:ind w:left="980" w:right="60" w:hanging="329"/>
        <w:spacing w:after="0" w:line="200" w:lineRule="exact"/>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w:t>
      </w:r>
      <w:r>
        <w:rPr>
          <w:rFonts w:ascii="MS PGothic" w:cs="MS PGothic" w:eastAsia="MS PGothic" w:hAnsi="MS PGothic"/>
          <w:sz w:val="18"/>
          <w:szCs w:val="18"/>
          <w:color w:val="auto"/>
        </w:rPr>
        <w:t>‑</w:t>
      </w:r>
      <w:r>
        <w:rPr>
          <w:rFonts w:ascii="Arial" w:cs="Arial" w:eastAsia="Arial" w:hAnsi="Arial"/>
          <w:sz w:val="18"/>
          <w:szCs w:val="18"/>
          <w:color w:val="auto"/>
        </w:rPr>
        <w:t>called “poison pill,” that would work to dilute the stock ownership of a potential hostile acquirer, effectively preventing acquisitions that have not been approved by our board of directors; and</w:t>
      </w:r>
    </w:p>
    <w:p>
      <w:pPr>
        <w:spacing w:after="0" w:line="134" w:lineRule="exact"/>
        <w:rPr>
          <w:rFonts w:ascii="Arial" w:cs="Arial" w:eastAsia="Arial" w:hAnsi="Arial"/>
          <w:sz w:val="18"/>
          <w:szCs w:val="18"/>
          <w:color w:val="auto"/>
        </w:rPr>
      </w:pPr>
    </w:p>
    <w:p>
      <w:pPr>
        <w:ind w:left="980" w:right="20" w:hanging="329"/>
        <w:spacing w:after="0" w:line="307"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require the approval of the holders of at least 75% of the votes that all our stockholders would be entitled to cast to amend or repeal certain provisions of our amended and restated certificate of incorporation or bylaws.</w:t>
      </w:r>
    </w:p>
    <w:p>
      <w:pPr>
        <w:spacing w:after="0" w:line="124" w:lineRule="exact"/>
        <w:rPr>
          <w:sz w:val="20"/>
          <w:szCs w:val="20"/>
          <w:color w:val="auto"/>
        </w:rPr>
      </w:pPr>
    </w:p>
    <w:p>
      <w:pPr>
        <w:ind w:right="540" w:firstLine="648"/>
        <w:spacing w:after="0" w:line="289"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379"/>
        <w:spacing w:after="0" w:line="224" w:lineRule="auto"/>
        <w:rPr>
          <w:sz w:val="20"/>
          <w:szCs w:val="20"/>
          <w:color w:val="auto"/>
        </w:rPr>
      </w:pPr>
      <w:r>
        <w:rPr>
          <w:rFonts w:ascii="Arial" w:cs="Arial" w:eastAsia="Arial" w:hAnsi="Arial"/>
          <w:sz w:val="18"/>
          <w:szCs w:val="18"/>
          <w:color w:val="auto"/>
        </w:rPr>
        <w:t>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3" w:lineRule="exact"/>
        <w:rPr>
          <w:sz w:val="20"/>
          <w:szCs w:val="20"/>
          <w:color w:val="auto"/>
        </w:rPr>
      </w:pPr>
    </w:p>
    <w:p>
      <w:pPr>
        <w:ind w:right="159"/>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19" w:firstLine="648"/>
        <w:spacing w:after="0" w:line="232"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Any person purchasing or otherwise acquiring any interest in any shares of our capital stock shall be deemed to have notice of and to have consented to this provision of our amended and restated certificate of incorporation. This choice of forum provision may limit a stockholder’s ability to bring a claim in a judicial forum that he, she or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certificate of incorporation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75" w:lineRule="exact"/>
        <w:rPr>
          <w:sz w:val="20"/>
          <w:szCs w:val="20"/>
          <w:color w:val="auto"/>
        </w:rPr>
      </w:pPr>
    </w:p>
    <w:p>
      <w:pPr>
        <w:ind w:right="939"/>
        <w:spacing w:after="0" w:line="23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162" w:lineRule="exact"/>
        <w:rPr>
          <w:sz w:val="20"/>
          <w:szCs w:val="20"/>
          <w:color w:val="auto"/>
        </w:rPr>
      </w:pPr>
    </w:p>
    <w:p>
      <w:pPr>
        <w:ind w:right="39" w:firstLine="648"/>
        <w:spacing w:after="0" w:line="21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2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unregistered sales of securities for the three months ended March 31, 2018.</w:t>
      </w:r>
    </w:p>
    <w:p>
      <w:pPr>
        <w:spacing w:after="0" w:line="1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89" w:lineRule="exact"/>
        <w:rPr>
          <w:sz w:val="20"/>
          <w:szCs w:val="20"/>
          <w:color w:val="auto"/>
        </w:rPr>
      </w:pPr>
    </w:p>
    <w:p>
      <w:pPr>
        <w:ind w:right="799" w:firstLine="648"/>
        <w:spacing w:after="0" w:line="235" w:lineRule="auto"/>
        <w:rPr>
          <w:sz w:val="20"/>
          <w:szCs w:val="20"/>
          <w:color w:val="auto"/>
        </w:rPr>
      </w:pPr>
      <w:r>
        <w:rPr>
          <w:rFonts w:ascii="Arial" w:cs="Arial" w:eastAsia="Arial" w:hAnsi="Arial"/>
          <w:sz w:val="18"/>
          <w:szCs w:val="18"/>
          <w:color w:val="auto"/>
        </w:rPr>
        <w:t>The exhibits filed or furnished as part of this Quarterly Report are set forth on the Exhibit Index, which is incorporated herein by reference.</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Incorporated by Reference to:</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8"/>
              </w:rPr>
              <w:t>Exhibit</w:t>
            </w:r>
          </w:p>
        </w:tc>
        <w:tc>
          <w:tcPr>
            <w:tcW w:w="1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Form or</w:t>
            </w:r>
          </w:p>
        </w:tc>
        <w:tc>
          <w:tcPr>
            <w:tcW w:w="106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auto"/>
                <w:w w:val="98"/>
              </w:rPr>
              <w:t>Exhibit</w:t>
            </w:r>
          </w:p>
        </w:tc>
        <w:tc>
          <w:tcPr>
            <w:tcW w:w="1140" w:type="dxa"/>
            <w:vAlign w:val="bottom"/>
          </w:tcPr>
          <w:p>
            <w:pPr>
              <w:jc w:val="center"/>
              <w:ind w:left="22"/>
              <w:spacing w:after="0" w:line="119" w:lineRule="exact"/>
              <w:rPr>
                <w:sz w:val="20"/>
                <w:szCs w:val="20"/>
                <w:color w:val="auto"/>
              </w:rPr>
            </w:pPr>
            <w:r>
              <w:rPr>
                <w:rFonts w:ascii="Arial" w:cs="Arial" w:eastAsia="Arial" w:hAnsi="Arial"/>
                <w:sz w:val="13"/>
                <w:szCs w:val="13"/>
                <w:b w:val="1"/>
                <w:bCs w:val="1"/>
                <w:color w:val="auto"/>
              </w:rPr>
              <w:t>Filing</w:t>
            </w:r>
          </w:p>
        </w:tc>
        <w:tc>
          <w:tcPr>
            <w:tcW w:w="94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w w:val="94"/>
              </w:rPr>
              <w:t>SEC File</w:t>
            </w:r>
          </w:p>
        </w:tc>
        <w:tc>
          <w:tcPr>
            <w:tcW w:w="0" w:type="dxa"/>
            <w:vAlign w:val="bottom"/>
          </w:tcPr>
          <w:p>
            <w:pPr>
              <w:spacing w:after="0"/>
              <w:rPr>
                <w:sz w:val="1"/>
                <w:szCs w:val="1"/>
                <w:color w:val="auto"/>
              </w:rPr>
            </w:pPr>
          </w:p>
        </w:tc>
      </w:tr>
      <w:tr>
        <w:trPr>
          <w:trHeight w:val="149"/>
        </w:trPr>
        <w:tc>
          <w:tcPr>
            <w:tcW w:w="98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2440" w:type="dxa"/>
            <w:vAlign w:val="bottom"/>
            <w:gridSpan w:val="11"/>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9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4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6"/>
              </w:rPr>
              <w:t>Date with</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7"/>
              </w:rPr>
              <w:t>No.</w:t>
            </w:r>
          </w:p>
        </w:tc>
        <w:tc>
          <w:tcPr>
            <w:tcW w:w="15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1"/>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06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7"/>
              </w:rPr>
              <w:t>No.</w:t>
            </w:r>
          </w:p>
        </w:tc>
        <w:tc>
          <w:tcPr>
            <w:tcW w:w="114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7"/>
              </w:rPr>
              <w:t>SEC</w:t>
            </w:r>
          </w:p>
        </w:tc>
        <w:tc>
          <w:tcPr>
            <w:tcW w:w="94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56"/>
        </w:trPr>
        <w:tc>
          <w:tcPr>
            <w:tcW w:w="980" w:type="dxa"/>
            <w:vAlign w:val="bottom"/>
          </w:tcPr>
          <w:p>
            <w:pPr>
              <w:jc w:val="center"/>
              <w:ind w:right="73"/>
              <w:spacing w:after="0" w:line="156" w:lineRule="exact"/>
              <w:rPr>
                <w:sz w:val="20"/>
                <w:szCs w:val="20"/>
                <w:color w:val="auto"/>
              </w:rPr>
            </w:pPr>
            <w:r>
              <w:rPr>
                <w:rFonts w:ascii="Arial" w:cs="Arial" w:eastAsia="Arial" w:hAnsi="Arial"/>
                <w:sz w:val="18"/>
                <w:szCs w:val="18"/>
                <w:color w:val="auto"/>
                <w:w w:val="85"/>
              </w:rPr>
              <w:t>10.1</w:t>
            </w:r>
          </w:p>
        </w:tc>
        <w:tc>
          <w:tcPr>
            <w:tcW w:w="4000" w:type="dxa"/>
            <w:vAlign w:val="bottom"/>
            <w:gridSpan w:val="12"/>
          </w:tcPr>
          <w:p>
            <w:pPr>
              <w:spacing w:after="0" w:line="156" w:lineRule="exact"/>
              <w:rPr>
                <w:rFonts w:ascii="Arial" w:cs="Arial" w:eastAsia="Arial" w:hAnsi="Arial"/>
                <w:sz w:val="18"/>
                <w:szCs w:val="18"/>
                <w:color w:val="0000EE"/>
              </w:rPr>
            </w:pPr>
            <w:hyperlink r:id="rId122">
              <w:r>
                <w:rPr>
                  <w:rFonts w:ascii="Arial" w:cs="Arial" w:eastAsia="Arial" w:hAnsi="Arial"/>
                  <w:sz w:val="18"/>
                  <w:szCs w:val="18"/>
                  <w:color w:val="0000EE"/>
                </w:rPr>
                <w:t>Second Amendment to Lease, by and between</w:t>
              </w:r>
            </w:hyperlink>
          </w:p>
        </w:tc>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9"/>
              </w:rPr>
              <w:t>8-K</w:t>
            </w:r>
          </w:p>
        </w:tc>
        <w:tc>
          <w:tcPr>
            <w:tcW w:w="1060" w:type="dxa"/>
            <w:vAlign w:val="bottom"/>
          </w:tcPr>
          <w:p>
            <w:pPr>
              <w:jc w:val="right"/>
              <w:ind w:right="261"/>
              <w:spacing w:after="0" w:line="156" w:lineRule="exact"/>
              <w:rPr>
                <w:sz w:val="20"/>
                <w:szCs w:val="20"/>
                <w:color w:val="auto"/>
              </w:rPr>
            </w:pPr>
            <w:r>
              <w:rPr>
                <w:rFonts w:ascii="Arial" w:cs="Arial" w:eastAsia="Arial" w:hAnsi="Arial"/>
                <w:sz w:val="18"/>
                <w:szCs w:val="18"/>
                <w:color w:val="auto"/>
              </w:rPr>
              <w:t>10.1</w:t>
            </w:r>
          </w:p>
        </w:tc>
        <w:tc>
          <w:tcPr>
            <w:tcW w:w="1140" w:type="dxa"/>
            <w:vAlign w:val="bottom"/>
          </w:tcPr>
          <w:p>
            <w:pPr>
              <w:jc w:val="right"/>
              <w:ind w:right="122"/>
              <w:spacing w:after="0" w:line="156" w:lineRule="exact"/>
              <w:rPr>
                <w:sz w:val="20"/>
                <w:szCs w:val="20"/>
                <w:color w:val="auto"/>
              </w:rPr>
            </w:pPr>
            <w:r>
              <w:rPr>
                <w:rFonts w:ascii="Arial" w:cs="Arial" w:eastAsia="Arial" w:hAnsi="Arial"/>
                <w:sz w:val="18"/>
                <w:szCs w:val="18"/>
                <w:color w:val="auto"/>
              </w:rPr>
              <w:t>2/7/2018</w:t>
            </w:r>
          </w:p>
        </w:tc>
        <w:tc>
          <w:tcPr>
            <w:tcW w:w="940" w:type="dxa"/>
            <w:vAlign w:val="bottom"/>
          </w:tcPr>
          <w:p>
            <w:pPr>
              <w:jc w:val="center"/>
              <w:ind w:left="39"/>
              <w:spacing w:after="0" w:line="156" w:lineRule="exact"/>
              <w:rPr>
                <w:sz w:val="20"/>
                <w:szCs w:val="20"/>
                <w:color w:val="auto"/>
              </w:rPr>
            </w:pPr>
            <w:r>
              <w:rPr>
                <w:rFonts w:ascii="Arial" w:cs="Arial" w:eastAsia="Arial" w:hAnsi="Arial"/>
                <w:sz w:val="18"/>
                <w:szCs w:val="18"/>
                <w:color w:val="auto"/>
                <w:w w:val="90"/>
              </w:rPr>
              <w:t>001-37625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000" w:type="dxa"/>
            <w:vAlign w:val="bottom"/>
            <w:gridSpan w:val="12"/>
          </w:tcPr>
          <w:p>
            <w:pPr>
              <w:spacing w:after="0" w:line="170" w:lineRule="exact"/>
              <w:rPr>
                <w:rFonts w:ascii="Arial" w:cs="Arial" w:eastAsia="Arial" w:hAnsi="Arial"/>
                <w:sz w:val="18"/>
                <w:szCs w:val="18"/>
                <w:color w:val="0000EE"/>
              </w:rPr>
            </w:pPr>
            <w:hyperlink r:id="rId122">
              <w:r>
                <w:rPr>
                  <w:rFonts w:ascii="Arial" w:cs="Arial" w:eastAsia="Arial" w:hAnsi="Arial"/>
                  <w:sz w:val="18"/>
                  <w:szCs w:val="18"/>
                  <w:color w:val="0000EE"/>
                </w:rPr>
                <w:t>Voyager Therapeutics, Inc. and UP 45/75 Sydney</w:t>
              </w:r>
            </w:hyperlink>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560" w:type="dxa"/>
            <w:vAlign w:val="bottom"/>
            <w:tcBorders>
              <w:top w:val="single" w:sz="8" w:color="0000EE"/>
            </w:tcBorders>
            <w:gridSpan w:val="6"/>
          </w:tcPr>
          <w:p>
            <w:pPr>
              <w:spacing w:after="0" w:line="170" w:lineRule="exact"/>
              <w:rPr>
                <w:rFonts w:ascii="Arial" w:cs="Arial" w:eastAsia="Arial" w:hAnsi="Arial"/>
                <w:sz w:val="18"/>
                <w:szCs w:val="18"/>
                <w:color w:val="0000EE"/>
              </w:rPr>
            </w:pPr>
            <w:hyperlink r:id="rId122">
              <w:r>
                <w:rPr>
                  <w:rFonts w:ascii="Arial" w:cs="Arial" w:eastAsia="Arial" w:hAnsi="Arial"/>
                  <w:sz w:val="18"/>
                  <w:szCs w:val="18"/>
                  <w:color w:val="0000EE"/>
                </w:rPr>
                <w:t>Street, LLC, dated February 5, 2018.</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center"/>
              <w:ind w:right="73"/>
              <w:spacing w:after="0"/>
              <w:rPr>
                <w:sz w:val="20"/>
                <w:szCs w:val="20"/>
                <w:color w:val="auto"/>
              </w:rPr>
            </w:pPr>
            <w:r>
              <w:rPr>
                <w:rFonts w:ascii="Arial" w:cs="Arial" w:eastAsia="Arial" w:hAnsi="Arial"/>
                <w:sz w:val="18"/>
                <w:szCs w:val="18"/>
                <w:color w:val="auto"/>
                <w:w w:val="93"/>
              </w:rPr>
              <w:t>10.2†</w:t>
            </w:r>
          </w:p>
        </w:tc>
        <w:tc>
          <w:tcPr>
            <w:tcW w:w="4000" w:type="dxa"/>
            <w:vAlign w:val="bottom"/>
            <w:gridSpan w:val="12"/>
          </w:tcPr>
          <w:p>
            <w:pPr>
              <w:spacing w:after="0"/>
              <w:rPr>
                <w:rFonts w:ascii="Arial" w:cs="Arial" w:eastAsia="Arial" w:hAnsi="Arial"/>
                <w:sz w:val="18"/>
                <w:szCs w:val="18"/>
                <w:color w:val="0000EE"/>
              </w:rPr>
            </w:pPr>
            <w:hyperlink r:id="rId123">
              <w:r>
                <w:rPr>
                  <w:rFonts w:ascii="Arial" w:cs="Arial" w:eastAsia="Arial" w:hAnsi="Arial"/>
                  <w:sz w:val="18"/>
                  <w:szCs w:val="18"/>
                  <w:color w:val="0000EE"/>
                </w:rPr>
                <w:t>Collaboration Agreement by and between the</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60" w:type="dxa"/>
            <w:vAlign w:val="bottom"/>
          </w:tcPr>
          <w:p>
            <w:pPr>
              <w:jc w:val="right"/>
              <w:ind w:right="201"/>
              <w:spacing w:after="0"/>
              <w:rPr>
                <w:sz w:val="20"/>
                <w:szCs w:val="20"/>
                <w:color w:val="auto"/>
              </w:rPr>
            </w:pPr>
            <w:r>
              <w:rPr>
                <w:rFonts w:ascii="Arial" w:cs="Arial" w:eastAsia="Arial" w:hAnsi="Arial"/>
                <w:sz w:val="18"/>
                <w:szCs w:val="18"/>
                <w:color w:val="auto"/>
              </w:rPr>
              <w:t>10.22</w:t>
            </w:r>
          </w:p>
        </w:tc>
        <w:tc>
          <w:tcPr>
            <w:tcW w:w="1140" w:type="dxa"/>
            <w:vAlign w:val="bottom"/>
          </w:tcPr>
          <w:p>
            <w:pPr>
              <w:jc w:val="right"/>
              <w:ind w:right="82"/>
              <w:spacing w:after="0"/>
              <w:rPr>
                <w:sz w:val="20"/>
                <w:szCs w:val="20"/>
                <w:color w:val="auto"/>
              </w:rPr>
            </w:pPr>
            <w:r>
              <w:rPr>
                <w:rFonts w:ascii="Arial" w:cs="Arial" w:eastAsia="Arial" w:hAnsi="Arial"/>
                <w:sz w:val="18"/>
                <w:szCs w:val="18"/>
                <w:color w:val="auto"/>
              </w:rPr>
              <w:t>3/14/2018</w:t>
            </w:r>
          </w:p>
        </w:tc>
        <w:tc>
          <w:tcPr>
            <w:tcW w:w="940" w:type="dxa"/>
            <w:vAlign w:val="bottom"/>
          </w:tcPr>
          <w:p>
            <w:pPr>
              <w:jc w:val="center"/>
              <w:ind w:left="39"/>
              <w:spacing w:after="0"/>
              <w:rPr>
                <w:sz w:val="20"/>
                <w:szCs w:val="20"/>
                <w:color w:val="auto"/>
              </w:rPr>
            </w:pPr>
            <w:r>
              <w:rPr>
                <w:rFonts w:ascii="Arial" w:cs="Arial" w:eastAsia="Arial" w:hAnsi="Arial"/>
                <w:sz w:val="18"/>
                <w:szCs w:val="18"/>
                <w:color w:val="auto"/>
                <w:w w:val="90"/>
              </w:rPr>
              <w:t>001-37625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000" w:type="dxa"/>
            <w:vAlign w:val="bottom"/>
            <w:gridSpan w:val="12"/>
          </w:tcPr>
          <w:p>
            <w:pPr>
              <w:spacing w:after="0" w:line="170" w:lineRule="exact"/>
              <w:rPr>
                <w:rFonts w:ascii="Arial" w:cs="Arial" w:eastAsia="Arial" w:hAnsi="Arial"/>
                <w:sz w:val="18"/>
                <w:szCs w:val="18"/>
                <w:color w:val="0000EE"/>
                <w:w w:val="97"/>
              </w:rPr>
            </w:pPr>
            <w:hyperlink r:id="rId123">
              <w:r>
                <w:rPr>
                  <w:rFonts w:ascii="Arial" w:cs="Arial" w:eastAsia="Arial" w:hAnsi="Arial"/>
                  <w:sz w:val="18"/>
                  <w:szCs w:val="18"/>
                  <w:color w:val="0000EE"/>
                  <w:w w:val="97"/>
                </w:rPr>
                <w:t>Registrant and AbbVie Biotechnology Ltd, dated as</w:t>
              </w:r>
            </w:hyperlink>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560" w:type="dxa"/>
            <w:vAlign w:val="bottom"/>
            <w:tcBorders>
              <w:top w:val="single" w:sz="8" w:color="0000EE"/>
              <w:bottom w:val="single" w:sz="8" w:color="0000EE"/>
            </w:tcBorders>
          </w:tcPr>
          <w:p>
            <w:pPr>
              <w:spacing w:after="0" w:line="170"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of February 16, 2018.</w:t>
              </w:r>
            </w:hyperlink>
          </w:p>
        </w:tc>
        <w:tc>
          <w:tcPr>
            <w:tcW w:w="2160" w:type="dxa"/>
            <w:vAlign w:val="bottom"/>
            <w:tcBorders>
              <w:top w:val="single" w:sz="8" w:color="0000EE"/>
            </w:tcBorders>
            <w:gridSpan w:val="8"/>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ind w:right="73"/>
              <w:spacing w:after="0"/>
              <w:rPr>
                <w:sz w:val="20"/>
                <w:szCs w:val="20"/>
                <w:color w:val="auto"/>
              </w:rPr>
            </w:pPr>
            <w:r>
              <w:rPr>
                <w:rFonts w:ascii="Arial" w:cs="Arial" w:eastAsia="Arial" w:hAnsi="Arial"/>
                <w:sz w:val="18"/>
                <w:szCs w:val="18"/>
                <w:color w:val="auto"/>
                <w:w w:val="85"/>
              </w:rPr>
              <w:t>31.1</w:t>
            </w:r>
          </w:p>
        </w:tc>
        <w:tc>
          <w:tcPr>
            <w:tcW w:w="4000" w:type="dxa"/>
            <w:vAlign w:val="bottom"/>
            <w:gridSpan w:val="12"/>
          </w:tcPr>
          <w:p>
            <w:pPr>
              <w:spacing w:after="0"/>
              <w:rPr>
                <w:rFonts w:ascii="Arial" w:cs="Arial" w:eastAsia="Arial" w:hAnsi="Arial"/>
                <w:sz w:val="18"/>
                <w:szCs w:val="18"/>
                <w:color w:val="0000EE"/>
                <w:w w:val="99"/>
              </w:rPr>
            </w:pPr>
            <w:hyperlink w:anchor="page104">
              <w:r>
                <w:rPr>
                  <w:rFonts w:ascii="Arial" w:cs="Arial" w:eastAsia="Arial" w:hAnsi="Arial"/>
                  <w:sz w:val="18"/>
                  <w:szCs w:val="18"/>
                  <w:color w:val="0000EE"/>
                  <w:w w:val="99"/>
                </w:rPr>
                <w:t>Certification of Chief Executive Officer pursuant to</w:t>
              </w:r>
            </w:hyperlink>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740" w:type="dxa"/>
            <w:vAlign w:val="bottom"/>
            <w:tcBorders>
              <w:top w:val="single" w:sz="8" w:color="0000EE"/>
            </w:tcBorders>
            <w:gridSpan w:val="10"/>
          </w:tcPr>
          <w:p>
            <w:pPr>
              <w:spacing w:after="0" w:line="170" w:lineRule="exact"/>
              <w:rPr>
                <w:rFonts w:ascii="Arial" w:cs="Arial" w:eastAsia="Arial" w:hAnsi="Arial"/>
                <w:sz w:val="18"/>
                <w:szCs w:val="18"/>
                <w:color w:val="0000EE"/>
              </w:rPr>
            </w:pPr>
            <w:hyperlink w:anchor="page104">
              <w:r>
                <w:rPr>
                  <w:rFonts w:ascii="Arial" w:cs="Arial" w:eastAsia="Arial" w:hAnsi="Arial"/>
                  <w:sz w:val="18"/>
                  <w:szCs w:val="18"/>
                  <w:color w:val="0000EE"/>
                </w:rPr>
                <w:t>Exchange Act Rules 13a-14 or 15d-14.</w:t>
              </w:r>
            </w:hyperlink>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center"/>
              <w:ind w:right="73"/>
              <w:spacing w:after="0"/>
              <w:rPr>
                <w:sz w:val="20"/>
                <w:szCs w:val="20"/>
                <w:color w:val="auto"/>
              </w:rPr>
            </w:pPr>
            <w:r>
              <w:rPr>
                <w:rFonts w:ascii="Arial" w:cs="Arial" w:eastAsia="Arial" w:hAnsi="Arial"/>
                <w:sz w:val="18"/>
                <w:szCs w:val="18"/>
                <w:color w:val="auto"/>
                <w:w w:val="85"/>
              </w:rPr>
              <w:t>31.2</w:t>
            </w:r>
          </w:p>
        </w:tc>
        <w:tc>
          <w:tcPr>
            <w:tcW w:w="4000" w:type="dxa"/>
            <w:vAlign w:val="bottom"/>
            <w:gridSpan w:val="12"/>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Certification of Chief Financial Officer pursuant to</w:t>
              </w:r>
            </w:hyperlink>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680" w:type="dxa"/>
            <w:vAlign w:val="bottom"/>
            <w:tcBorders>
              <w:top w:val="single" w:sz="8" w:color="0000EE"/>
            </w:tcBorders>
            <w:gridSpan w:val="7"/>
          </w:tcPr>
          <w:p>
            <w:pPr>
              <w:spacing w:after="0" w:line="170" w:lineRule="exact"/>
              <w:rPr>
                <w:rFonts w:ascii="Arial" w:cs="Arial" w:eastAsia="Arial" w:hAnsi="Arial"/>
                <w:sz w:val="18"/>
                <w:szCs w:val="18"/>
                <w:color w:val="0000EE"/>
              </w:rPr>
            </w:pPr>
            <w:hyperlink w:anchor="page105">
              <w:r>
                <w:rPr>
                  <w:rFonts w:ascii="Arial" w:cs="Arial" w:eastAsia="Arial" w:hAnsi="Arial"/>
                  <w:sz w:val="18"/>
                  <w:szCs w:val="18"/>
                  <w:color w:val="0000EE"/>
                </w:rPr>
                <w:t>Exchange Act Rules 13a-14 or 15d-14.</w:t>
              </w:r>
            </w:hyperlink>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center"/>
              <w:ind w:right="73"/>
              <w:spacing w:after="0"/>
              <w:rPr>
                <w:sz w:val="20"/>
                <w:szCs w:val="20"/>
                <w:color w:val="auto"/>
              </w:rPr>
            </w:pPr>
            <w:r>
              <w:rPr>
                <w:rFonts w:ascii="Arial" w:cs="Arial" w:eastAsia="Arial" w:hAnsi="Arial"/>
                <w:sz w:val="18"/>
                <w:szCs w:val="18"/>
                <w:color w:val="auto"/>
                <w:w w:val="92"/>
              </w:rPr>
              <w:t>32.1+</w:t>
            </w:r>
          </w:p>
        </w:tc>
        <w:tc>
          <w:tcPr>
            <w:tcW w:w="4000" w:type="dxa"/>
            <w:vAlign w:val="bottom"/>
            <w:gridSpan w:val="12"/>
          </w:tcPr>
          <w:p>
            <w:pPr>
              <w:spacing w:after="0"/>
              <w:rPr>
                <w:rFonts w:ascii="Arial" w:cs="Arial" w:eastAsia="Arial" w:hAnsi="Arial"/>
                <w:sz w:val="18"/>
                <w:szCs w:val="18"/>
                <w:color w:val="0000EE"/>
                <w:w w:val="96"/>
              </w:rPr>
            </w:pPr>
            <w:hyperlink w:anchor="page106">
              <w:r>
                <w:rPr>
                  <w:rFonts w:ascii="Arial" w:cs="Arial" w:eastAsia="Arial" w:hAnsi="Arial"/>
                  <w:sz w:val="18"/>
                  <w:szCs w:val="18"/>
                  <w:color w:val="0000EE"/>
                  <w:w w:val="96"/>
                </w:rPr>
                <w:t>Certification of Chief Executive Officer and Principal</w:t>
              </w:r>
            </w:hyperlink>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880" w:type="dxa"/>
            <w:vAlign w:val="bottom"/>
            <w:tcBorders>
              <w:top w:val="single" w:sz="8" w:color="0000EE"/>
            </w:tcBorders>
            <w:gridSpan w:val="11"/>
          </w:tcPr>
          <w:p>
            <w:pPr>
              <w:spacing w:after="0" w:line="170" w:lineRule="exact"/>
              <w:rPr>
                <w:rFonts w:ascii="Arial" w:cs="Arial" w:eastAsia="Arial" w:hAnsi="Arial"/>
                <w:sz w:val="18"/>
                <w:szCs w:val="18"/>
                <w:color w:val="0000EE"/>
                <w:w w:val="95"/>
              </w:rPr>
            </w:pPr>
            <w:hyperlink w:anchor="page106">
              <w:r>
                <w:rPr>
                  <w:rFonts w:ascii="Arial" w:cs="Arial" w:eastAsia="Arial" w:hAnsi="Arial"/>
                  <w:sz w:val="18"/>
                  <w:szCs w:val="18"/>
                  <w:color w:val="0000EE"/>
                  <w:w w:val="95"/>
                </w:rPr>
                <w:t>Chief Officer pursuant to Exchange Act Rules 13a-</w:t>
              </w:r>
            </w:hyperlink>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40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14(b) or 15d-14(b) and 18 U.S.C. Section 1350</w:t>
              </w:r>
            </w:hyperlink>
          </w:p>
        </w:tc>
        <w:tc>
          <w:tcPr>
            <w:tcW w:w="300" w:type="dxa"/>
            <w:vAlign w:val="bottom"/>
            <w:tcBorders>
              <w:top w:val="single" w:sz="8" w:color="0000EE"/>
            </w:tcBorders>
            <w:gridSpan w:val="3"/>
          </w:tcPr>
          <w:p>
            <w:pPr>
              <w:spacing w:after="0"/>
              <w:rPr>
                <w:sz w:val="14"/>
                <w:szCs w:val="14"/>
                <w:color w:val="auto"/>
              </w:rPr>
            </w:pPr>
          </w:p>
        </w:tc>
        <w:tc>
          <w:tcPr>
            <w:tcW w:w="300" w:type="dxa"/>
            <w:vAlign w:val="bottom"/>
            <w:gridSpan w:val="4"/>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ind w:right="73"/>
              <w:spacing w:after="0"/>
              <w:rPr>
                <w:sz w:val="20"/>
                <w:szCs w:val="20"/>
                <w:color w:val="auto"/>
              </w:rPr>
            </w:pPr>
            <w:r>
              <w:rPr>
                <w:rFonts w:ascii="Arial" w:cs="Arial" w:eastAsia="Arial" w:hAnsi="Arial"/>
                <w:sz w:val="18"/>
                <w:szCs w:val="18"/>
                <w:color w:val="auto"/>
                <w:w w:val="95"/>
              </w:rPr>
              <w:t>101.INS</w:t>
            </w:r>
          </w:p>
        </w:tc>
        <w:tc>
          <w:tcPr>
            <w:tcW w:w="40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80" w:type="dxa"/>
            <w:vAlign w:val="bottom"/>
          </w:tcPr>
          <w:p>
            <w:pPr>
              <w:jc w:val="center"/>
              <w:ind w:right="73"/>
              <w:spacing w:after="0"/>
              <w:rPr>
                <w:sz w:val="20"/>
                <w:szCs w:val="20"/>
                <w:color w:val="auto"/>
              </w:rPr>
            </w:pPr>
            <w:r>
              <w:rPr>
                <w:rFonts w:ascii="Arial" w:cs="Arial" w:eastAsia="Arial" w:hAnsi="Arial"/>
                <w:sz w:val="18"/>
                <w:szCs w:val="18"/>
                <w:color w:val="auto"/>
                <w:w w:val="90"/>
              </w:rPr>
              <w:t>101.SCH</w:t>
            </w:r>
          </w:p>
        </w:tc>
        <w:tc>
          <w:tcPr>
            <w:tcW w:w="40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jc w:val="center"/>
              <w:ind w:right="73"/>
              <w:spacing w:after="0"/>
              <w:rPr>
                <w:sz w:val="20"/>
                <w:szCs w:val="20"/>
                <w:color w:val="auto"/>
              </w:rPr>
            </w:pPr>
            <w:r>
              <w:rPr>
                <w:rFonts w:ascii="Arial" w:cs="Arial" w:eastAsia="Arial" w:hAnsi="Arial"/>
                <w:sz w:val="18"/>
                <w:szCs w:val="18"/>
                <w:color w:val="auto"/>
                <w:w w:val="94"/>
              </w:rPr>
              <w:t>101.CAL</w:t>
            </w:r>
          </w:p>
        </w:tc>
        <w:tc>
          <w:tcPr>
            <w:tcW w:w="4000" w:type="dxa"/>
            <w:vAlign w:val="bottom"/>
            <w:gridSpan w:val="12"/>
          </w:tcPr>
          <w:p>
            <w:pPr>
              <w:spacing w:after="0"/>
              <w:rPr>
                <w:sz w:val="20"/>
                <w:szCs w:val="20"/>
                <w:color w:val="auto"/>
              </w:rPr>
            </w:pPr>
            <w:r>
              <w:rPr>
                <w:rFonts w:ascii="Arial" w:cs="Arial" w:eastAsia="Arial" w:hAnsi="Arial"/>
                <w:sz w:val="18"/>
                <w:szCs w:val="18"/>
                <w:color w:val="auto"/>
                <w:w w:val="97"/>
              </w:rPr>
              <w:t>XBRL Taxonomy Extension Calculation Document.</w:t>
            </w: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80" w:type="dxa"/>
            <w:vAlign w:val="bottom"/>
          </w:tcPr>
          <w:p>
            <w:pPr>
              <w:jc w:val="center"/>
              <w:ind w:right="73"/>
              <w:spacing w:after="0" w:line="201" w:lineRule="exact"/>
              <w:rPr>
                <w:sz w:val="20"/>
                <w:szCs w:val="20"/>
                <w:color w:val="auto"/>
              </w:rPr>
            </w:pPr>
            <w:r>
              <w:rPr>
                <w:rFonts w:ascii="Arial" w:cs="Arial" w:eastAsia="Arial" w:hAnsi="Arial"/>
                <w:sz w:val="18"/>
                <w:szCs w:val="18"/>
                <w:color w:val="auto"/>
                <w:w w:val="95"/>
              </w:rPr>
              <w:t>101.LAB</w:t>
            </w:r>
          </w:p>
        </w:tc>
        <w:tc>
          <w:tcPr>
            <w:tcW w:w="4000" w:type="dxa"/>
            <w:vAlign w:val="bottom"/>
            <w:gridSpan w:val="12"/>
          </w:tcPr>
          <w:p>
            <w:pPr>
              <w:spacing w:after="0" w:line="201" w:lineRule="exact"/>
              <w:rPr>
                <w:sz w:val="20"/>
                <w:szCs w:val="20"/>
                <w:color w:val="auto"/>
              </w:rPr>
            </w:pPr>
            <w:r>
              <w:rPr>
                <w:rFonts w:ascii="Arial" w:cs="Arial" w:eastAsia="Arial" w:hAnsi="Arial"/>
                <w:sz w:val="18"/>
                <w:szCs w:val="18"/>
                <w:color w:val="auto"/>
              </w:rPr>
              <w:t>XBRL Taxonomy Extension Definition Linkbase</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0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80" w:type="dxa"/>
            <w:vAlign w:val="bottom"/>
          </w:tcPr>
          <w:p>
            <w:pPr>
              <w:jc w:val="center"/>
              <w:ind w:right="73"/>
              <w:spacing w:after="0" w:line="201" w:lineRule="exact"/>
              <w:rPr>
                <w:sz w:val="20"/>
                <w:szCs w:val="20"/>
                <w:color w:val="auto"/>
              </w:rPr>
            </w:pPr>
            <w:r>
              <w:rPr>
                <w:rFonts w:ascii="Arial" w:cs="Arial" w:eastAsia="Arial" w:hAnsi="Arial"/>
                <w:sz w:val="18"/>
                <w:szCs w:val="18"/>
                <w:color w:val="auto"/>
                <w:w w:val="91"/>
              </w:rPr>
              <w:t>101.PRE</w:t>
            </w:r>
          </w:p>
        </w:tc>
        <w:tc>
          <w:tcPr>
            <w:tcW w:w="4000" w:type="dxa"/>
            <w:vAlign w:val="bottom"/>
            <w:gridSpan w:val="12"/>
          </w:tcPr>
          <w:p>
            <w:pPr>
              <w:spacing w:after="0" w:line="201" w:lineRule="exact"/>
              <w:rPr>
                <w:sz w:val="20"/>
                <w:szCs w:val="20"/>
                <w:color w:val="auto"/>
              </w:rPr>
            </w:pPr>
            <w:r>
              <w:rPr>
                <w:rFonts w:ascii="Arial" w:cs="Arial" w:eastAsia="Arial" w:hAnsi="Arial"/>
                <w:sz w:val="18"/>
                <w:szCs w:val="18"/>
                <w:color w:val="auto"/>
              </w:rPr>
              <w:t>XBRL Taxonomy Extension Labels Linkbase</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0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80" w:type="dxa"/>
            <w:vAlign w:val="bottom"/>
          </w:tcPr>
          <w:p>
            <w:pPr>
              <w:jc w:val="center"/>
              <w:ind w:right="73"/>
              <w:spacing w:after="0" w:line="201" w:lineRule="exact"/>
              <w:rPr>
                <w:sz w:val="20"/>
                <w:szCs w:val="20"/>
                <w:color w:val="auto"/>
              </w:rPr>
            </w:pPr>
            <w:r>
              <w:rPr>
                <w:rFonts w:ascii="Arial" w:cs="Arial" w:eastAsia="Arial" w:hAnsi="Arial"/>
                <w:sz w:val="18"/>
                <w:szCs w:val="18"/>
                <w:color w:val="auto"/>
                <w:w w:val="92"/>
              </w:rPr>
              <w:t>101.DEF</w:t>
            </w:r>
          </w:p>
        </w:tc>
        <w:tc>
          <w:tcPr>
            <w:tcW w:w="4000" w:type="dxa"/>
            <w:vAlign w:val="bottom"/>
            <w:gridSpan w:val="12"/>
          </w:tcPr>
          <w:p>
            <w:pPr>
              <w:spacing w:after="0" w:line="201" w:lineRule="exact"/>
              <w:rPr>
                <w:sz w:val="20"/>
                <w:szCs w:val="20"/>
                <w:color w:val="auto"/>
              </w:rPr>
            </w:pPr>
            <w:r>
              <w:rPr>
                <w:rFonts w:ascii="Arial" w:cs="Arial" w:eastAsia="Arial" w:hAnsi="Arial"/>
                <w:sz w:val="18"/>
                <w:szCs w:val="18"/>
                <w:color w:val="auto"/>
              </w:rPr>
              <w:t>XBRL Taxonomy Extension Presentation Link</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0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8" w:lineRule="exact"/>
        <w:rPr>
          <w:sz w:val="20"/>
          <w:szCs w:val="20"/>
          <w:color w:val="auto"/>
        </w:rPr>
      </w:pPr>
    </w:p>
    <w:p>
      <w:pPr>
        <w:ind w:left="320" w:right="340" w:hanging="317"/>
        <w:spacing w:after="0" w:line="212" w:lineRule="auto"/>
        <w:tabs>
          <w:tab w:leader="none" w:pos="3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1" w:lineRule="exact"/>
        <w:rPr>
          <w:sz w:val="20"/>
          <w:szCs w:val="20"/>
          <w:color w:val="auto"/>
        </w:rPr>
      </w:pPr>
    </w:p>
    <w:p>
      <w:pPr>
        <w:jc w:val="both"/>
        <w:ind w:left="320" w:right="300" w:hanging="317"/>
        <w:spacing w:after="0" w:line="189" w:lineRule="exact"/>
        <w:tabs>
          <w:tab w:leader="none" w:pos="314"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The certification furnished in Exhibit 32.1 hereto is deemed to be furnished with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to be “filed” for purposes of Section 18 of the Securities Exchange Act of 1934, as amended, except to the extent that the Registrant specifically incorporates it by reference.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8"/>
          <w:szCs w:val="18"/>
          <w:b w:val="1"/>
          <w:bCs w:val="1"/>
          <w:color w:val="auto"/>
        </w:rPr>
        <w:t>VOYAGER THERAPEUTICS, INC.</w:t>
      </w:r>
    </w:p>
    <w:p>
      <w:pPr>
        <w:spacing w:after="0" w:line="297" w:lineRule="exact"/>
        <w:rPr>
          <w:sz w:val="20"/>
          <w:szCs w:val="20"/>
          <w:color w:val="auto"/>
        </w:rPr>
      </w:pPr>
    </w:p>
    <w:p>
      <w:pPr>
        <w:ind w:left="468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Steven M. Paul,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6350</wp:posOffset>
            </wp:positionV>
            <wp:extent cx="26073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Steven M. Paul, M.D.</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 President, and Director</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Executive Officer)</w:t>
      </w:r>
    </w:p>
    <w:p>
      <w:pPr>
        <w:spacing w:after="0" w:line="292" w:lineRule="exact"/>
        <w:rPr>
          <w:sz w:val="20"/>
          <w:szCs w:val="20"/>
          <w:color w:val="auto"/>
        </w:rPr>
      </w:pPr>
    </w:p>
    <w:p>
      <w:pPr>
        <w:ind w:left="468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Jane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6350</wp:posOffset>
            </wp:positionV>
            <wp:extent cx="26073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Jane Henderson</w:t>
      </w:r>
    </w:p>
    <w:p>
      <w:pPr>
        <w:ind w:left="5120"/>
        <w:spacing w:after="0"/>
        <w:rPr>
          <w:sz w:val="20"/>
          <w:szCs w:val="20"/>
          <w:color w:val="auto"/>
        </w:rPr>
      </w:pPr>
      <w:r>
        <w:rPr>
          <w:rFonts w:ascii="Arial" w:cs="Arial" w:eastAsia="Arial" w:hAnsi="Arial"/>
          <w:sz w:val="16"/>
          <w:szCs w:val="16"/>
          <w:color w:val="auto"/>
        </w:rPr>
        <w:t>Chief Financial Officer and Senior Vice President of</w:t>
      </w:r>
    </w:p>
    <w:p>
      <w:pPr>
        <w:spacing w:after="0" w:line="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Corporate Development</w:t>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M. Paul, certify that:</w:t>
      </w:r>
    </w:p>
    <w:p>
      <w:pPr>
        <w:spacing w:after="0" w:line="225" w:lineRule="exact"/>
        <w:rPr>
          <w:sz w:val="20"/>
          <w:szCs w:val="20"/>
          <w:color w:val="auto"/>
        </w:rPr>
      </w:pPr>
    </w:p>
    <w:p>
      <w:pPr>
        <w:ind w:left="340" w:hanging="337"/>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2018 of Voyager Therapeutics, Inc.;</w:t>
      </w:r>
    </w:p>
    <w:p>
      <w:pPr>
        <w:spacing w:after="0" w:line="248" w:lineRule="exact"/>
        <w:rPr>
          <w:rFonts w:ascii="Arial" w:cs="Arial" w:eastAsia="Arial" w:hAnsi="Arial"/>
          <w:sz w:val="16"/>
          <w:szCs w:val="16"/>
          <w:color w:val="auto"/>
        </w:rPr>
      </w:pPr>
    </w:p>
    <w:p>
      <w:pPr>
        <w:jc w:val="both"/>
        <w:ind w:left="340" w:right="180" w:hanging="337"/>
        <w:spacing w:after="0" w:line="264"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40" w:right="140" w:hanging="337"/>
        <w:spacing w:after="0" w:line="264"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40" w:right="80" w:hanging="337"/>
        <w:spacing w:after="0" w:line="286"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60" w:right="40" w:hanging="333"/>
        <w:spacing w:after="0" w:line="259"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80" w:right="120" w:hanging="353"/>
        <w:spacing w:after="0" w:line="259" w:lineRule="auto"/>
        <w:tabs>
          <w:tab w:leader="none" w:pos="6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60" w:right="60" w:hanging="333"/>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60" w:right="180" w:hanging="333"/>
        <w:spacing w:after="0" w:line="259"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40" w:right="20" w:hanging="337"/>
        <w:spacing w:after="0" w:line="264"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60" w:right="240" w:hanging="333"/>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60" w:right="60" w:hanging="333"/>
        <w:spacing w:after="0" w:line="277"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Steven M.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23495</wp:posOffset>
            </wp:positionV>
            <wp:extent cx="2727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Steven M. Paul</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Jane Henderson, certify that:</w:t>
      </w:r>
    </w:p>
    <w:p>
      <w:pPr>
        <w:spacing w:after="0" w:line="225" w:lineRule="exact"/>
        <w:rPr>
          <w:sz w:val="20"/>
          <w:szCs w:val="20"/>
          <w:color w:val="auto"/>
        </w:rPr>
      </w:pPr>
    </w:p>
    <w:p>
      <w:pPr>
        <w:ind w:left="320" w:hanging="317"/>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2018 of Voyager Therapeutics, Inc.;</w:t>
      </w:r>
    </w:p>
    <w:p>
      <w:pPr>
        <w:spacing w:after="0" w:line="248" w:lineRule="exact"/>
        <w:rPr>
          <w:rFonts w:ascii="Arial" w:cs="Arial" w:eastAsia="Arial" w:hAnsi="Arial"/>
          <w:sz w:val="16"/>
          <w:szCs w:val="16"/>
          <w:color w:val="auto"/>
        </w:rPr>
      </w:pPr>
    </w:p>
    <w:p>
      <w:pPr>
        <w:jc w:val="both"/>
        <w:ind w:left="320" w:right="200" w:hanging="317"/>
        <w:spacing w:after="0" w:line="264" w:lineRule="auto"/>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20" w:right="160" w:hanging="317"/>
        <w:spacing w:after="0" w:line="264" w:lineRule="auto"/>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20" w:right="80" w:hanging="317"/>
        <w:spacing w:after="0" w:line="286" w:lineRule="auto"/>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60" w:right="40" w:hanging="333"/>
        <w:spacing w:after="0" w:line="259"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60" w:right="20" w:hanging="333"/>
        <w:spacing w:after="0" w:line="259"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60" w:right="60" w:hanging="333"/>
        <w:spacing w:after="0" w:line="264"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60" w:right="180" w:hanging="333"/>
        <w:spacing w:after="0" w:line="259"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20" w:right="20" w:hanging="317"/>
        <w:spacing w:after="0" w:line="264" w:lineRule="auto"/>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60" w:right="240" w:hanging="333"/>
        <w:spacing w:after="0" w:line="264"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60" w:right="60" w:hanging="333"/>
        <w:spacing w:after="0" w:line="277"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5"/>
          <w:szCs w:val="15"/>
          <w:color w:val="auto"/>
        </w:rPr>
        <w:t>/s/ Jane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Jane Henderson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Chief Financial Officer and Senior Vice President 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Corporate Development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connection with the Quarterly Report on Form 10-Q of Voyager Therapeutics, Inc. (the “Company”) for the period ended March 31, 2018, as filed with the Securities and Exchange Commission on the date hereof (the “Report”), each of the undersigned officers hereby certifies, pursuant to 18 U.S.C. Section 1350, as adopted pursuant to Section 906 of the Sarbanes-Oxley Act of 2002 that to his or her knowledge:</w:t>
      </w:r>
    </w:p>
    <w:p>
      <w:pPr>
        <w:spacing w:after="0" w:line="92" w:lineRule="exact"/>
        <w:rPr>
          <w:sz w:val="20"/>
          <w:szCs w:val="20"/>
          <w:color w:val="auto"/>
        </w:rPr>
      </w:pPr>
    </w:p>
    <w:p>
      <w:pPr>
        <w:ind w:left="320" w:right="500" w:hanging="317"/>
        <w:spacing w:after="0" w:line="277"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320" w:right="380" w:hanging="317"/>
        <w:spacing w:after="0" w:line="277"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/s/ Steven M.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Steven M. Paul</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5"/>
          <w:szCs w:val="15"/>
          <w:color w:val="auto"/>
        </w:rPr>
        <w:t>/s/ Jane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Jane Henderson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Chief Financial Officer and Senior Vice President 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Corporate Development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lowerRoman"/>
      <w:start w:val="1"/>
    </w:lvl>
  </w:abstractNum>
  <w:abstractNum w:abstractNumId="5">
    <w:nsid w:val="1E7FF521"/>
    <w:multiLevelType w:val="hybridMultilevel"/>
    <w:lvl w:ilvl="0">
      <w:lvlJc w:val="left"/>
      <w:lvlText w:val="%1."/>
      <w:numFmt w:val="decimal"/>
      <w:start w:val="3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Roman"/>
      <w:start w:val="3"/>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22" Type="http://schemas.openxmlformats.org/officeDocument/2006/relationships/hyperlink" Target="http://www.sec.gov/Archives/edgar/data/1640266/000110465918007228/a18-5526_1ex10d1.htm" TargetMode="External"/><Relationship Id="rId123" Type="http://schemas.openxmlformats.org/officeDocument/2006/relationships/hyperlink" Target="http://www.sec.gov/Archives/edgar/data/1640266/000155837018002038/vygr-20171231ex10229c9c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2019-12-28T22:11:15Z</dcterms:created>
  <dcterms:modified xsi:type="dcterms:W3CDTF">2019-12-28T22:11:15Z</dcterms:modified>
</cp:coreProperties>
</file>