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vygr-20260630.htm"/>
        <w:bookmarkStart w:id="1" w:name="ksvygr20260630"/>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page">
                  <wp:posOffset>3707130</wp:posOffset>
                </wp:positionH>
                <wp:positionV relativeFrom="page">
                  <wp:posOffset>9243695</wp:posOffset>
                </wp:positionV>
                <wp:extent cx="355600" cy="194310"/>
                <wp:effectExtent l="0" t="0" r="0" b="0"/>
                <wp:wrapNone/>
                <wp:docPr id="1" name="Frame14"/>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203200</wp:posOffset>
                </wp:positionH>
                <wp:positionV relativeFrom="page">
                  <wp:posOffset>116205</wp:posOffset>
                </wp:positionV>
                <wp:extent cx="3203575" cy="184150"/>
                <wp:effectExtent l="0" t="0" r="0" b="0"/>
                <wp:wrapNone/>
                <wp:docPr id="2" name="Frame1"/>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3835400</wp:posOffset>
                </wp:positionH>
                <wp:positionV relativeFrom="page">
                  <wp:posOffset>9243695</wp:posOffset>
                </wp:positionV>
                <wp:extent cx="101600" cy="194310"/>
                <wp:effectExtent l="0" t="0" r="0" b="0"/>
                <wp:wrapNone/>
                <wp:docPr id="3" name="Frame2"/>
                <a:graphic xmlns:a="http://schemas.openxmlformats.org/drawingml/2006/main">
                  <a:graphicData uri="http://schemas.microsoft.com/office/word/2010/wordprocessingShape">
                    <wps:wsp>
                      <wps:cNvSpPr txBox="1"/>
                      <wps:spPr>
                        <a:xfrm>
                          <a:off x="0" y="0"/>
                          <a:ext cx="101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1</w:t>
                            </w:r>
                          </w:p>
                        </w:txbxContent>
                      </wps:txbx>
                      <wps:bodyPr anchor="t" lIns="0" tIns="0" rIns="0" bIns="0">
                        <a:noAutofit/>
                      </wps:bodyPr>
                    </wps:wsp>
                  </a:graphicData>
                </a:graphic>
              </wp:anchor>
            </w:drawing>
          </mc:Choice>
          <mc:Fallback>
            <w:pict>
              <v:rect style="position:absolute;rotation:-0;width:8pt;height:15.3pt;mso-wrap-distance-left:0pt;mso-wrap-distance-right:0pt;mso-wrap-distance-top:0pt;mso-wrap-distance-bottom:0pt;margin-top:727.85pt;mso-position-vertical-relative:page;margin-left:302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1</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203200</wp:posOffset>
                </wp:positionH>
                <wp:positionV relativeFrom="page">
                  <wp:posOffset>116205</wp:posOffset>
                </wp:positionV>
                <wp:extent cx="3203575" cy="184150"/>
                <wp:effectExtent l="0" t="0" r="0" b="0"/>
                <wp:wrapNone/>
                <wp:docPr id="4" name="Frame3"/>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3707130</wp:posOffset>
                </wp:positionH>
                <wp:positionV relativeFrom="page">
                  <wp:posOffset>9243695</wp:posOffset>
                </wp:positionV>
                <wp:extent cx="355600" cy="194310"/>
                <wp:effectExtent l="0" t="0" r="0" b="0"/>
                <wp:wrapNone/>
                <wp:docPr id="5" name="Frame4"/>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203200</wp:posOffset>
                </wp:positionH>
                <wp:positionV relativeFrom="page">
                  <wp:posOffset>116205</wp:posOffset>
                </wp:positionV>
                <wp:extent cx="3203575" cy="184150"/>
                <wp:effectExtent l="0" t="0" r="0" b="0"/>
                <wp:wrapNone/>
                <wp:docPr id="6" name="Frame5"/>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3707130</wp:posOffset>
                </wp:positionH>
                <wp:positionV relativeFrom="page">
                  <wp:posOffset>9243695</wp:posOffset>
                </wp:positionV>
                <wp:extent cx="355600" cy="194310"/>
                <wp:effectExtent l="0" t="0" r="0" b="0"/>
                <wp:wrapNone/>
                <wp:docPr id="7" name="Frame6"/>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203200</wp:posOffset>
                </wp:positionH>
                <wp:positionV relativeFrom="page">
                  <wp:posOffset>116205</wp:posOffset>
                </wp:positionV>
                <wp:extent cx="3203575" cy="184150"/>
                <wp:effectExtent l="0" t="0" r="0" b="0"/>
                <wp:wrapNone/>
                <wp:docPr id="8" name="Frame7"/>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3707130</wp:posOffset>
                </wp:positionH>
                <wp:positionV relativeFrom="page">
                  <wp:posOffset>9243695</wp:posOffset>
                </wp:positionV>
                <wp:extent cx="355600" cy="194310"/>
                <wp:effectExtent l="0" t="0" r="0" b="0"/>
                <wp:wrapNone/>
                <wp:docPr id="9" name="Frame8"/>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203200</wp:posOffset>
                </wp:positionH>
                <wp:positionV relativeFrom="page">
                  <wp:posOffset>116205</wp:posOffset>
                </wp:positionV>
                <wp:extent cx="3203575" cy="184150"/>
                <wp:effectExtent l="0" t="0" r="0" b="0"/>
                <wp:wrapNone/>
                <wp:docPr id="10" name="Frame9"/>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3707130</wp:posOffset>
                </wp:positionH>
                <wp:positionV relativeFrom="page">
                  <wp:posOffset>9243695</wp:posOffset>
                </wp:positionV>
                <wp:extent cx="355600" cy="194310"/>
                <wp:effectExtent l="0" t="0" r="0" b="0"/>
                <wp:wrapNone/>
                <wp:docPr id="11" name="Frame10"/>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203200</wp:posOffset>
                </wp:positionH>
                <wp:positionV relativeFrom="page">
                  <wp:posOffset>116205</wp:posOffset>
                </wp:positionV>
                <wp:extent cx="3203575" cy="184150"/>
                <wp:effectExtent l="0" t="0" r="0" b="0"/>
                <wp:wrapNone/>
                <wp:docPr id="12" name="Frame11"/>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3707130</wp:posOffset>
                </wp:positionH>
                <wp:positionV relativeFrom="page">
                  <wp:posOffset>9243695</wp:posOffset>
                </wp:positionV>
                <wp:extent cx="355600" cy="194310"/>
                <wp:effectExtent l="0" t="0" r="0" b="0"/>
                <wp:wrapNone/>
                <wp:docPr id="13" name="Frame12"/>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203200</wp:posOffset>
                </wp:positionH>
                <wp:positionV relativeFrom="page">
                  <wp:posOffset>116205</wp:posOffset>
                </wp:positionV>
                <wp:extent cx="3203575" cy="184150"/>
                <wp:effectExtent l="0" t="0" r="0" b="0"/>
                <wp:wrapNone/>
                <wp:docPr id="14" name="Frame13"/>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203200</wp:posOffset>
                </wp:positionH>
                <wp:positionV relativeFrom="page">
                  <wp:posOffset>116205</wp:posOffset>
                </wp:positionV>
                <wp:extent cx="3203575" cy="184150"/>
                <wp:effectExtent l="0" t="0" r="0" b="0"/>
                <wp:wrapNone/>
                <wp:docPr id="15" name="Frame27"/>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203200</wp:posOffset>
                </wp:positionH>
                <wp:positionV relativeFrom="page">
                  <wp:posOffset>116205</wp:posOffset>
                </wp:positionV>
                <wp:extent cx="3203575" cy="184150"/>
                <wp:effectExtent l="0" t="0" r="0" b="0"/>
                <wp:wrapNone/>
                <wp:docPr id="16" name="Frame15"/>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3707130</wp:posOffset>
                </wp:positionH>
                <wp:positionV relativeFrom="page">
                  <wp:posOffset>9243695</wp:posOffset>
                </wp:positionV>
                <wp:extent cx="355600" cy="194310"/>
                <wp:effectExtent l="0" t="0" r="0" b="0"/>
                <wp:wrapNone/>
                <wp:docPr id="17" name="Frame16"/>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203200</wp:posOffset>
                </wp:positionH>
                <wp:positionV relativeFrom="page">
                  <wp:posOffset>116205</wp:posOffset>
                </wp:positionV>
                <wp:extent cx="3203575" cy="184150"/>
                <wp:effectExtent l="0" t="0" r="0" b="0"/>
                <wp:wrapNone/>
                <wp:docPr id="18" name="Frame17"/>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3707130</wp:posOffset>
                </wp:positionH>
                <wp:positionV relativeFrom="page">
                  <wp:posOffset>9243695</wp:posOffset>
                </wp:positionV>
                <wp:extent cx="355600" cy="194310"/>
                <wp:effectExtent l="0" t="0" r="0" b="0"/>
                <wp:wrapNone/>
                <wp:docPr id="19" name="Frame18"/>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203200</wp:posOffset>
                </wp:positionH>
                <wp:positionV relativeFrom="page">
                  <wp:posOffset>116205</wp:posOffset>
                </wp:positionV>
                <wp:extent cx="3203575" cy="184150"/>
                <wp:effectExtent l="0" t="0" r="0" b="0"/>
                <wp:wrapNone/>
                <wp:docPr id="20" name="Frame19"/>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3707130</wp:posOffset>
                </wp:positionH>
                <wp:positionV relativeFrom="page">
                  <wp:posOffset>9243695</wp:posOffset>
                </wp:positionV>
                <wp:extent cx="355600" cy="194310"/>
                <wp:effectExtent l="0" t="0" r="0" b="0"/>
                <wp:wrapNone/>
                <wp:docPr id="21" name="Frame20"/>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203200</wp:posOffset>
                </wp:positionH>
                <wp:positionV relativeFrom="page">
                  <wp:posOffset>116205</wp:posOffset>
                </wp:positionV>
                <wp:extent cx="3203575" cy="184150"/>
                <wp:effectExtent l="0" t="0" r="0" b="0"/>
                <wp:wrapNone/>
                <wp:docPr id="22" name="Frame21"/>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3707130</wp:posOffset>
                </wp:positionH>
                <wp:positionV relativeFrom="page">
                  <wp:posOffset>9243695</wp:posOffset>
                </wp:positionV>
                <wp:extent cx="355600" cy="194310"/>
                <wp:effectExtent l="0" t="0" r="0" b="0"/>
                <wp:wrapNone/>
                <wp:docPr id="23" name="Frame22"/>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203200</wp:posOffset>
                </wp:positionH>
                <wp:positionV relativeFrom="page">
                  <wp:posOffset>116205</wp:posOffset>
                </wp:positionV>
                <wp:extent cx="3203575" cy="184150"/>
                <wp:effectExtent l="0" t="0" r="0" b="0"/>
                <wp:wrapNone/>
                <wp:docPr id="24" name="Frame23"/>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3707130</wp:posOffset>
                </wp:positionH>
                <wp:positionV relativeFrom="page">
                  <wp:posOffset>9243695</wp:posOffset>
                </wp:positionV>
                <wp:extent cx="355600" cy="194310"/>
                <wp:effectExtent l="0" t="0" r="0" b="0"/>
                <wp:wrapNone/>
                <wp:docPr id="25" name="Frame24"/>
                <a:graphic xmlns:a="http://schemas.openxmlformats.org/drawingml/2006/main">
                  <a:graphicData uri="http://schemas.microsoft.com/office/word/2010/wordprocessingShape">
                    <wps:wsp>
                      <wps:cNvSpPr txBox="1"/>
                      <wps:spPr>
                        <a:xfrm>
                          <a:off x="0" y="0"/>
                          <a:ext cx="355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8pt;height:15.3pt;mso-wrap-distance-left:0pt;mso-wrap-distance-right:0pt;mso-wrap-distance-top:0pt;mso-wrap-distance-bottom:0pt;margin-top:727.85pt;mso-position-vertical-relative:page;margin-left:291.9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203200</wp:posOffset>
                </wp:positionH>
                <wp:positionV relativeFrom="page">
                  <wp:posOffset>116205</wp:posOffset>
                </wp:positionV>
                <wp:extent cx="3203575" cy="184150"/>
                <wp:effectExtent l="0" t="0" r="0" b="0"/>
                <wp:wrapNone/>
                <wp:docPr id="26" name="Frame25"/>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203200</wp:posOffset>
                </wp:positionH>
                <wp:positionV relativeFrom="page">
                  <wp:posOffset>116205</wp:posOffset>
                </wp:positionV>
                <wp:extent cx="3203575" cy="184150"/>
                <wp:effectExtent l="0" t="0" r="0" b="0"/>
                <wp:wrapNone/>
                <wp:docPr id="27" name="Frame26"/>
                <a:graphic xmlns:a="http://schemas.openxmlformats.org/drawingml/2006/main">
                  <a:graphicData uri="http://schemas.microsoft.com/office/word/2010/wordprocessingShape">
                    <wps:wsp>
                      <wps:cNvSpPr txBox="1"/>
                      <wps:spPr>
                        <a:xfrm>
                          <a:off x="0" y="0"/>
                          <a:ext cx="3203575"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252.25pt;height:14.5pt;mso-wrap-distance-left:0pt;mso-wrap-distance-right:0pt;mso-wrap-distance-top:0pt;mso-wrap-distance-bottom:0pt;margin-top:9.15pt;mso-position-vertical-relative:page;margin-left:16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p>
    <w:p>
      <w:pPr>
        <w:pStyle w:val="TextBody"/>
        <w:bidi w:val="0"/>
        <w:jc w:val="left"/>
        <w:rPr/>
      </w:pPr>
      <w:r>
        <w:rPr/>
        <w:t> </w:t>
      </w:r>
    </w:p>
    <w:p>
      <w:pPr>
        <w:pStyle w:val="TextBody"/>
        <w:pBdr>
          <w:top w:val="single" w:sz="12" w:space="1" w:color="000000"/>
        </w:pBdr>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For the quarterly period ended June 30, 2026</w:t>
      </w:r>
      <w:r>
        <w:rPr>
          <w:rFonts w:ascii="Times New Roman" w:hAnsi="Times New Roman"/>
          <w:color w:val="000000"/>
          <w:sz w:val="16"/>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transition period from ______ to ______</w:t>
      </w:r>
    </w:p>
    <w:p>
      <w:pPr>
        <w:pStyle w:val="TextBody"/>
        <w:bidi w:val="0"/>
        <w:spacing w:before="176" w:after="283"/>
        <w:jc w:val="center"/>
        <w:rPr>
          <w:rFonts w:ascii="Times New Roman" w:hAnsi="Times New Roman"/>
          <w:b/>
          <w:color w:val="000000"/>
          <w:sz w:val="16"/>
        </w:rPr>
      </w:pPr>
      <w:r>
        <w:rPr>
          <w:rFonts w:ascii="Times New Roman" w:hAnsi="Times New Roman"/>
          <w:b/>
          <w:color w:val="000000"/>
          <w:sz w:val="16"/>
        </w:rPr>
        <w:t>Commission file number: 001-37625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Voyager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388" w:type="dxa"/>
        <w:jc w:val="left"/>
        <w:tblInd w:w="0" w:type="dxa"/>
        <w:tblLayout w:type="fixed"/>
        <w:tblCellMar>
          <w:top w:w="28" w:type="dxa"/>
          <w:left w:w="28" w:type="dxa"/>
          <w:bottom w:w="28" w:type="dxa"/>
          <w:right w:w="28" w:type="dxa"/>
        </w:tblCellMar>
      </w:tblPr>
      <w:tblGrid>
        <w:gridCol w:w="2146"/>
        <w:gridCol w:w="146"/>
        <w:gridCol w:w="109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46-3003182</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(State or other jurisdiction of</w:t>
              <w:br/>
              <w:t>incorporation or 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(I.R.S. Employer</w:t>
              <w:br/>
              <w:t>Identification No.)</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75 Hayden Avenue, </w:t>
              <w:br/>
              <w:t>Lexington, 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02421</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76" w:after="283"/>
        <w:jc w:val="center"/>
        <w:rPr>
          <w:rFonts w:ascii="Times New Roman" w:hAnsi="Times New Roman"/>
          <w:b/>
          <w:color w:val="000000"/>
          <w:sz w:val="16"/>
        </w:rPr>
      </w:pPr>
      <w:r>
        <w:rPr>
          <w:rFonts w:ascii="Times New Roman" w:hAnsi="Times New Roman"/>
          <w:b/>
          <w:color w:val="000000"/>
          <w:sz w:val="16"/>
        </w:rPr>
        <w:t>(857) 259-5340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bidi w:val="0"/>
        <w:spacing w:before="176" w:after="283"/>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b/>
          <w:color w:val="000000"/>
          <w:sz w:val="12"/>
        </w:rPr>
      </w:pPr>
      <w:r>
        <w:rPr>
          <w:rFonts w:ascii="Times New Roman" w:hAnsi="Times New Roman"/>
          <w:b/>
          <w:color w:val="000000"/>
          <w:sz w:val="12"/>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128" w:type="dxa"/>
        <w:jc w:val="left"/>
        <w:tblInd w:w="0" w:type="dxa"/>
        <w:tblLayout w:type="fixed"/>
        <w:tblCellMar>
          <w:top w:w="28" w:type="dxa"/>
          <w:left w:w="28" w:type="dxa"/>
          <w:bottom w:w="28" w:type="dxa"/>
          <w:right w:w="28" w:type="dxa"/>
        </w:tblCellMar>
      </w:tblPr>
      <w:tblGrid>
        <w:gridCol w:w="2476"/>
        <w:gridCol w:w="1426"/>
        <w:gridCol w:w="3226"/>
      </w:tblGrid>
      <w:tr>
        <w:trPr/>
        <w:tc>
          <w:tcPr>
            <w:tcW w:w="24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20" w:after="20"/>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20" w:after="20"/>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20" w:after="20"/>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4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0"/>
              <w:jc w:val="center"/>
              <w:rPr>
                <w:rFonts w:ascii="Times New Roman" w:hAnsi="Times New Roman"/>
                <w:color w:val="000000"/>
                <w:sz w:val="16"/>
              </w:rPr>
            </w:pPr>
            <w:r>
              <w:rPr>
                <w:rFonts w:ascii="Times New Roman" w:hAnsi="Times New Roman"/>
                <w:color w:val="000000"/>
                <w:sz w:val="16"/>
              </w:rPr>
              <w:t>Common Stock, $0.001 par value</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40" w:after="20"/>
              <w:jc w:val="center"/>
              <w:rPr>
                <w:rFonts w:ascii="Times New Roman" w:hAnsi="Times New Roman"/>
                <w:color w:val="000000"/>
                <w:sz w:val="16"/>
              </w:rPr>
            </w:pPr>
            <w:r>
              <w:rPr>
                <w:rFonts w:ascii="Times New Roman" w:hAnsi="Times New Roman"/>
                <w:color w:val="000000"/>
                <w:sz w:val="16"/>
              </w:rPr>
              <w:t>VYGR</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40" w:after="20"/>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Global Select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number of outstanding shares of the registrant’s common stock, par value $0.001 per share, as of July 30, 2026, was 61,617,948.</w:t>
      </w:r>
    </w:p>
    <w:p>
      <w:pPr>
        <w:pStyle w:val="TextBody"/>
        <w:pBdr>
          <w:bottom w:val="single" w:sz="12" w:space="1" w:color="000000"/>
        </w:pBdr>
        <w:bidi w:val="0"/>
        <w:jc w:val="both"/>
        <w:rPr/>
      </w:pPr>
      <w:r>
        <w:rPr/>
        <w:t> </w:t>
      </w:r>
    </w:p>
    <w:p>
      <w:pPr>
        <w:pStyle w:val="TextBody"/>
        <w:pBdr>
          <w:bottom w:val="sing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words “anticipate,” “believe,” “estimate,” “expect,” “intend,” “may,” “might,” “plan,” “predict,” “project,” “target,” “potential,” “contemplate,” “goals,” “will,” “would,” “could,” “should,” “continue,” and similar expressions are intended to identify forward-looking statements, although not all forward-looking statements contain these identifying words. These forward-looking statements include, among other things, statements about: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plans to develop, manufacture and commercialize our proprietary adeno-associated virus, or AAV, gene therapy, antibody, non-viral therapeutic, and small molecule product candidates;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our ability to continue to develop our proprietary gene therapy platform technologies, including our TRACER</w:t>
      </w:r>
      <w:r>
        <w:rPr>
          <w:rFonts w:ascii="Times New Roman" w:hAnsi="Times New Roman"/>
          <w:color w:val="000000"/>
          <w:sz w:val="13"/>
        </w:rPr>
        <w:t xml:space="preserve">TM </w:t>
      </w:r>
      <w:r>
        <w:rPr>
          <w:rFonts w:ascii="Times New Roman" w:hAnsi="Times New Roman"/>
          <w:color w:val="000000"/>
          <w:sz w:val="20"/>
        </w:rPr>
        <w:t>(Tropism Redirection of AAV by Cell-type-specific Expression of RNA) discovery platform, our non-viral therapeutics platform, including VOYAGER NEUROSHUTTLE</w:t>
      </w:r>
      <w:r>
        <w:rPr>
          <w:rFonts w:ascii="Times New Roman" w:hAnsi="Times New Roman"/>
          <w:color w:val="000000"/>
          <w:sz w:val="13"/>
        </w:rPr>
        <w:t>TM</w:t>
      </w:r>
      <w:r>
        <w:rPr>
          <w:rFonts w:ascii="Times New Roman" w:hAnsi="Times New Roman"/>
          <w:color w:val="000000"/>
          <w:sz w:val="20"/>
        </w:rPr>
        <w:t>, and our proprietary antibody, small molecule, gene therapy, shuttled or vectorized antibody, and non-viral therapeutic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identify and optimize product candidates, proprietary AAV capsids, and non-viral blood-brain-barrier shuttles;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strategic collaborations and licensing agreements with, and funding from, our collaboration partners Neurocrine Biosciences, Inc. and Novartis Pharma AG and our licensee Alexion, AstraZeneca Rare Disease (successor-in-interest to former licensee Pfizer Inc.);</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collaboration with Transition Bio, Inc. to advance small molecules targeting TDP-43 to treat amyotrophic lateral sclerosis and frontotemporal dementia with TDP-43 pathology;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ongoing and planned clinical trials, preclinical development efforts, related timelines and studies, including our plans to generate initial data from the Phase 1 multiple ascending dose clinical trial of VY7523 in early Alzheimer’s disease patients in the fourth quarter of 2026 and to initiate and begin dosing patients in a clinical trial of VY1706 in the fourth quarter of 2026 and generate initial acute safety data and initial cerebrospinal fluid tau biomarker-based data in early 2027 and the second half of 2027, respectively;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enter into future collaborations, strategic alliances, or option and license arrangements;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of and our ability to submit applications and obtain and maintain regulatory approvals for our product candidates, including the ability to submit investigational new drug applications for our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belief as to potential outcomes of our clinical development activities, and plans and potential outcomes with respect to interactions with regulatory authorities;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estimates regarding future revenue, expenses, contingent liabilities, existing cash resources, capital requirements and cash runway;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intellectual property position and our ability to obtain, maintain and enforce intellectual property protection for our proprietary assets;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estimates regarding the size of the potential markets for our product candidates and our ability to serve those markets;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need for and the timing of additional funding and our plans and ability to raise additional capital, including through equity offerings, debt financings, collaborations, strategic alliances, and option and license arrangements;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competitive position and the success of competing products that are or might become available for the indications that we are pursuing;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government laws and regulations, including in the United States, the European Union, and other important geographies such as Japan;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control costs and prioritize our product candidate pipeline and platform development objectives successfully in connection with our strategic initiatives.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forward-looking statements are only predictions, and we may not actually achieve the plans, intentions or expectations disclosed in our forward-looking statements.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our Annual Report on Form 10-K filed with the Securities and Exchange Commission on March 9, 2026, particularly in “Part I, Item 1A — Risk Factors,” and, if applicable, this Quarterly Report on Form 10-Q, particularly in “Part II, Item 1A — Risk Factors,” that could cause actual future results or events to differ materially from the forward-looking statements that we make. Our forward-looking statements do not reflect the potential impact of any future acquisitions, mergers, dispositions, strategic collaborations, licenses, joint ventures or investments we may make or enter into.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obtained the statistical and other industry and market data in this Quarterly Report on Form 10-Q and the documents we have filed as exhibits to this Quarterly Report on Form 10-Q from our own internal estimates and research, as well as from industry and general publications and research, surveys, studies and trials conducted by third parties. Some data is also based on our good faith estimates, which are derived from management’s knowledge of the industry and independent sources. This data involves a number of assumptions and limitations, and you are cautioned not to give undue weight to such estimates. In addition, while we believe the market opportunity information included in this Quarterly Report on Form 10-Q and the documents we have filed as exhibits to this Quarterly Report on Form 10-Q is reliable and is based upon reasonable assumptions, such data involves risks and uncertainties and are subject to change based on various factors, including those discussed under “Risk Factors” and in the documents we have filed as exhibits to the Quarterly Report on Form 10-Q.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own various U.S. federal trademark registrations and applications and unregistered trademarks, including our corporate logo. This Quarterly Report on Form 10-Q and the documents filed as exhibits to this Quarterly Report on Form 10-Q contain references to trademarks, service marks and trade names referred to in this Quarterly Report on Form 10-Q and the information incorporated herein, including logos, artwork, and other visual displays, that may appear without the </w:t>
      </w:r>
      <w:r>
        <w:rPr>
          <w:rFonts w:ascii="Times New Roman" w:hAnsi="Times New Roman"/>
          <w:color w:val="000000"/>
          <w:sz w:val="13"/>
        </w:rPr>
        <w:t xml:space="preserve">® </w:t>
      </w:r>
      <w:r>
        <w:rPr>
          <w:rFonts w:ascii="Times New Roman" w:hAnsi="Times New Roman"/>
          <w:color w:val="000000"/>
          <w:sz w:val="20"/>
        </w:rPr>
        <w:t xml:space="preserve">or </w:t>
      </w:r>
      <w:r>
        <w:rPr>
          <w:rFonts w:ascii="Times New Roman" w:hAnsi="Times New Roman"/>
          <w:color w:val="000000"/>
          <w:sz w:val="13"/>
        </w:rPr>
        <w:t>TM</w:t>
      </w:r>
      <w:r>
        <w:rPr>
          <w:rFonts w:ascii="Times New Roman" w:hAnsi="Times New Roman"/>
          <w:color w:val="000000"/>
          <w:sz w:val="20"/>
        </w:rPr>
        <w:t xml:space="preserve"> symbols, but such references are not intended to indicate, in any way, that we will not assert, to the fullest extent under applicable law, our rights or the rights of the applicable licensor to these trademarks, service marks or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Quarterly Report on Form 10-Q and the documents filed as exhibits to this Quarterly Report on Form 10-Q are the property of their respective owners.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VOYAGER THERAPEUTICS,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61"/>
        <w:gridCol w:w="146"/>
        <w:gridCol w:w="8456"/>
        <w:gridCol w:w="542"/>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ind w:left="0" w:right="0" w:firstLine="176"/>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before="0" w:after="283"/>
              <w:ind w:left="0" w:right="0" w:firstLine="176"/>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10205" w:type="dxa"/>
            <w:gridSpan w:val="4"/>
            <w:tcBorders/>
            <w:tcMar>
              <w:top w:w="0" w:type="dxa"/>
              <w:left w:w="0" w:type="dxa"/>
              <w:bottom w:w="0" w:type="dxa"/>
              <w:right w:w="0" w:type="dxa"/>
            </w:tcMar>
            <w:vAlign w:val="center"/>
          </w:tcPr>
          <w:p>
            <w:pPr>
              <w:pStyle w:val="TableContents"/>
              <w:bidi w:val="0"/>
              <w:spacing w:before="60" w:after="283"/>
              <w:ind w:left="0" w:right="0" w:firstLine="176"/>
              <w:jc w:val="left"/>
              <w:rPr/>
            </w:pPr>
            <w:hyperlink w:anchor="part_i_financial_information">
              <w:r>
                <w:rPr>
                  <w:rStyle w:val="InternetLink"/>
                  <w:rFonts w:ascii="Times New Roman" w:hAnsi="Times New Roman"/>
                  <w:color w:val="0000FF"/>
                  <w:sz w:val="20"/>
                  <w:u w:val="single"/>
                </w:rPr>
                <w:t>PART I. FINANCIAL INFORMATION</w:t>
              </w:r>
            </w:hyperlink>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CONDENSED CONSOLIDATED FINANCIAL STATEMENTS (UNAUDITED)</w:t>
            </w:r>
          </w:p>
        </w:tc>
        <w:tc>
          <w:tcPr>
            <w:tcW w:w="542" w:type="dxa"/>
            <w:tcBorders/>
            <w:tcMar>
              <w:top w:w="0" w:type="dxa"/>
              <w:left w:w="0" w:type="dxa"/>
              <w:bottom w:w="0" w:type="dxa"/>
              <w:right w:w="0" w:type="dxa"/>
            </w:tcMar>
            <w:vAlign w:val="center"/>
          </w:tcPr>
          <w:p>
            <w:pPr>
              <w:pStyle w:val="TableContents"/>
              <w:bidi w:val="0"/>
              <w:spacing w:before="60" w:after="283"/>
              <w:jc w:val="right"/>
              <w:rPr/>
            </w:pPr>
            <w:r>
              <w:rPr/>
              <w:t> </w:t>
            </w:r>
          </w:p>
        </w:tc>
      </w:tr>
      <w:tr>
        <w:trPr/>
        <w:tc>
          <w:tcPr>
            <w:tcW w:w="106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condensed_consolidated_balance_sheets">
              <w:r>
                <w:rPr>
                  <w:rStyle w:val="InternetLink"/>
                  <w:rFonts w:ascii="Times New Roman" w:hAnsi="Times New Roman"/>
                  <w:caps/>
                  <w:color w:val="0000FF"/>
                  <w:sz w:val="20"/>
                  <w:u w:val="single"/>
                </w:rPr>
                <w:t>CONDENSED CONSOLIDATED BALANCE SHEETS</w:t>
              </w:r>
            </w:hyperlink>
          </w:p>
        </w:tc>
        <w:tc>
          <w:tcPr>
            <w:tcW w:w="542"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w:t>
            </w:r>
          </w:p>
        </w:tc>
      </w:tr>
      <w:tr>
        <w:trPr/>
        <w:tc>
          <w:tcPr>
            <w:tcW w:w="106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condensed_consolidat_comprehensive_loss">
              <w:r>
                <w:rPr>
                  <w:rStyle w:val="InternetLink"/>
                  <w:rFonts w:ascii="Times New Roman" w:hAnsi="Times New Roman"/>
                  <w:caps/>
                  <w:color w:val="0000FF"/>
                  <w:sz w:val="20"/>
                  <w:u w:val="single"/>
                </w:rPr>
                <w:t>CONDENSED CONSOLIDATED STATEMENTS OF OPERATIONS AND COMPREHENSIVE LOSS</w:t>
              </w:r>
            </w:hyperlink>
          </w:p>
        </w:tc>
        <w:tc>
          <w:tcPr>
            <w:tcW w:w="542"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w:t>
            </w:r>
          </w:p>
        </w:tc>
      </w:tr>
      <w:tr>
        <w:trPr/>
        <w:tc>
          <w:tcPr>
            <w:tcW w:w="106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condensed_stockholders_equity">
              <w:r>
                <w:rPr>
                  <w:rStyle w:val="InternetLink"/>
                  <w:rFonts w:ascii="Times New Roman" w:hAnsi="Times New Roman"/>
                  <w:color w:val="0000FF"/>
                  <w:sz w:val="20"/>
                  <w:u w:val="single"/>
                </w:rPr>
                <w:t>CONDENSED CONSOLIDATED STATEMENTS OF STOCKHOLDERS’ EQUITY</w:t>
              </w:r>
            </w:hyperlink>
          </w:p>
        </w:tc>
        <w:tc>
          <w:tcPr>
            <w:tcW w:w="542"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7</w:t>
            </w:r>
          </w:p>
        </w:tc>
      </w:tr>
      <w:tr>
        <w:trPr/>
        <w:tc>
          <w:tcPr>
            <w:tcW w:w="106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cash_flows">
              <w:r>
                <w:rPr>
                  <w:rStyle w:val="InternetLink"/>
                  <w:rFonts w:ascii="Times New Roman" w:hAnsi="Times New Roman"/>
                  <w:caps/>
                  <w:color w:val="0000FF"/>
                  <w:sz w:val="20"/>
                  <w:u w:val="single"/>
                </w:rPr>
                <w:t>CONDENSED CONSOLIDATED STATEMENTS OF CASH FLOWS</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8</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notes_to_unaudited_financial_statements">
              <w:r>
                <w:rPr>
                  <w:rStyle w:val="InternetLink"/>
                  <w:rFonts w:ascii="Times New Roman" w:hAnsi="Times New Roman"/>
                  <w:color w:val="0000FF"/>
                  <w:sz w:val="20"/>
                  <w:u w:val="single"/>
                </w:rPr>
                <w:t>NOTES TO UNAUDITED CONDENSED CONSOLIDATED FINANCIAL STATEMENTS</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9</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mda">
              <w:r>
                <w:rPr>
                  <w:rStyle w:val="InternetLink"/>
                  <w:rFonts w:ascii="Times New Roman" w:hAnsi="Times New Roman"/>
                  <w:color w:val="0000FF"/>
                  <w:sz w:val="20"/>
                  <w:u w:val="single"/>
                </w:rPr>
                <w:t>ITEM 2.</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18</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quantitative_and_qualitative">
              <w:r>
                <w:rPr>
                  <w:rStyle w:val="InternetLink"/>
                  <w:rFonts w:ascii="Times New Roman" w:hAnsi="Times New Roman"/>
                  <w:color w:val="0000FF"/>
                  <w:sz w:val="20"/>
                  <w:u w:val="single"/>
                </w:rPr>
                <w:t>ITEM 3.</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quantitative_and_qualitative">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32</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controls_and_procedures">
              <w:r>
                <w:rPr>
                  <w:rStyle w:val="InternetLink"/>
                  <w:rFonts w:ascii="Times New Roman" w:hAnsi="Times New Roman"/>
                  <w:color w:val="0000FF"/>
                  <w:sz w:val="20"/>
                  <w:u w:val="single"/>
                </w:rPr>
                <w:t>ITEM 4.</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controls_and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32</w:t>
            </w:r>
          </w:p>
        </w:tc>
      </w:tr>
      <w:tr>
        <w:trPr/>
        <w:tc>
          <w:tcPr>
            <w:tcW w:w="10205" w:type="dxa"/>
            <w:gridSpan w:val="4"/>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10205" w:type="dxa"/>
            <w:gridSpan w:val="4"/>
            <w:tcBorders/>
            <w:tcMar>
              <w:top w:w="0" w:type="dxa"/>
              <w:left w:w="0" w:type="dxa"/>
              <w:bottom w:w="0" w:type="dxa"/>
              <w:right w:w="0" w:type="dxa"/>
            </w:tcMar>
            <w:vAlign w:val="center"/>
          </w:tcPr>
          <w:p>
            <w:pPr>
              <w:pStyle w:val="TableContents"/>
              <w:bidi w:val="0"/>
              <w:spacing w:before="60" w:after="283"/>
              <w:ind w:left="0" w:right="0" w:firstLine="176"/>
              <w:jc w:val="left"/>
              <w:rPr/>
            </w:pPr>
            <w:hyperlink w:anchor="part_ii_other_information">
              <w:r>
                <w:rPr>
                  <w:rStyle w:val="InternetLink"/>
                  <w:rFonts w:ascii="Times New Roman" w:hAnsi="Times New Roman"/>
                  <w:color w:val="0000FF"/>
                  <w:sz w:val="20"/>
                  <w:u w:val="single"/>
                </w:rPr>
                <w:t>PART II. OTHER INFORMATION</w:t>
              </w:r>
            </w:hyperlink>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legal_proceedings">
              <w:r>
                <w:rPr>
                  <w:rStyle w:val="InternetLink"/>
                  <w:rFonts w:ascii="Times New Roman" w:hAnsi="Times New Roman"/>
                  <w:color w:val="0000FF"/>
                  <w:sz w:val="20"/>
                  <w:u w:val="single"/>
                </w:rPr>
                <w:t>ITEM 1.</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33</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risk_factors">
              <w:r>
                <w:rPr>
                  <w:rStyle w:val="InternetLink"/>
                  <w:rFonts w:ascii="Times New Roman" w:hAnsi="Times New Roman"/>
                  <w:color w:val="0000FF"/>
                  <w:sz w:val="20"/>
                  <w:u w:val="single"/>
                </w:rPr>
                <w:t>ITEM 1A.</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33</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other_information">
              <w:r>
                <w:rPr>
                  <w:rStyle w:val="InternetLink"/>
                  <w:rFonts w:ascii="Times New Roman" w:hAnsi="Times New Roman"/>
                  <w:color w:val="0000FF"/>
                  <w:sz w:val="20"/>
                  <w:u w:val="single"/>
                </w:rPr>
                <w:t>ITEM 5.</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33</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hyperlink w:anchor="exhibits">
              <w:r>
                <w:rPr>
                  <w:rStyle w:val="InternetLink"/>
                  <w:rFonts w:ascii="Times New Roman" w:hAnsi="Times New Roman"/>
                  <w:color w:val="0000FF"/>
                  <w:sz w:val="20"/>
                  <w:u w:val="single"/>
                </w:rPr>
                <w:t>ITEM 6.</w:t>
              </w:r>
            </w:hyperlink>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60" w:after="283"/>
              <w:ind w:left="0" w:right="0" w:firstLine="176"/>
              <w:jc w:val="right"/>
              <w:rPr>
                <w:rFonts w:ascii="Times New Roman" w:hAnsi="Times New Roman"/>
                <w:color w:val="000000"/>
                <w:sz w:val="20"/>
              </w:rPr>
            </w:pPr>
            <w:r>
              <w:rPr>
                <w:rFonts w:ascii="Times New Roman" w:hAnsi="Times New Roman"/>
                <w:color w:val="000000"/>
                <w:sz w:val="20"/>
              </w:rPr>
              <w:t>34</w:t>
            </w:r>
          </w:p>
        </w:tc>
      </w:tr>
      <w:tr>
        <w:trPr/>
        <w:tc>
          <w:tcPr>
            <w:tcW w:w="1061" w:type="dxa"/>
            <w:tcBorders/>
            <w:tcMar>
              <w:top w:w="0" w:type="dxa"/>
              <w:left w:w="0" w:type="dxa"/>
              <w:bottom w:w="0" w:type="dxa"/>
              <w:right w:w="0" w:type="dxa"/>
            </w:tcMar>
            <w:vAlign w:val="center"/>
          </w:tcPr>
          <w:p>
            <w:pPr>
              <w:pStyle w:val="TableContents"/>
              <w:bidi w:val="0"/>
              <w:spacing w:before="60" w:after="283"/>
              <w:ind w:left="0" w:right="0" w:firstLine="176"/>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8456" w:type="dxa"/>
            <w:tcBorders/>
            <w:tcMar>
              <w:top w:w="0" w:type="dxa"/>
              <w:left w:w="0" w:type="dxa"/>
              <w:bottom w:w="0" w:type="dxa"/>
              <w:right w:w="0" w:type="dxa"/>
            </w:tcMar>
            <w:vAlign w:val="center"/>
          </w:tcPr>
          <w:p>
            <w:pPr>
              <w:pStyle w:val="TableContents"/>
              <w:bidi w:val="0"/>
              <w:spacing w:before="60" w:after="283"/>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Voyager Therapeutics,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(amounts in thousands, except share and per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0"/>
        <w:gridCol w:w="146"/>
        <w:gridCol w:w="211"/>
        <w:gridCol w:w="146"/>
        <w:gridCol w:w="841"/>
        <w:gridCol w:w="166"/>
        <w:gridCol w:w="146"/>
        <w:gridCol w:w="211"/>
        <w:gridCol w:w="146"/>
        <w:gridCol w:w="841"/>
        <w:gridCol w:w="611"/>
      </w:tblGrid>
      <w:tr>
        <w:trPr/>
        <w:tc>
          <w:tcPr>
            <w:tcW w:w="6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collaboration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contingencies, and other liabilities (see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at June 30, 2026 and December 31, 2025; no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240,000,000 and 120,000,000 shares authorized at June 30, 2026 and December 31, 2025, respectively; 61,273,390 and 59,047,860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Voyager Therapeutics, Inc.</w:t>
      </w:r>
    </w:p>
    <w:p>
      <w:pPr>
        <w:pStyle w:val="TextBody"/>
        <w:bidi w:val="0"/>
        <w:jc w:val="center"/>
        <w:rPr>
          <w:rFonts w:ascii="Times New Roman" w:hAnsi="Times New Roman"/>
          <w:b/>
          <w:color w:val="000000"/>
          <w:sz w:val="20"/>
        </w:rPr>
      </w:pPr>
      <w:bookmarkStart w:id="5" w:name="condensed_consolidat_comprehensive_los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i/>
          <w:color w:val="000000"/>
          <w:sz w:val="20"/>
        </w:rPr>
        <w:t>(amounts 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60"/>
        <w:gridCol w:w="446"/>
        <w:gridCol w:w="211"/>
        <w:gridCol w:w="146"/>
        <w:gridCol w:w="1036"/>
        <w:gridCol w:w="166"/>
        <w:gridCol w:w="146"/>
        <w:gridCol w:w="211"/>
        <w:gridCol w:w="146"/>
        <w:gridCol w:w="1036"/>
        <w:gridCol w:w="166"/>
        <w:gridCol w:w="146"/>
        <w:gridCol w:w="211"/>
        <w:gridCol w:w="146"/>
        <w:gridCol w:w="1036"/>
        <w:gridCol w:w="166"/>
        <w:gridCol w:w="146"/>
        <w:gridCol w:w="211"/>
        <w:gridCol w:w="146"/>
        <w:gridCol w:w="1036"/>
        <w:gridCol w:w="491"/>
      </w:tblGrid>
      <w:tr>
        <w:trPr/>
        <w:tc>
          <w:tcPr>
            <w:tcW w:w="27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gain on available-for-sale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comprehensive (loss)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60,547,863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58,666,460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60,025,001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58,508,989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Voyager Therapeutics, Inc.</w:t>
      </w:r>
    </w:p>
    <w:p>
      <w:pPr>
        <w:pStyle w:val="TextBody"/>
        <w:bidi w:val="0"/>
        <w:jc w:val="center"/>
        <w:rPr>
          <w:rFonts w:ascii="Times New Roman" w:hAnsi="Times New Roman"/>
          <w:b/>
          <w:color w:val="000000"/>
          <w:sz w:val="20"/>
        </w:rPr>
      </w:pPr>
      <w:bookmarkStart w:id="6" w:name="condensed_stockholders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(amounts in thousands, except share data)</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5"/>
        <w:gridCol w:w="146"/>
        <w:gridCol w:w="146"/>
        <w:gridCol w:w="766"/>
        <w:gridCol w:w="146"/>
        <w:gridCol w:w="146"/>
        <w:gridCol w:w="181"/>
        <w:gridCol w:w="146"/>
        <w:gridCol w:w="346"/>
        <w:gridCol w:w="146"/>
        <w:gridCol w:w="146"/>
        <w:gridCol w:w="181"/>
        <w:gridCol w:w="146"/>
        <w:gridCol w:w="586"/>
        <w:gridCol w:w="146"/>
        <w:gridCol w:w="146"/>
        <w:gridCol w:w="262"/>
        <w:gridCol w:w="210"/>
        <w:gridCol w:w="549"/>
        <w:gridCol w:w="151"/>
        <w:gridCol w:w="146"/>
        <w:gridCol w:w="181"/>
        <w:gridCol w:w="146"/>
        <w:gridCol w:w="631"/>
        <w:gridCol w:w="151"/>
        <w:gridCol w:w="146"/>
        <w:gridCol w:w="182"/>
        <w:gridCol w:w="146"/>
        <w:gridCol w:w="591"/>
        <w:gridCol w:w="198"/>
      </w:tblGrid>
      <w:tr>
        <w:trPr/>
        <w:tc>
          <w:tcPr>
            <w:tcW w:w="2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59,047,860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(445,905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196,081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at-the-market sales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(27,937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60,310,526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(473,842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173,669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at-the-market sales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727,996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(24,473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61,273,390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653,052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(498,315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154,377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0"/>
        <w:gridCol w:w="146"/>
        <w:gridCol w:w="146"/>
        <w:gridCol w:w="766"/>
        <w:gridCol w:w="146"/>
        <w:gridCol w:w="146"/>
        <w:gridCol w:w="181"/>
        <w:gridCol w:w="146"/>
        <w:gridCol w:w="346"/>
        <w:gridCol w:w="146"/>
        <w:gridCol w:w="146"/>
        <w:gridCol w:w="181"/>
        <w:gridCol w:w="146"/>
        <w:gridCol w:w="586"/>
        <w:gridCol w:w="146"/>
        <w:gridCol w:w="146"/>
        <w:gridCol w:w="262"/>
        <w:gridCol w:w="210"/>
        <w:gridCol w:w="549"/>
        <w:gridCol w:w="151"/>
        <w:gridCol w:w="146"/>
        <w:gridCol w:w="181"/>
        <w:gridCol w:w="146"/>
        <w:gridCol w:w="631"/>
        <w:gridCol w:w="151"/>
        <w:gridCol w:w="146"/>
        <w:gridCol w:w="183"/>
        <w:gridCol w:w="147"/>
        <w:gridCol w:w="594"/>
        <w:gridCol w:w="198"/>
      </w:tblGrid>
      <w:tr>
        <w:trPr/>
        <w:tc>
          <w:tcPr>
            <w:tcW w:w="2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54,731,316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(326,184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299,760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available-for-sale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(31,021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55,209,485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(357,205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272,702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4,133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available-for-sale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(33,382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55,434,956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(390,587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243,944</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Voyager Therapeutics, Inc.</w:t>
      </w:r>
    </w:p>
    <w:p>
      <w:pPr>
        <w:pStyle w:val="TextBody"/>
        <w:bidi w:val="0"/>
        <w:jc w:val="center"/>
        <w:rPr>
          <w:rFonts w:ascii="Times New Roman" w:hAnsi="Times New Roman"/>
          <w:b/>
          <w:color w:val="000000"/>
          <w:sz w:val="20"/>
        </w:rPr>
      </w:pPr>
      <w:bookmarkStart w:id="7" w:name="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(amounts 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45"/>
        <w:gridCol w:w="346"/>
        <w:gridCol w:w="211"/>
        <w:gridCol w:w="146"/>
        <w:gridCol w:w="736"/>
        <w:gridCol w:w="166"/>
        <w:gridCol w:w="146"/>
        <w:gridCol w:w="211"/>
        <w:gridCol w:w="146"/>
        <w:gridCol w:w="841"/>
        <w:gridCol w:w="411"/>
      </w:tblGrid>
      <w:tr>
        <w:trPr/>
        <w:tc>
          <w:tcPr>
            <w:tcW w:w="68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premiums and discounts on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fixed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collaboration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purchase of common stock under ESPP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from at-the-market sales agreement,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VOYAGER THERAPEUTICS, INC.</w:t>
      </w:r>
    </w:p>
    <w:p>
      <w:pPr>
        <w:pStyle w:val="TextBody"/>
        <w:bidi w:val="0"/>
        <w:spacing w:before="240" w:after="283"/>
        <w:jc w:val="center"/>
        <w:rPr>
          <w:rFonts w:ascii="Times New Roman" w:hAnsi="Times New Roman"/>
          <w:b/>
          <w:color w:val="000000"/>
          <w:sz w:val="20"/>
        </w:rPr>
      </w:pPr>
      <w:bookmarkStart w:id="8" w:name="notes_to_unaudited_financial_statements"/>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Voyager Therapeutics, Inc. (the “Company”) is a biotechnology company whose mission is to leverage the power of human genetics to modify the course of and ultimately cure neurological diseases. Its pipeline includes programs for Alzheimer’s disease, Friedreich’s ataxia, Parkinson’s disease, and multiple other diseases of the central nervous system (“CNS”). Its pipeline includes programs it wholly owns and programs it is advancing with licensees and collaborators, including Alexion, AstraZeneca Rare Disease; Novartis Pharma AG (“Novartis”); Neurocrine Biosciences, Inc. (“Neurocrine”); and Transition Bio, Inc.</w:t>
      </w:r>
    </w:p>
    <w:p>
      <w:pPr>
        <w:pStyle w:val="TextBody"/>
        <w:bidi w:val="0"/>
        <w:spacing w:before="200" w:after="283"/>
        <w:jc w:val="left"/>
        <w:rPr>
          <w:rFonts w:ascii="Times New Roman" w:hAnsi="Times New Roman"/>
          <w:sz w:val="20"/>
        </w:rPr>
      </w:pPr>
      <w:r>
        <w:rPr>
          <w:rFonts w:ascii="Times New Roman" w:hAnsi="Times New Roman"/>
          <w:color w:val="000000"/>
          <w:sz w:val="20"/>
        </w:rPr>
        <w:t>Many of the Company’s programs are derived from its TRACER (Tropism Redirection of AAV by Cell-type-specific Expression of RNA) adeno-associated virus (“AAV”) capsid discovery platform, which it has used to generate novel capsids and identify associated receptors to potentially enable high brain penetration with genetic medicines following intravenous dosing. TRACER is a broadly applicable, RNA-based screening platform that enables rapid discovery of AAV capsids with robust penetration of the blood-brain barrier (“BBB”) and enhanced CNS tropism in multiple species, including non-human primates. The Company is also developing a second, non-viral therapeutics platform focused on non-viral receptor-mediated transport across the BBB, the Voyager NeuroShuttle</w:t>
      </w:r>
      <w:r>
        <w:rPr>
          <w:rFonts w:ascii="Times New Roman" w:hAnsi="Times New Roman"/>
          <w:color w:val="000000"/>
          <w:sz w:val="13"/>
        </w:rPr>
        <w:t>TM</w:t>
      </w:r>
      <w:r>
        <w:rPr>
          <w:rFonts w:ascii="Times New Roman" w:hAnsi="Times New Roman"/>
          <w:color w:val="000000"/>
          <w:sz w:val="20"/>
        </w:rPr>
        <w:t xml:space="preserve">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 history of incurring annual net operating losses. As of June 30, 2026, the Company had an accumulated deficit of $498.3 million. The Company has not generated any product revenue and has financed its operations primarily through public offerings and private placements of its equity securities and funding from fees, milestone payments, and cost reimbursements associated with its prior and current collaborations and license agreements.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Company had cash, cash equivalents, and marketable securities of $148.8 million. Based upon its current operating plan, the Company expects that its existing cash, cash equivalents, and marketable securities at June 30, 2026, to be sufficient to meet the Company’s planned operating expenses and capital expenditure requirements for at least twelve months from the issuance of these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can be no assurance that the Company will be able to obtain additional debt or equity financing on terms acceptable to the Company or generate product revenue or revenue from collaboration partners, on a timely basis or at all. The failure of the Company to obtain sufficient funds on acceptable terms when needed could have a material adverse effect on the Company’s business, results of operations, and financial condition and require the Company to defer or limit some or all of its research, development and/or clinical programs.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Summary of significant accounting policies and basis of presentation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of the Company have been prepared in accordance with accounting principles generally accepted in the United States (“GAAP”) for interim financial reporting. Accordingly, they do not include all of the information and footnotes required by GAAP for complete financial statements. For further information, refer to the consolidated financial statements and footnotes included in the Company’s Annual Report on Form 10-K for the fiscal year ended December 31, 2025, as filed with the Securities and Exchange Commission on March 9, 2026. These interim condensed consolidated financial statements, in the opinion of management, reflect all normal recurring adjustments necessary for a fair presentation of the Company’s financial position and results of operations for the periods presented. Any reference in these notes to applicable guidance is meant to refer to the authoritative GAAP, which can be found in the Accounting Standards Codification and Accounting Standards Updates of the Financial Accounting Standards Board.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unaudited interim condensed consolidated financial statements include the accounts of the Company and its wholly-owned subsidiary as disclosed in Note 2, </w:t>
      </w:r>
      <w:r>
        <w:rPr>
          <w:rFonts w:ascii="Times New Roman" w:hAnsi="Times New Roman"/>
          <w:i/>
          <w:color w:val="000000"/>
          <w:sz w:val="20"/>
        </w:rPr>
        <w:t>Summary of Significant Accounting Policies and Basis of Presentation,</w:t>
      </w:r>
      <w:r>
        <w:rPr>
          <w:rFonts w:ascii="Times New Roman" w:hAnsi="Times New Roman"/>
          <w:color w:val="000000"/>
          <w:sz w:val="20"/>
        </w:rPr>
        <w:t xml:space="preserve"> within the “Notes to Consolidated Financial Statements” accompanying the Company’s Annual Report on Form 10-K for the fiscal year ended December 31, 2025. Intercompany balances and transactions have been eliminated.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amounts reported in the condensed consolidated financial statements and accompanying notes. On an ongoing basis, the Company’s management evaluates its estimates, which include, but are not limited to, estimates related to revenue recognition, research and development accrued expenses, stock</w:t>
        <w:noBreakHyphen/>
        <w:t>based compensation expense, and income taxes. The Company bases its estimates on historical experience and other market-specific or other relevant assumptions that it believes to be reasonable under the circumstances. Actual results may differ from those estimates or assumptions.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Summary of Significant Accounting Policies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There have been no changes in the Company’s significant accounting policies as described in Note 2, </w:t>
      </w:r>
      <w:r>
        <w:rPr>
          <w:rFonts w:ascii="Times New Roman" w:hAnsi="Times New Roman"/>
          <w:i/>
          <w:color w:val="000000"/>
          <w:sz w:val="20"/>
        </w:rPr>
        <w:t>Summary of Significant Accounting Policies and Basis of Presentation,</w:t>
      </w:r>
      <w:r>
        <w:rPr>
          <w:rFonts w:ascii="Times New Roman" w:hAnsi="Times New Roman"/>
          <w:color w:val="000000"/>
          <w:sz w:val="20"/>
        </w:rPr>
        <w:t xml:space="preserve"> within the “Notes to Consolidated Financial Statements” accompanying the Company’s Annual Report on Form 10-K for the fiscal year ended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Assets and liabilities measured at fair value on a recurring basis as of June 30, 2026 and December 31, 2025, are as follows:</w:t>
      </w:r>
    </w:p>
    <w:p>
      <w:pPr>
        <w:pStyle w:val="TextBody"/>
        <w:bidi w:val="0"/>
        <w:jc w:val="left"/>
        <w:rPr/>
      </w:pPr>
      <w:r>
        <w:rPr/>
        <w:t> </w:t>
      </w:r>
    </w:p>
    <w:tbl>
      <w:tblPr>
        <w:tblW w:w="9946" w:type="dxa"/>
        <w:jc w:val="left"/>
        <w:tblInd w:w="0" w:type="dxa"/>
        <w:tblLayout w:type="fixed"/>
        <w:tblCellMar>
          <w:top w:w="28" w:type="dxa"/>
          <w:left w:w="28" w:type="dxa"/>
          <w:bottom w:w="28" w:type="dxa"/>
          <w:right w:w="28" w:type="dxa"/>
        </w:tblCellMar>
      </w:tblPr>
      <w:tblGrid>
        <w:gridCol w:w="4051"/>
        <w:gridCol w:w="146"/>
        <w:gridCol w:w="211"/>
        <w:gridCol w:w="146"/>
        <w:gridCol w:w="781"/>
        <w:gridCol w:w="146"/>
        <w:gridCol w:w="146"/>
        <w:gridCol w:w="225"/>
        <w:gridCol w:w="156"/>
        <w:gridCol w:w="834"/>
        <w:gridCol w:w="146"/>
        <w:gridCol w:w="146"/>
        <w:gridCol w:w="211"/>
        <w:gridCol w:w="146"/>
        <w:gridCol w:w="676"/>
        <w:gridCol w:w="146"/>
        <w:gridCol w:w="146"/>
        <w:gridCol w:w="327"/>
        <w:gridCol w:w="227"/>
        <w:gridCol w:w="542"/>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Identical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measures the fair value of money market funds, U.S. Treasury notes and U.S. Government agency securities based on quoted prices in active markets for identical securities. The Company measures the fair value of the Level 2 securities, including corporate bonds and commercial paper, based on recent trades of securities in inactive markets or based on quoted market prices of similar instruments and other significant inputs derived from or corroborated by observable market data.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Cash equivalents and available-for-sale marketable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equivalents and available-for-sale marketable securities included the following as of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55"/>
        <w:gridCol w:w="146"/>
        <w:gridCol w:w="211"/>
        <w:gridCol w:w="146"/>
        <w:gridCol w:w="781"/>
        <w:gridCol w:w="146"/>
        <w:gridCol w:w="146"/>
        <w:gridCol w:w="240"/>
        <w:gridCol w:w="166"/>
        <w:gridCol w:w="480"/>
        <w:gridCol w:w="146"/>
        <w:gridCol w:w="146"/>
        <w:gridCol w:w="238"/>
        <w:gridCol w:w="164"/>
        <w:gridCol w:w="425"/>
        <w:gridCol w:w="166"/>
        <w:gridCol w:w="146"/>
        <w:gridCol w:w="255"/>
        <w:gridCol w:w="176"/>
        <w:gridCol w:w="582"/>
        <w:gridCol w:w="166"/>
        <w:gridCol w:w="146"/>
        <w:gridCol w:w="211"/>
        <w:gridCol w:w="146"/>
        <w:gridCol w:w="781"/>
        <w:gridCol w:w="394"/>
      </w:tblGrid>
      <w:tr>
        <w:trPr/>
        <w:tc>
          <w:tcPr>
            <w:tcW w:w="3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than</w:t>
              <w:br/>
              <w:t>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0" w:type="dxa"/>
            <w:gridSpan w:val="2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191,029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of the Company’s marketable securities as of June 30, 2026 and December 31, 2025, have a contractual maturity of two years or less.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reviews investments whenever the fair value of an investment is less than the amortized cost and evidence indicates that an investment’s carrying amount is not recoverable within a reasonable period of time. In connection with these investments,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on the condensed consolidated balance sheet, limited by the amount that the fair value is less than the amortized cost basis. Any impairment that is not related to credit is recognized in other comprehensive (loss) income. Changes in the allowance for credit losses are recorded as a provision for (or reversal of) credit loss expense in other income, net within the condensed consolidated statement of operations and comprehensive (loss) income. Losses are charged against the allowance when the Company believes the uncollectability of an available-for-sale security is confirmed or when either of the criteria regarding intent or requirement to sell is met. No credit losses were recorded during the periods presented.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Company held 58 and 20 marketable securities, respectively, that were in an unrealized loss position, representing $74.5 million and $26.6 million in fair value, respectively. The unrealized losses as of June 30, 2026 and December 31, 2025, were attributable to changes in interest rates and do not represent credit losses. The Company does not intend to sell these securities, and it is not more likely than not that it will be required to sell them before recovery of their amortized cost basis.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within the condensed consolidated balance sheets that sum to the total of the same amounts shown in the condensed consolidated statements of cash flows:</w:t>
      </w:r>
    </w:p>
    <w:p>
      <w:pPr>
        <w:pStyle w:val="TextBody"/>
        <w:bidi w:val="0"/>
        <w:jc w:val="left"/>
        <w:rPr/>
      </w:pPr>
      <w:r>
        <w:rPr/>
        <w:t> </w:t>
      </w:r>
    </w:p>
    <w:tbl>
      <w:tblPr>
        <w:tblW w:w="8640" w:type="dxa"/>
        <w:jc w:val="left"/>
        <w:tblInd w:w="0" w:type="dxa"/>
        <w:tblLayout w:type="fixed"/>
        <w:tblCellMar>
          <w:top w:w="28" w:type="dxa"/>
          <w:left w:w="28" w:type="dxa"/>
          <w:bottom w:w="28" w:type="dxa"/>
          <w:right w:w="28" w:type="dxa"/>
        </w:tblCellMar>
      </w:tblPr>
      <w:tblGrid>
        <w:gridCol w:w="5356"/>
        <w:gridCol w:w="146"/>
        <w:gridCol w:w="233"/>
        <w:gridCol w:w="161"/>
        <w:gridCol w:w="746"/>
        <w:gridCol w:w="146"/>
        <w:gridCol w:w="146"/>
        <w:gridCol w:w="309"/>
        <w:gridCol w:w="214"/>
        <w:gridCol w:w="992"/>
        <w:gridCol w:w="19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deposits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cash balances for both periods presented are held in the form of money market accounts and represent collateral for the Company’s facility lease obligations.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Accrued expenses as of June 30, 2026 and December 31, 2025, consist of the following:</w:t>
      </w:r>
    </w:p>
    <w:p>
      <w:pPr>
        <w:pStyle w:val="TextBody"/>
        <w:bidi w:val="0"/>
        <w:jc w:val="left"/>
        <w:rPr/>
      </w:pPr>
      <w:r>
        <w:rPr/>
        <w:t> </w:t>
      </w:r>
    </w:p>
    <w:tbl>
      <w:tblPr>
        <w:tblW w:w="6445" w:type="dxa"/>
        <w:jc w:val="left"/>
        <w:tblInd w:w="0" w:type="dxa"/>
        <w:tblLayout w:type="fixed"/>
        <w:tblCellMar>
          <w:top w:w="28" w:type="dxa"/>
          <w:left w:w="28" w:type="dxa"/>
          <w:bottom w:w="28" w:type="dxa"/>
          <w:right w:w="28" w:type="dxa"/>
        </w:tblCellMar>
      </w:tblPr>
      <w:tblGrid>
        <w:gridCol w:w="2761"/>
        <w:gridCol w:w="346"/>
        <w:gridCol w:w="259"/>
        <w:gridCol w:w="179"/>
        <w:gridCol w:w="702"/>
        <w:gridCol w:w="146"/>
        <w:gridCol w:w="146"/>
        <w:gridCol w:w="309"/>
        <w:gridCol w:w="214"/>
        <w:gridCol w:w="992"/>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Lease obligation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Company has a lease for laboratory and office space at 75 Hayden Avenue in Lexington, Massachusetts (the “Lexington Facility”) through January 31, 2031, and a lease for additional office and laboratory space at 64 Sidney Street in Cambridge, Massachusetts (the “Cambridge Facility”) through November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2023, the Company entered into a first amendment (the “First Amendment”) to its existing lease for the Lexington Facility, pursuant to which the Company agreed to lease approximately 61,307 square feet of additional office and laboratory space. The commencement date for the First Amendment occurred on February 1, 2024. The expected contractual obligation under the First Amendment to the Company’s existing lease for the Lexington Facility is approximately $35.4 million, to be paid over the 7-year term of the lease.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lease agreements require the Company to maintain a cash deposit or irrevocable letter of credit in the aggregate amount of $2.7 million payable to its landlords as security for the performance of its obligations under the leases. These amounts are recorded as restricted cash in the accompanying condensed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2024, the Company executed the sublease of the Cambridge Facility (the “Sublease Agreement”). Payments received under the Sublease Agreement are included in other income in the condensed consolidated statements of operations and comprehensive (loss) income. Subject to certain conditions set forth therein, the Sublease Agreement terminates simultaneously with the Company’s lease for the Cambridge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cost was $1.8 million and $1.9 million during the three months ended June 30, 2026 and 2025, respectively. Operating lease cost was $3.7 million and $3.8 million during the six months ended June 30, 2026 and 2025, respectively. As of June 30, 2026, the weighted-average remaining lease term was 3.2 years and the weighted-average incremental borrowing rate used to determine the operating lease liability was 6.5%.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operating sublease income generated under the Sublease Agreement for the three and six months ended June 30, 2026 and 2025:</w:t>
      </w:r>
    </w:p>
    <w:p>
      <w:pPr>
        <w:pStyle w:val="TextBody"/>
        <w:bidi w:val="0"/>
        <w:jc w:val="left"/>
        <w:rPr/>
      </w:pPr>
      <w:r>
        <w:rPr/>
        <w:t> </w:t>
      </w:r>
    </w:p>
    <w:tbl>
      <w:tblPr>
        <w:tblW w:w="6636" w:type="dxa"/>
        <w:jc w:val="left"/>
        <w:tblInd w:w="0" w:type="dxa"/>
        <w:tblLayout w:type="fixed"/>
        <w:tblCellMar>
          <w:top w:w="28" w:type="dxa"/>
          <w:left w:w="28" w:type="dxa"/>
          <w:bottom w:w="28" w:type="dxa"/>
          <w:right w:w="28" w:type="dxa"/>
        </w:tblCellMar>
      </w:tblPr>
      <w:tblGrid>
        <w:gridCol w:w="2311"/>
        <w:gridCol w:w="146"/>
        <w:gridCol w:w="211"/>
        <w:gridCol w:w="146"/>
        <w:gridCol w:w="421"/>
        <w:gridCol w:w="146"/>
        <w:gridCol w:w="146"/>
        <w:gridCol w:w="211"/>
        <w:gridCol w:w="146"/>
        <w:gridCol w:w="421"/>
        <w:gridCol w:w="146"/>
        <w:gridCol w:w="146"/>
        <w:gridCol w:w="211"/>
        <w:gridCol w:w="146"/>
        <w:gridCol w:w="421"/>
        <w:gridCol w:w="146"/>
        <w:gridCol w:w="146"/>
        <w:gridCol w:w="211"/>
        <w:gridCol w:w="146"/>
        <w:gridCol w:w="42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due under operating leases are as follows:</w:t>
      </w:r>
    </w:p>
    <w:p>
      <w:pPr>
        <w:pStyle w:val="TextBody"/>
        <w:bidi w:val="0"/>
        <w:jc w:val="left"/>
        <w:rPr/>
      </w:pPr>
      <w:r>
        <w:rPr/>
        <w:t> </w:t>
      </w:r>
    </w:p>
    <w:tbl>
      <w:tblPr>
        <w:tblW w:w="6253" w:type="dxa"/>
        <w:jc w:val="left"/>
        <w:tblInd w:w="0" w:type="dxa"/>
        <w:tblLayout w:type="fixed"/>
        <w:tblCellMar>
          <w:top w:w="28" w:type="dxa"/>
          <w:left w:w="28" w:type="dxa"/>
          <w:bottom w:w="28" w:type="dxa"/>
          <w:right w:w="28" w:type="dxa"/>
        </w:tblCellMar>
      </w:tblPr>
      <w:tblGrid>
        <w:gridCol w:w="4221"/>
        <w:gridCol w:w="146"/>
        <w:gridCol w:w="302"/>
        <w:gridCol w:w="973"/>
        <w:gridCol w:w="61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Minimum</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 Payments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Commitments, contingencies and other liabilities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Agreements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2016, the Company entered into a research and development funding arrangement with a non-profit organization that provided up to $4.0 million in funding to the Company upon the achievement of clinical and development milestones. The agreement, as amended in 2022, provides that the Company is obligated to repay amounts received under certain circumstances, including termination of the agreement, and to pay an amount up to 2.6 times the funding received upon successful development and commercialization of any products developed. In 2017, the Company earned a milestone payment of $1.0 million. The Company evaluated the arrangement and concluded that it represents a research and development financing arrangement as it is probable that the Company will repay amounts received under the arrangement. As a result, the $1.0 million is recorded as a non-current liability in the condensed consolidated balance sheet.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was not a party to any material legal matters or claims as of June 30, 2026 or December 31, 2025. The Company did not have contingency reserves established for any litigation liabilities as of June 30, 2026 or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Significant agreements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Company’s significant agreements are described in Note 9, </w:t>
      </w:r>
      <w:r>
        <w:rPr>
          <w:rFonts w:ascii="Times New Roman" w:hAnsi="Times New Roman"/>
          <w:i/>
          <w:color w:val="000000"/>
          <w:sz w:val="20"/>
        </w:rPr>
        <w:t>Significant Agreements,</w:t>
      </w:r>
      <w:r>
        <w:rPr>
          <w:rFonts w:ascii="Times New Roman" w:hAnsi="Times New Roman"/>
          <w:color w:val="000000"/>
          <w:sz w:val="20"/>
        </w:rPr>
        <w:t xml:space="preserve"> within the “Notes to Consolidated Financial Statements” accompanying the Company’s Annual Report on Form 10-K for the fiscal year ended December 31, 2025. During the three and six months ended June 30, 2026, there were no material changes to the Company’s collaboration agreements or option and license agreements, and the Company did not enter into any new material collaboration or license agreements. The Company recorded collaboration revenue of $3.2 million and $5.2 million during the three months ended June 30, 2026 and 2025, respectively. The Company recorded collaboration revenue of $5.8 million and $11.7 million during the six months ended June 30, 2026 and 2025,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Related Party Collaboration Receivable and Deferred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changes in the balances of the Company’s related party collaboration receivable and contract liabilities (reflected as deferred revenue in the condensed consolidated balance sheets) for the collaboration and license agreement the Company entered into with Neurocrine in January 2023 (the “2023 Neurocrine Collaboration Agreement”) and the collaboration and license agreement the Company entered into with Neurocrine in January 2019 (the “2019 Neurocrine Collaboration Agreement”) during the six months ended June 30, 2026:</w:t>
      </w:r>
    </w:p>
    <w:p>
      <w:pPr>
        <w:pStyle w:val="TextBody"/>
        <w:bidi w:val="0"/>
        <w:jc w:val="left"/>
        <w:rPr/>
      </w:pPr>
      <w:r>
        <w:rPr/>
        <w:t> </w:t>
      </w:r>
    </w:p>
    <w:tbl>
      <w:tblPr>
        <w:tblW w:w="8398" w:type="dxa"/>
        <w:jc w:val="left"/>
        <w:tblInd w:w="0" w:type="dxa"/>
        <w:tblLayout w:type="fixed"/>
        <w:tblCellMar>
          <w:top w:w="28" w:type="dxa"/>
          <w:left w:w="28" w:type="dxa"/>
          <w:bottom w:w="28" w:type="dxa"/>
          <w:right w:w="28" w:type="dxa"/>
        </w:tblCellMar>
      </w:tblPr>
      <w:tblGrid>
        <w:gridCol w:w="3316"/>
        <w:gridCol w:w="146"/>
        <w:gridCol w:w="249"/>
        <w:gridCol w:w="172"/>
        <w:gridCol w:w="674"/>
        <w:gridCol w:w="146"/>
        <w:gridCol w:w="146"/>
        <w:gridCol w:w="215"/>
        <w:gridCol w:w="149"/>
        <w:gridCol w:w="432"/>
        <w:gridCol w:w="146"/>
        <w:gridCol w:w="146"/>
        <w:gridCol w:w="211"/>
        <w:gridCol w:w="146"/>
        <w:gridCol w:w="631"/>
        <w:gridCol w:w="166"/>
        <w:gridCol w:w="146"/>
        <w:gridCol w:w="236"/>
        <w:gridCol w:w="163"/>
        <w:gridCol w:w="471"/>
        <w:gridCol w:w="2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6"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collaboration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the related party collaboration receivable balance for the six months ended June 30, 2026, is primarily driven by amounts owed to the Company for research and development services provided, offset by amounts collected during the period, under the 2023 and 2019 Neurocrine Collaboration Agreements. Deferred revenue activity for the six months ended June 30, 2026, includes the recording of $1.3 million of collaboration revenue recognized on the proportional performance model during the period for the 2023 and 2019 Neurocrine Collaboration Agreements.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Stock</w:t>
        <w:noBreakHyphen/>
        <w:t>based compensation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w:t>
        <w:noBreakHyphen/>
        <w:t>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compensation cost recognized for all stock</w:t>
        <w:noBreakHyphen/>
        <w:t>based compensation awards in the condensed consolidated statements of operations and comprehensive loss was as follows:</w:t>
      </w:r>
    </w:p>
    <w:p>
      <w:pPr>
        <w:pStyle w:val="TextBody"/>
        <w:bidi w:val="0"/>
        <w:jc w:val="left"/>
        <w:rPr/>
      </w:pPr>
      <w:r>
        <w:rPr/>
        <w:t> </w:t>
      </w:r>
    </w:p>
    <w:tbl>
      <w:tblPr>
        <w:tblW w:w="8976" w:type="dxa"/>
        <w:jc w:val="left"/>
        <w:tblInd w:w="0" w:type="dxa"/>
        <w:tblLayout w:type="fixed"/>
        <w:tblCellMar>
          <w:top w:w="28" w:type="dxa"/>
          <w:left w:w="28" w:type="dxa"/>
          <w:bottom w:w="28" w:type="dxa"/>
          <w:right w:w="28" w:type="dxa"/>
        </w:tblCellMar>
      </w:tblPr>
      <w:tblGrid>
        <w:gridCol w:w="3651"/>
        <w:gridCol w:w="346"/>
        <w:gridCol w:w="211"/>
        <w:gridCol w:w="146"/>
        <w:gridCol w:w="571"/>
        <w:gridCol w:w="146"/>
        <w:gridCol w:w="146"/>
        <w:gridCol w:w="211"/>
        <w:gridCol w:w="146"/>
        <w:gridCol w:w="571"/>
        <w:gridCol w:w="146"/>
        <w:gridCol w:w="146"/>
        <w:gridCol w:w="211"/>
        <w:gridCol w:w="146"/>
        <w:gridCol w:w="571"/>
        <w:gridCol w:w="146"/>
        <w:gridCol w:w="146"/>
        <w:gridCol w:w="211"/>
        <w:gridCol w:w="146"/>
        <w:gridCol w:w="57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October 2015, the Company’s board of directors (the “Board”)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 percentages only) of the employee’s base pay for each payroll period. At the end of each payment period, the accumulated deductions are used to purchase shares of common stock from the Company at a discount. A total of 262,362 shares of common stock were initially authorized for issuance under the 2015 ESPP.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18, 2025, the Board adopted, and on June 3, 2025, the stockholders approved, the Amended and Restated 2015 Employee Stock Purchase Plan (together with the 2015 ESPP, the “ESPP”) to (i) eliminate the evergreen provision in the 2015 ESPP and (ii) expand the class of eligible employees by eliminating the requirement that participants must have completed six months of employment.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there were 1,736,020 shares available for future purchase under the ESPP.</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2025 Stock Incentive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18, 2025, the Board adopted, and on June 3, 2025, the stockholders approved, the 2025 Stock Incentive Plan (the “2025 Plan”). Under the 2025 Plan, the Company may issue awards for up to a number of shares of common stock equal to the sum of: (i) 3,631,952 shares of common stock; and (ii) such additional number of shares of common stock (up to 14,190,976 shares) as is equal to the sum of (x) the number of shares of common stock reserved for issuance under the Company’s 2015 Stock Option and Incentive Plan (the “2015 Plan”) that remained available for grant thereunder immediately prior to the date that the 2025 Plan was approved by our stockholders and (y) the number of shares of common stock subject to awards granted under the 2015 Plan that were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outstanding as of the date that the 2025 Plan was approved by our stockholders and which awards expire, terminate or are otherwise surrendered, cancelled, forfeited or repurchased by the Company at their original issuance price pursuant to a contractual repurchase right (subject, however, in the case of incentive stock options, to any limitations under the Internal Revenue Code of 1986, as amended, and any regulations thereunder).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intends to utilize the 2025 Plan to grant equity awards to the Company’s employees, non-employee directors, consultants, and advisors in order to recruit, incentivize, retain and reward those who are critical to the Company’s success. No new awards will be granted under the 2015 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there were 5,335,281 shares available under the 2025 Plan.</w:t>
      </w:r>
    </w:p>
    <w:p>
      <w:pPr>
        <w:pStyle w:val="TextBody"/>
        <w:bidi w:val="0"/>
        <w:spacing w:before="200" w:after="283"/>
        <w:jc w:val="left"/>
        <w:rPr>
          <w:rFonts w:ascii="Times New Roman" w:hAnsi="Times New Roman"/>
          <w:sz w:val="20"/>
        </w:rPr>
      </w:pPr>
      <w:r>
        <w:rPr>
          <w:rFonts w:ascii="Times New Roman" w:hAnsi="Times New Roman"/>
          <w:b/>
          <w:i/>
          <w:color w:val="000000"/>
          <w:sz w:val="20"/>
        </w:rPr>
        <w:t>Restricted Stock Units and Performance Restricted Stock Units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the status of and changes in unvested restricted stock unit (“RSU”) activity and performance-based restricted stock unit (“PRSU”) activity under the Company’s equity award plans for the six months ended June 30, 2026, was as follows:</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2926"/>
        <w:gridCol w:w="146"/>
        <w:gridCol w:w="146"/>
        <w:gridCol w:w="931"/>
        <w:gridCol w:w="166"/>
        <w:gridCol w:w="146"/>
        <w:gridCol w:w="500"/>
        <w:gridCol w:w="346"/>
        <w:gridCol w:w="1104"/>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Unit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RSUs granted during the six months ended June 30, 2026, vest in equal amounts, annually over three years. Stock-based compensation for RSUs is based on the fair value of the Company’s common stock on the date of grant and is recognized over the vesting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Company had unrecognized stock-based compensation expense related to its unvested RSUs (excluding PRSUs) of $5.0 million, which is expected to be recognized over the remaining average vesting period of 2.0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first quarter of 2025, in connection with the Company’s annual compensation cycle, the Company granted PRSUs to members of the Company’s senior leadership team to more closely align with long-term performance incentives. The awards vest as to a certain number of PRSUs upon the achievement of specified clinical performance milestones over multiple years. Stock-based compensation for PRSUs is based on the fair value of the Company’s common stock on the date of grant and will be recognized at the time the achievement of the specified performance milestones becomes probable. The Company did not recognize any stock-based compensation expense in connection with the PRSUs during the six months ended June 30,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Company had unrecognized stock-based compensation expense related to its unvested PRSUs of $2.0 million. The Company will recognize a cumulative catch-up adjustment in the period in which the specified performance condition is considered probable.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stock option activity for the six months ended June 30, 2026:</w:t>
      </w:r>
    </w:p>
    <w:p>
      <w:pPr>
        <w:pStyle w:val="TextBody"/>
        <w:bidi w:val="0"/>
        <w:jc w:val="left"/>
        <w:rPr/>
      </w:pPr>
      <w:r>
        <w:rPr/>
        <w:t> </w:t>
      </w:r>
    </w:p>
    <w:tbl>
      <w:tblPr>
        <w:tblW w:w="9200"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288"/>
        <w:gridCol w:w="199"/>
        <w:gridCol w:w="637"/>
        <w:gridCol w:w="146"/>
        <w:gridCol w:w="146"/>
        <w:gridCol w:w="323"/>
        <w:gridCol w:w="802"/>
        <w:gridCol w:w="146"/>
        <w:gridCol w:w="146"/>
        <w:gridCol w:w="266"/>
        <w:gridCol w:w="184"/>
        <w:gridCol w:w="720"/>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had unrecognized stock-based compensation expense related to its unvested stock options of $11.1 million, which is expected to be recognized over the remaining weighted-average vesting period of 2.5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purposes of the diluted net loss per share, unvested restricted common stock awards, unvested RSUs and PRSUs, and outstanding stock options are considered to be potentially dilutive securities. Unvested RSUs and PRSUs and outstanding stock options were excluded from the calculation of diluted net loss per share in the three and six months ended June 30, 2026 and 2025, because their effect would be anti-dilutive and therefore, basic and diluted net loss per share were the same for the three and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the outstanding potentially dilutive securities that have been excluded in the calculation of diluted net loss per share because to include them would be anti-dilutive:</w:t>
      </w:r>
    </w:p>
    <w:p>
      <w:pPr>
        <w:pStyle w:val="TextBody"/>
        <w:bidi w:val="0"/>
        <w:jc w:val="left"/>
        <w:rPr/>
      </w:pPr>
      <w:r>
        <w:rPr/>
        <w:t> </w:t>
      </w:r>
    </w:p>
    <w:tbl>
      <w:tblPr>
        <w:tblW w:w="5665" w:type="dxa"/>
        <w:jc w:val="left"/>
        <w:tblInd w:w="0" w:type="dxa"/>
        <w:tblLayout w:type="fixed"/>
        <w:tblCellMar>
          <w:top w:w="28" w:type="dxa"/>
          <w:left w:w="28" w:type="dxa"/>
          <w:bottom w:w="28" w:type="dxa"/>
          <w:right w:w="28" w:type="dxa"/>
        </w:tblCellMar>
      </w:tblPr>
      <w:tblGrid>
        <w:gridCol w:w="2326"/>
        <w:gridCol w:w="146"/>
        <w:gridCol w:w="146"/>
        <w:gridCol w:w="1036"/>
        <w:gridCol w:w="146"/>
        <w:gridCol w:w="146"/>
        <w:gridCol w:w="146"/>
        <w:gridCol w:w="146"/>
        <w:gridCol w:w="1036"/>
        <w:gridCol w:w="3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and PRSUs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2,726,298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13,071,465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Related</w:t>
        <w:noBreakHyphen/>
        <w:t>party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received scientific advisory and consulting services from one of its prior executives, Dinah Sah, Ph.D., the Company’s former Chief Scientific Officer. The total amount of fees paid to Dr. Sah for services provided during the three months ended June 30, 2026 and 2025 was $0.2 million and $0.1 million, respectively. The total amount of fees paid to Dr. Sah for services provided during each of the six months ended June 30, 2026 and 2025 was $0.3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both the 2019 Neurocrine Collaboration Agreement and the 2023 Neurocrine Collaboration Agreement, the Company and Neurocrine have agreed to conduct research, development and commercialization activities for certain of the Company’s AAV gene therapy product candidates. Any amounts due from Neurocrine are reflected as related party collaboration receivable. Amounts received from Neurocrine that have not yet been recognized as revenue are reflected as deferred revenue. Refer to Note 8 for further description of these account balances.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and 2025, the Company recognized collaboration revenue of $0.4 million and $3.7 million, respectively, related to the 2023 and 2019 Neurocrine Collaboration Agreements. For the six months ended June 30, 2026 and 2025, the Company recognized collaboration revenue of $1.8 million and $8.6 million, respectively, related to the 2023 and 2019 Neurocrine Collaboration Agreements.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Segment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Chief Operating Decision Maker (“CODM”), the Company’s Chief Executive Officer, views the Company’s operations and manages its business as a single operating segment, which is the business of developing and commercializing genetic medicines. The Company therefore has one reportable segment.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CODM reviews the segment’s profit or loss based on net loss reported on the condensed consolidated statement of operations and comprehensive loss and considers forecast-to-actual variances quarterly for expenses that are deemed significant in making resource allocation decisions and assessing performance. Further, the CODM reviews the segment’s assets based on total assets reported on the condensed consolidated balance sheets. All long-lived assets are held in the United States.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CODM views specific categories within research and development expenses and general and administrative expenses in totality as significant. Further, the CODM views the external research and development expenses of specific programs as significant given the impact on achieving the Company’s corporate goals. The following table reconciles reported collaboration revenue and segment expenses to net loss under the significant expense principle for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0"/>
        <w:gridCol w:w="146"/>
        <w:gridCol w:w="211"/>
        <w:gridCol w:w="146"/>
        <w:gridCol w:w="736"/>
        <w:gridCol w:w="166"/>
        <w:gridCol w:w="146"/>
        <w:gridCol w:w="211"/>
        <w:gridCol w:w="146"/>
        <w:gridCol w:w="736"/>
        <w:gridCol w:w="166"/>
        <w:gridCol w:w="146"/>
        <w:gridCol w:w="211"/>
        <w:gridCol w:w="146"/>
        <w:gridCol w:w="736"/>
        <w:gridCol w:w="166"/>
        <w:gridCol w:w="146"/>
        <w:gridCol w:w="211"/>
        <w:gridCol w:w="146"/>
        <w:gridCol w:w="736"/>
        <w:gridCol w:w="591"/>
      </w:tblGrid>
      <w:tr>
        <w:trPr/>
        <w:tc>
          <w:tcPr>
            <w:tcW w:w="4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External research and development </w:t>
            </w:r>
            <w:r>
              <w:rPr>
                <w:rFonts w:ascii="Times New Roman" w:hAnsi="Times New Roman"/>
                <w:color w:val="000000"/>
                <w:sz w:val="13"/>
              </w:rPr>
              <w:t>(1)</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Anti-tau antibody program (VY7523)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Tau silencing gene therapy program (VY1706)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SOD1 silencing gene therapy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Partnered programs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Other programs and platforms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Internal research and development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Facilities and other research and development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External research and development is allocated to the Company’s programs and platforms and includes laboratory supplies and non-employee consultant and contractor costs.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Partnered programs include programs in which the Company is collaborating with partners to develop AAV gene therapy products and product candidates under the Company’s 2019 and 2023 Neurocrine Collaboration Agreements and the License and Collaboration Agreement the Company entered into with Novartis on December 28, 2023.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Other programs and platforms consist of expenses related to other early research programs and platforms that are not considered quantitatively and qualitatively significant, including capsid discovery, non-viral delivery, and early research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Internal research and development consist of employee-related expenses, including salaries, benefits, and stock-based compensation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expense is allocated between general and administrative and facilities and other research and development.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financial information and the notes thereto included in our Annual Report on Form 10-K for the fiscal year ended December 31, 2025, which was filed with the Securities and Exchange Commission, or the SEC, on March 9, 2026.</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The following information and any forward-looking statements should be considered in light of factors discussed in Part I, Item 1A, "Risk Factors" of our Annual Report on Form 10-K for the fiscal year ended December 31, 2025, and, if applicable, those included under Part II, Item 1A of our Quarterly Reports on Form 10-Q, that could cause actual future results or events to differ materially from the forward-looking statements that we make.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biotechnology company whose mission is to leverage the power of human genetics to modify the course of and ultimately cure neurological diseases. Our pipeline includes programs for Alzheimer’s disease, or AD; Friedreich’s ataxia, or FA; Parkinson’s disease, or PD; and multiple other diseases of the central nervous system, or CNS. Many of our programs are derived from our TRACER (Tropism Redirection of AAV by Cell-type-specific Expression of RNA) adeno-associated virus, or AAV, capsid discovery platform, which we have used to generate novel capsids, or TRACER Capsids, and identify associated receptors to potentially enable high brain penetration with genetic medicines following intravenous, or IV, dosing. Some of our programs are wholly-owned, and some are advancing with licensees and collaborators, including Alexion, AstraZeneca Rare Disease, or Alexion; Novartis Pharma AG, or Novartis; Neurocrine Biosciences, Inc., or Neurocrine; and Transition Bio, Inc., or Transition Bio.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advancing our own proprietary pipeline of drug candidates for neurological diseases, with a focus on AD. Our wholly-owned prioritized pipeline includes two programs targeting tau, a protein associated with neurodegeneration and cognitive decline in AD as well as multiple other tauopathies. VY1706 is an investigational tau-silencing gene therapy product candidate for the treatment of AD, and VY7523 is an investigational anti-tau antibody product candidate for the treatment of AD. </w:t>
      </w:r>
    </w:p>
    <w:p>
      <w:pPr>
        <w:pStyle w:val="TextBody"/>
        <w:bidi w:val="0"/>
        <w:spacing w:before="200" w:after="283"/>
        <w:jc w:val="left"/>
        <w:rPr>
          <w:rFonts w:ascii="Times New Roman" w:hAnsi="Times New Roman"/>
          <w:sz w:val="20"/>
        </w:rPr>
      </w:pPr>
      <w:r>
        <w:rPr>
          <w:rFonts w:ascii="Times New Roman" w:hAnsi="Times New Roman"/>
          <w:color w:val="000000"/>
          <w:sz w:val="20"/>
        </w:rPr>
        <w:t>VY1706 is designed to reduce the production of tau in the brain. The core of VY1706 is a vectorized small interfering RNA, or siRNA, that targets microtubule-associated protein tau, or MAPT, messenger RNA, or mRNA, to decrease levels of both intracellular and extracellular tau in the brain. This core is encapsulated in a Voyager TRACER AAV capsid that leverages alkaline phosphatase, or ALPL, a well-conserved, novel receptor identified by us, designed to deliver the siRNA into the brain following a one-time IV dose. In a preclinical program spanning multiple species, VY1706 has demonstrated a favorable tolerability profile and has been shown to reduce tau protein by up to 75% in key non-human primate, or NHP, brain regions relevant to AD while de-targeting the liver. In a good laboratory practice, or GLP, toxicology study of VY1706, the results of which were presented in July 2026 at the Alzheimer's Association International Conference, VY1706 demonstrated a favorable tolerability profile, with no adverse clinical pathology or histopathological findings observed in NHPs in the CNS, dorsal root ganglia, and peripheral organs (including liver) up to the highest dose tested of 5 x 10</w:t>
      </w:r>
      <w:r>
        <w:rPr>
          <w:rFonts w:ascii="Times New Roman" w:hAnsi="Times New Roman"/>
          <w:color w:val="000000"/>
          <w:sz w:val="13"/>
        </w:rPr>
        <w:t>13</w:t>
      </w:r>
      <w:r>
        <w:rPr>
          <w:rFonts w:ascii="Times New Roman" w:hAnsi="Times New Roman"/>
          <w:color w:val="000000"/>
          <w:sz w:val="20"/>
        </w:rPr>
        <w:t xml:space="preserve"> vector genomes per kilogram. Additionally, VY1706 was shown to reduce MAPT mRNA and tau protein by up to 75% in key NHP brain regions relevant to AD through six months. </w:t>
      </w:r>
    </w:p>
    <w:p>
      <w:pPr>
        <w:pStyle w:val="TextBody"/>
        <w:bidi w:val="0"/>
        <w:spacing w:before="200" w:after="283"/>
        <w:jc w:val="left"/>
        <w:rPr>
          <w:rFonts w:ascii="Times New Roman" w:hAnsi="Times New Roman"/>
          <w:sz w:val="20"/>
        </w:rPr>
      </w:pPr>
      <w:r>
        <w:rPr>
          <w:rFonts w:ascii="Times New Roman" w:hAnsi="Times New Roman"/>
          <w:color w:val="000000"/>
          <w:sz w:val="20"/>
        </w:rPr>
        <w:t>In the second quarter of 2026, the U.S. Food and Drug Administration, or FDA, cleared our Investigational New Drug, or IND, application for VY1706, enabling initiation of a clinical trial of VY1706 in adults with early AD who have evidence of tau pathology in the brain as confirmed by positron emission tomography, or PET. In July 2026, Health Canada cleared our Clinical Trial Application, or CTA, enabling the inclusion of Canadian clinical trial sites in the trial. The multi-site, open-label, dose-escalation clinical trial is expected to enroll up to 18 patients across three cohorts, with the highest dose not exceeding 5 x 10</w:t>
      </w:r>
      <w:r>
        <w:rPr>
          <w:rFonts w:ascii="Times New Roman" w:hAnsi="Times New Roman"/>
          <w:color w:val="000000"/>
          <w:sz w:val="13"/>
        </w:rPr>
        <w:t>13</w:t>
      </w:r>
      <w:r>
        <w:rPr>
          <w:rFonts w:ascii="Times New Roman" w:hAnsi="Times New Roman"/>
          <w:color w:val="000000"/>
          <w:sz w:val="20"/>
        </w:rPr>
        <w:t xml:space="preserve"> vector genomes per kilogram. VY1706 will be administered in the trial as a one-time IV dose. The primary endpoint of the trial is to evaluate the safety and tolerability of VY1706. Secondary endpoints are designed to assess VY1706’s effect on tau biology, including changes in cerebrospinal fluid, or CSF, biomarkers of tau and changes in tau pathology measured by tau PET imaging. Dosing is expected to begin in the fourth quarter of 2026. We expect to provide three critical data updates during the trial, beginning with initial acute safety data, which we anticipate announcing in early 2027, pending enrollment progress and timing. The second and third anticipated data updates include initial capsid platform validation, which we define as gene expression as measured by CSF tau, and initial asset proof-of-concept, which we define as changes in tau pathology measured by PET imaging data. We anticipate the potential to observe initial CSF tau biomarker-based data beginning in the second half of 2027, pending enrollment progress and timing.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VY7523 is an IV-administered, recombinant, humanized IgG4 monoclonal antibody developed to inhibit the spread of extracellular tau, which is closely correlated with disease progression and cognitive decline in AD. VY7523 targets an epitope in the C-terminal region and is specific for pathological tau. The murine version of VY7523 reduced tau spread by approximately 70% in preclinical studies. VY7523 demonstrated an acceptable safety, tolerability, and immunogenicity profile as well as expected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pharmacokinetic results in a Phase 1, single ascending dose clinical trial in healthy volunteers. In February 2025, we initiated a Phase 1 multiple ascending dose, or MAD, clinical trial of VY7523 in early AD patients. Enrollment in this MAD clinical trial was completed in the fourth quarter of 2025, and we expect initial tau PET imaging efficacy data in the fourth quarter of 2026.</w:t>
      </w:r>
    </w:p>
    <w:p>
      <w:pPr>
        <w:pStyle w:val="TextBody"/>
        <w:bidi w:val="0"/>
        <w:spacing w:before="200" w:after="283"/>
        <w:jc w:val="left"/>
        <w:rPr>
          <w:rFonts w:ascii="Times New Roman" w:hAnsi="Times New Roman"/>
          <w:sz w:val="20"/>
        </w:rPr>
      </w:pPr>
      <w:r>
        <w:rPr>
          <w:rFonts w:ascii="Times New Roman" w:hAnsi="Times New Roman"/>
          <w:color w:val="000000"/>
          <w:sz w:val="20"/>
        </w:rPr>
        <w:t>Our proprietary pipeline also includes an early research initiative to develop a non-viral therapeutic that leverages our proprietary Voyager NeuroShuttle</w:t>
      </w:r>
      <w:r>
        <w:rPr>
          <w:rFonts w:ascii="Times New Roman" w:hAnsi="Times New Roman"/>
          <w:color w:val="000000"/>
          <w:sz w:val="13"/>
        </w:rPr>
        <w:t>TM</w:t>
      </w:r>
      <w:r>
        <w:rPr>
          <w:rFonts w:ascii="Times New Roman" w:hAnsi="Times New Roman"/>
          <w:color w:val="000000"/>
          <w:sz w:val="20"/>
        </w:rPr>
        <w:t xml:space="preserve"> platform for the treatment of an undisclosed neurological disease.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our wholly-owned pipeline, we are advancing three programs with collaboration partners for which we retain options to participate in future development and commercialization. Two of these programs are in collaboration with Neurocrine: a frataxin (FXN) gene therapy program for FA, or the FA Program, and a glucosylceramidase beta 1 gene therapy program that will focus on Gaucher disease and PD, or the GBA1 Program. Neurocrine has stated that, pending successful FDA IND clearance, it intends to initiate a clinical trial with NBIB-’223 for the treatment of FA in the second half of 2026. In preclinical studies, IV-administered NBIB-’223 resulted in protein expression in the brain and heart, and GLP toxicology studies for NBIB-’223 are now complete. In May 2026, FDA granted orphan drug designation to NBIB-’223 for the treatment of FA. Neurocrine has informed us that it continues to progress the GBA1 Program in addition to three gene therapy programs for which we do not have opt-in rights. We maintain options to co-develop and co-commercialize the FA Program, under which profits and losses of the program would be allocated 60% to Neurocrine and 40% to us, and the GBA1 Program, under which profits and losses of the program would be allocated 50% to Neurocrine and 50% to us, in each case in the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third opt-in program is our collaboration with Transition Bio to develop selective small molecules for the treatment of amyotrophic lateral sclerosis, or ALS, and frontotemporal dementia with TDP-43 pathology. We have an option for an exclusive license to the worldwide rights to develop and commercialize this program, which is in the research stage.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three partnered programs for which we retain opt-in rights, we have entered into multiple additional collaboration and licensing agreements with collaboration partners.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collaborating with Neurocrine on three gene therapy programs against undisclosed targets. Two of these three programs have development candidates selected and are advancing through preclinical toxicology studies. In addition to the Neurocrine collaborations, we have partnered with Novartis on TRACER Capsid-based gene therapy programs for spinal muscular atrophy, or SMA, and Huntington’s disease, or HD. We have also licensed capsids to Novartis for one undisclosed CNS target and to Alexion for one undisclosed rare neurological disease target. In total, our partnerships have delivered more than $500.0 million in non-dilutive funding to us to date, including upfront fees, development milestone payments, option exercise fees, license fees, and research and development expense reimbursement. Looking forward, we have the potential to earn up to $6.8 billion in milestone payments across the partnered portfolio, including $2.4 billion in potential development milestone payments, as well as royalties.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of the gene therapy product candidates in our wholly-owned and collaborative pipeline are delivered intravenously leveraging TRACER Capsids. TRACER is a broadly applicable, RNA-based screening platform that enables rapid discovery of AAV capsids with robust penetration of the blood-brain barrier, or BBB, and enhanced CNS tropism in multiple species, including NHPs. We subsequently utilized these BBB-penetrant capsids to identify the receptors by which the capsids enter the BBB. We have identified multiple receptors, including ALPL, that are capable of transporting a large biologic molecule, such as a capsid, across the BBB.</w:t>
      </w:r>
    </w:p>
    <w:p>
      <w:pPr>
        <w:pStyle w:val="TextBody"/>
        <w:bidi w:val="0"/>
        <w:spacing w:before="200" w:after="283"/>
        <w:jc w:val="left"/>
        <w:rPr>
          <w:rFonts w:ascii="Times New Roman" w:hAnsi="Times New Roman"/>
          <w:sz w:val="20"/>
        </w:rPr>
      </w:pPr>
      <w:r>
        <w:rPr>
          <w:rFonts w:ascii="Times New Roman" w:hAnsi="Times New Roman"/>
          <w:color w:val="000000"/>
          <w:sz w:val="20"/>
        </w:rPr>
        <w:t>We have leveraged our knowledge of BBB receptors, discovered using TRACER, to develop a second delivery platform called Voyager NeuroShuttle</w:t>
      </w:r>
      <w:r>
        <w:rPr>
          <w:rFonts w:ascii="Times New Roman" w:hAnsi="Times New Roman"/>
          <w:color w:val="000000"/>
          <w:sz w:val="13"/>
        </w:rPr>
        <w:t>TM</w:t>
      </w:r>
      <w:r>
        <w:rPr>
          <w:rFonts w:ascii="Times New Roman" w:hAnsi="Times New Roman"/>
          <w:color w:val="000000"/>
          <w:sz w:val="20"/>
        </w:rPr>
        <w:t>. Voyager NeuroShuttle is a non-viral delivery platform leveraging novel receptor-binding molecules to transport multiple modalities of neurotherapeutics across the BBB. The first NeuroShuttle within the platform leverages the ALPL receptor. During the third quarter of 2025, we shared the results of initial murine proof-of-concept studies of ALPL-VYGR-NeuroShuttle demonstrating in the study sustained brain expression over three weeks, compared to less than one week for transferrin receptor, or TfR, shuttles, with no impact on circulating reticulocytes or downstream measurements of anemia. In addition to the initial murine proof-of-concept data provided for the ALPL-VYGR-NeuroShuttle, a proof-of-concept study using anti-amyloid antibodies demonstrated that the ALPL-VYGR-NeuroShuttle showed similar target engagement to a TfR shuttle. We have initiated a discovery program using ALPL-VYGR-NeuroShuttle to target an undisclosed neurological disease.</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 of Our Pipeline</w:t>
      </w:r>
    </w:p>
    <w:p>
      <w:pPr>
        <w:pStyle w:val="TextBody"/>
        <w:bidi w:val="0"/>
        <w:jc w:val="center"/>
        <w:rPr/>
      </w:pPr>
      <w:r>
        <w:rPr/>
        <w:drawing>
          <wp:inline distT="0" distB="0" distL="0" distR="0">
            <wp:extent cx="6858000" cy="34004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858000" cy="34004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Collaboration and License Agreements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2023 Novartis License and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28, 2023, we entered into a License and Collaboration Agreement with Novartis, or the 2023 Novartis Collaboration Agreement, to (a) provide rights to Novartis with respect to certain TRACER Capsids for use in the research, development, and commercialization by Novartis of AAV gene therapy products and product candidates, comprising such TRACER Capsids and payloads intended for the treatment of SMA, or the Novartis SMA Program, and (b) collaborate to develop AAV gene therapy products and product candidates intended for the treatment of HD, or the Novartis HD Program, in each case, leveraging TRACER Capsids and other intellectual property controlled by us. We refer to products and product candidates developed under the Novartis SMA Program as Novartis SMA Program Products, and products and candidates developed under the Novartis HD Program as Novartis HD Program Products. With respect to the Novartis HD Program, the parties have agreed to conduct research and pre-clinical development of Novartis HD Program Products pursuant to a research plan, with Novartis reimbursing us for our activities thereunder in accordance with the agreed-to budget.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Under the 2023 Novartis Collaboration Agreement, we are eligible to receive specified development, regulatory, and commercialization milestone payments of up to an aggregate of $200.0 million for the Novartis SMA Program and up to an aggregate of $225.0 million for the Novartis HD Program, in each case for the first corresponding product to achieve the corresponding milestone. We are also eligible to receive (a) specified sales milestone payments of up to an aggregate of $400.0 million for the Novartis SMA Program and up to an aggregate of $375.0 million for the Novartis HD Program and (b) tiered, escalating royalties in the high single-digit to low double-digit percentages of annual net sales of the Novartis SMA Program Products and the Novartis HD Program Products. The royalties are subject to potential customary reductions, including patent claim expiration, payments for certain third-party licenses, and biosimilar market penetration, subject to specified limits. For a further description of the 2023 Novartis Collaboration Agreement, refer to Note 9, </w:t>
      </w:r>
      <w:r>
        <w:rPr>
          <w:rFonts w:ascii="Times New Roman" w:hAnsi="Times New Roman"/>
          <w:i/>
          <w:color w:val="000000"/>
          <w:sz w:val="20"/>
        </w:rPr>
        <w:t>Significant Agreements</w:t>
      </w:r>
      <w:r>
        <w:rPr>
          <w:rFonts w:ascii="Times New Roman" w:hAnsi="Times New Roman"/>
          <w:color w:val="000000"/>
          <w:sz w:val="20"/>
        </w:rPr>
        <w:t>, to our consolidated financial statements included in our Annual Report on Form 10-K for the fiscal year ended December 31, 2025, under the caption “2023 Novartis Collaboration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2022 Novartis Option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4, 2022, we entered into an option and license agreement with Novartis, or the 2022 Novartis Option and License Agreement. Pursuant to the 2022 Novartis Option and License Agreement, we granted Novartis options, or the Novartis License Options, to license TRACER Capsids, or the Novartis Licensed Capsids, for exclusive use in programs targeting three specified genes, or the Initial Novartis Targets, to develop and commercialize AAV gene therapy candidates comprised of Novartis Licensed Capsids and payloads directed to the Initial Novartis Targets, or the Novartis Initial Licensed Products. Effective as of March 1, 2023, Novartis exercised its Novartis License Options to license TRACER Capsids for use in gene therapy programs against two undisclosed Initial Novartis Targets. Upon Novartis’ exercise of the two Novartis License Options for Initial Novartis Targets, we granted Novartis a target-exclusive, worldwide license, with the right to sublicense, under certain of our intellectual property, the rights to develop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commercialize the applicable Novartis Licensed Capsid as incorporated into Novartis Initial Licensed Products. We also agreed to provide certain additional know-how to enable Novartis to exploit the Novartis Licensed Capsid and a payload directed to the applicable Initial Novartis Target for use in a Novartis Initial Licensed Product. Novartis elected not to license a capsid for one Initial Novartis Target prior to the expiration of the applicable Novartis License Option. As a result, the non-exclusive research license that we granted to Novartis in connection with this third Initial Novartis Target terminated, and all capsid rights with respect to that Initial Novartis Target returned to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3, 2024, we entered into an amendment, or the Novartis Amendment, to the 2022 Novartis Option and License Agreement. Pursuant to the Novartis Amendment, we agreed to amend the 2022 Novartis Option and License Agreement to incorporate the grant to Novartis of a direct license, or a Novartis Direct License, to a TRACER Capsid, or the Novartis Direct Licensed Capsid, for exclusive use with a certain gene, or the Novartis Direct License Target, to develop and commercialize the Novartis Direct Licensed Capsid as incorporated into AAV gene therapy candidates comprised of the Novartis Direct Licensed Capsid and a payload directed to the Novartis Direct License Target, or the Novartis Direct Licensed Products. We refer to (a) the two Initial Novartis Targets for which Novartis has exercised its Novartis License Options and the Novartis Direct License Target collectively as Novartis Licensed Targets, and (b) the Novartis Initial Licensed Products and Novartis Direct Licensed Products collectively as Novartis Licensed Products. As a result of the Novartis Amendment, the Novartis Direct License Target was deemed a Licensed Target under the 2022 Novartis Option and License Agreement, as such term is defined therein, and the Novartis Direct License became subject to all other terms and conditions applicable to other licenses granted to Novartis under the 2022 Novartis Option and License Agreement. In connection with the Novartis Amendment, the parties acknowledged that Novartis’ prior rights to exercise options for any initial targets and additional targets as described in the 2022 Novartis Option and License Agreement, other than those that had previously been exercised, had expired as of the effective date of the Novartis Amendment.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2022 Novartis Option and License Agreement, Novartis has the right to terminate the agreement, in whole or in part, for any or no reason upon ninety days’ written notice to us. In October 2025, Novartis notified us of its partial termination of the 2022 Novartis Option and License Agreement with respect to one Initial Novartis Target and the Novartis Direct License Target, in each case effective February 1, 2026, or the Effective Partial Termination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the termination of the two programs, the licenses we granted to Novartis regarding the applicable Initial Novartis Target and the Novartis Direct License Target expired, and all intellectual property rights that we licensed to Novartis with respect to such programs reverted to us in accordance with the 2022 Novartis Option and License Agreement. As of the Effective Partial Termination Date, we are no longer eligible to receive the milestone payments or royalties associated with these programs. The 2022 Novartis Option and License Agreement remains in full force and effect for, and we remain eligible to receive milestone payments and royalties in connection with, the remaining Initial Novartis Target.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are eligible to receive specified development, regulatory, and commercialization milestone payments of up to an aggregate of $125.0 million for the first Novartis Initial Licensed Product for the remaining Initial Novartis Target for which a Novartis License Option has been exercised to achieve the corresponding milestone. We are eligible to receive (a) specified sales milestone payments of up to an aggregate of $175.0 million per Novartis Licensed Product directed to the remaining Initial Novartis Target and (b) tiered, escalating royalties in the mid-to high-single-digit percentages based on annual net sales of each Novartis Licensed Product directed to the remaining Initial Novartis Target. The remaining Initial Novartis Target is distinct from targets in our wholly-owned and partnered pipeline. For a further description of the 2022 Novartis Option and License Agreement, refer to Note 9, </w:t>
      </w:r>
      <w:r>
        <w:rPr>
          <w:rFonts w:ascii="Times New Roman" w:hAnsi="Times New Roman"/>
          <w:i/>
          <w:color w:val="000000"/>
          <w:sz w:val="20"/>
        </w:rPr>
        <w:t>Significant Agreements</w:t>
      </w:r>
      <w:r>
        <w:rPr>
          <w:rFonts w:ascii="Times New Roman" w:hAnsi="Times New Roman"/>
          <w:color w:val="000000"/>
          <w:sz w:val="20"/>
        </w:rPr>
        <w:t>, to our consolidated financial statements included in our Annual Report on Form 10-K for the fiscal year ended December 31, 2025, under the caption “2022 Novartis Option and License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2023 Neurocrine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8, 2023, we entered into a collaboration and license agreement with Neurocrine, or the 2023 Neurocrine Collaboration Agreement, for the research, development, manufacture and commercialization of the GBA1 Program, and three new programs focused on the research, development, manufacture and commercialization of gene therapies designed to address CNS diseases or conditions associated with rare genetic targets, or the 2023 Discovery Programs, and, collectively with the GBA1 Program, the 2023 Neurocrine Programs. With the exception of one preclinical study where we agreed to share costs, Neurocrine has agreed to be responsible for all costs we incur in conducting preclinical development activities for each 2023 Neurocrine Program, in accordance with workplans and budgets agreed upon by a Joint Steering Committee, or the JSC.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2023 Neurocrine Collaboration Agreement provides for aggregate development milestone payments from Neurocrine to us for the gene therapy products, or the 2023 Collaboration Products, under (a) the GBA1 Program of up to $985.0 million; and (b) each of the three 2023 Discovery Programs of up to $175.0 million for each 2023 Discovery Program. We may be entitled to receive aggregate commercial milestone payments for up to two 2023 Collaboration Products under the GBA1 Program of up to $950.0 million per 2023 Collaboration Product and for one 2023 Collaboration Product under each 2023 Discovery Program of up to $275.0 million per 2023 Discovery Program. We agreed to forfeit certain milestones and royalties on net sales in the United States if we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exercise our option to co-develop and co-commercialize 2023 Collaboration Products in the GBA1 Program in the United States upon the occurrence of a specified event.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Neurocrine has also agreed to pay us tiered royalties, based on future net sales of the 2023 Collaboration Products. Such royalty percentages, for net sales in and outside the United States, range from (a) for the GBA1 Program, the low double-digits to twenty and the high single-digits to mid-teens, respectively, and (b) for each 2023 Discovery Program, high single-digits to mid-teens and mid-single digits to low double-digits, respectively. For a further description of the 2023 Neurocrine Collaboration Agreement, refer to Note 9, </w:t>
      </w:r>
      <w:r>
        <w:rPr>
          <w:rFonts w:ascii="Times New Roman" w:hAnsi="Times New Roman"/>
          <w:i/>
          <w:color w:val="000000"/>
          <w:sz w:val="20"/>
        </w:rPr>
        <w:t>Significant Agreements</w:t>
      </w:r>
      <w:r>
        <w:rPr>
          <w:rFonts w:ascii="Times New Roman" w:hAnsi="Times New Roman"/>
          <w:color w:val="000000"/>
          <w:sz w:val="20"/>
        </w:rPr>
        <w:t>, to our consolidated financial statements included in our Annual Report on Form 10-K for the fiscal year ended December 31, 2025, under the caption “2023 Neurocrine Collaboration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2019 Neurocrine Collaboration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January 2019, we entered into the 2019 Neurocrine Collaboration Agreement for the research, development and commercialization of certain of our AAV gene therapy products. Under the 2019 Neurocrine Collaboration Agreement, we agreed to collaborate on the conduct of four collaboration programs, which we refer to collectively as the 2019 Neurocrine Programs: the NBIb-1817 (VY-AADC) program for the treatment of PD, or the VY-AADC Program; the FA Program; and two other programs, or the 2019 Discovery Programs. Effective August 2, 2021, Neurocrine terminated the VY-AADC Program under the 2019 Neurocrine Collaboration Agreement, and the license granted by us to Neurocrine expired and we regained worldwide intellectual property rights regarding such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2025, as a result of Neurocrine no longer prioritizing the two 2019 Discovery Programs, the JSC mutually agreed to discontinue the activities associated with such programs, and to return the rights to those targets to us. As a result of the discontinuation, the licenses granted by us to Neurocrine thereunder regarding the 2019 Discovery Programs terminated and we regained worldwide intellectual property rights regarding such programs. The 2019 Neurocrine Collaboration Agreement remains in full force and effect for the FA Program.</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2019 Neurocrine Collaboration Agreement provides for aggregate development milestone payments from Neurocrine to us for the gene therapy products, or the 2019 Collaboration Products, under the FA Program of up to $195.0 million. We may be entitled to receive aggregate commercial milestone payments for each 2019 Collaboration Product of up to $275.0 million, for a total of up to $550.0 million under the FA Program. Neurocrine has also agreed to pay us royalties, based on future net sales of the 2019 Collaboration Products. Such royalty percentages, for net sales in and outside the United States, as applicable, range from the low-teens to high-teens and high-single digits to mid-teens, for the FA Program. For a further description of the 2019 Neurocrine Collaboration Agreement, refer to Note 9, </w:t>
      </w:r>
      <w:r>
        <w:rPr>
          <w:rFonts w:ascii="Times New Roman" w:hAnsi="Times New Roman"/>
          <w:i/>
          <w:color w:val="000000"/>
          <w:sz w:val="20"/>
        </w:rPr>
        <w:t>Significant Agreements</w:t>
      </w:r>
      <w:r>
        <w:rPr>
          <w:rFonts w:ascii="Times New Roman" w:hAnsi="Times New Roman"/>
          <w:color w:val="000000"/>
          <w:sz w:val="20"/>
        </w:rPr>
        <w:t>, to our consolidated financial statements included in our Annual Report on Form 10-K for the fiscal year ended December 31, 2025 under the caption “2019 Neurocrine Collaboration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Alexion Option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1, 2021, we entered into an option and license agreement, or the Alexion Agreement, with Pfizer Inc., or Pfizer, pursuant to which we granted Pfizer options to receive an exclusive license to certain TRACER Capsids to develop and commercialize certain AAV gene therapy candidates comprised of a capsid and specified transgene. Effective as of September 30, 2022, Pfizer exercised one option with respect to a capsid for a specified transgene for the potential treatment of a rare neurological disease, and we granted Pfizer an exclusive, worldwide license, with the right to sublicense, under certain of our intellectual property, the rights to develop and commercialize rare neurological disease products utilizing the capsid candidate and incorporating the specified transgene.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Effective upon the closing of a transaction on September 20, 2023, Alexion (via Alexion Pharma International Operations Limited, or APIO) acquired all of Pfizer’s rights under the Alexion Agreement and became the successor-in-interest to Pfizer thereunder. APIO subsequently assigned the Alexion Agreement to its affiliate AstraZeneca Ireland Limited, or AstraZeneca. Neither the acquisition by Alexion nor the subsequent assignment from APIO to AstraZeneca impacted the material terms of the Alexion Agreement.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Pursuant to an amendment to the Alexion Agreement effective as of September 30, 2024, we agreed to extend the research term thereunder until April 1, 2025, during which period we may, at our sole discretion and expense, conduct further research activities to identify additional TRACER Capsids for potential use in the development of AAV gene therapies under the Alexion Agreement. Effective March 15, 2025, we agreed to further extend the research term to October 1, 2025. On October 1, 2025, Alexion exercised its right to substitute another TRACER Capsid for the TRACER Capsid that was originally licensed under the Alexion Agreement. For a further description of the Alexion Agreement, refer to Note 9, </w:t>
      </w:r>
      <w:r>
        <w:rPr>
          <w:rFonts w:ascii="Times New Roman" w:hAnsi="Times New Roman"/>
          <w:i/>
          <w:color w:val="000000"/>
          <w:sz w:val="20"/>
        </w:rPr>
        <w:t>Significant Agreements</w:t>
      </w:r>
      <w:r>
        <w:rPr>
          <w:rFonts w:ascii="Times New Roman" w:hAnsi="Times New Roman"/>
          <w:color w:val="000000"/>
          <w:sz w:val="20"/>
        </w:rPr>
        <w:t xml:space="preserve">, to our consolidated financial statements included in our Annual Report on Form 10-K for the fiscal year ended December 31, 2025, under the caption “Alexion Option and License Agreement (Formerly Pfizer Option and License Agreement).”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License Agreement with Transition Bio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2025, we entered into a research collaboration, option and license agreement with Transition Bio, or the Transition Bio Agreement. The Transition Bio Agreement superseded a prior agreement between us and Transition Bio dated December 24, 2024. Under the terms of the agreement, Transition Bio is responsible for the discovery and optimization of small molecules targeting TDP-43 until nomination of a development candidate, upon which we will have an option to license the worldwide exclusive rights to develop and commercialize the program. The Transition Bio Agreement contains a termination for convenience clause that allows for either party to terminate the arrangement for any reason or no reason upon sixty days prior written notice. In the event that we terminate the Transition Bio Agreement due to a change in control, we are obligated to pay Transition Bio up to $2.0 million in termination fees.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paid Transition Bio a low single-digit million-dollar upfront payment during the year ended December 31, 2024, in connection with a prior agreement. During the fourth quarter of 2025, we paid Transition Bio an additional low single-digit million-dollar payment for the achievement of a research milestone. Transition Bio is eligible to receive potential research, development, commercial and net sales milestone payments totaling up to $500.0 million. Transition Bio is also eligible for high single-digit to low double-digit royalties on net sales during the royalty term of up to ten years. For a further description of the Transition Bio Agreement, refer to Note 9, </w:t>
      </w:r>
      <w:r>
        <w:rPr>
          <w:rFonts w:ascii="Times New Roman" w:hAnsi="Times New Roman"/>
          <w:i/>
          <w:color w:val="000000"/>
          <w:sz w:val="20"/>
        </w:rPr>
        <w:t>Significant Agreements</w:t>
      </w:r>
      <w:r>
        <w:rPr>
          <w:rFonts w:ascii="Times New Roman" w:hAnsi="Times New Roman"/>
          <w:color w:val="000000"/>
          <w:sz w:val="20"/>
        </w:rPr>
        <w:t>, to our consolidated financial statements included in our Annual Report on Form 10-K for the fiscal year ended December 31, 2025, under the caption “Other Agreements.”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License Agreement with Touchlight IP Limited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2022, we and Touchlight IP Limited, or Touchlight, entered into a license agreement, or the Touchlight License Agreement, to authorize historical use by us of a certain DNA preparation process, or the Subject DNA Preparation Process, and to authorize the prospective exploitation of TRACER Capsids created with the use of the Subject DNA Preparation Process. The terms of the Touchlight License Agreement include future milestone payments and low single-digit royalties payable to Touchlight by us if we or our program collaborators or licensees choose to utilize in a therapeutic product certain TRACER Capsids that were created with the historical use of the Subject DNA Preparation Process. Additionally, we are obligated to pay low single-digit royalties to Touchlight on future payments we receive in connection with licensing of certain TRACER Capsids that were created with the historical use of the Subject DNA Preparation Process, excluding the licensing of or collaboration on any of our therapeutic programs. For a further description of the Touchlight License Agreement, refer to Note 9, </w:t>
      </w:r>
      <w:r>
        <w:rPr>
          <w:rFonts w:ascii="Times New Roman" w:hAnsi="Times New Roman"/>
          <w:i/>
          <w:color w:val="000000"/>
          <w:sz w:val="20"/>
        </w:rPr>
        <w:t>Significant Agreements</w:t>
      </w:r>
      <w:r>
        <w:rPr>
          <w:rFonts w:ascii="Times New Roman" w:hAnsi="Times New Roman"/>
          <w:color w:val="000000"/>
          <w:sz w:val="20"/>
        </w:rPr>
        <w:t>, to our consolidated financial statements included in our Annual Report on Form 10-K for the fiscal year ended December 31, 2025, under the caption “Other Agreements.”</w:t>
      </w:r>
    </w:p>
    <w:p>
      <w:pPr>
        <w:pStyle w:val="TextBody"/>
        <w:bidi w:val="0"/>
        <w:spacing w:before="200" w:after="283"/>
        <w:jc w:val="left"/>
        <w:rPr>
          <w:rFonts w:ascii="Times New Roman" w:hAnsi="Times New Roman"/>
          <w:b/>
          <w:i/>
          <w:color w:val="000000"/>
          <w:sz w:val="20"/>
          <w:u w:val="single"/>
        </w:rPr>
      </w:pPr>
      <w:r>
        <w:rPr>
          <w:rFonts w:ascii="Times New Roman" w:hAnsi="Times New Roman"/>
          <w:b/>
          <w:i/>
          <w:color w:val="000000"/>
          <w:sz w:val="20"/>
          <w:u w:val="single"/>
        </w:rPr>
        <w:t>Accumulated Deficit;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 history of incurring significant losses. We reported a net loss of $52.4 million for the six months ended June 30, 2026, and a net loss of $119.7 million for the fiscal year ended December 31, 2025. As of June 30, 2026, we had an accumulated deficit of $498.3 million. We expect to continue to incur significant expenses and operating losses for the foreseeable future in connection with our ongoing activities, if and as we: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initiate and conduct clinical trials in connection with our VY1706 tau silencing program, which we expect to initiate in the fourth quarter of 2026, and continue to conduct clinical trials in connection with our VY7523 anti-tau antibody program;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continue investing in our proprietary antibody program, non-viral therapeutics platform, gene therapy platforms and programs, and other research and development initiatives;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continue investing in NeuroShuttle, our proprietary non-viral delivery platform leveraging novel receptor-binding molecules to transport multiple modalities of neurotherapeutics across the BBB;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investing in and supporting TRACER, our proprietary discovery platform to facilitate the selection of TRACER Capsids, and our investment to discover TRACER Capsids with broad tropism in CNS and other tissues with cell-specific transduction properties for particular therapeutic applications;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investing in our collaboration with Transition Bio to advance small molecules targeting TDP-43 to treat ALS and frontotemporal dementia with TDP-43 pathology;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increase our investment in the discovery and development of additional modalities for receptor-mediated non-viral delivery of therapeutic payloads to the CNS, including but not limited to our ALPL and other BBB-receptors;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conduct joint research and development under our strategic collaborations for the research, development, and commercialization of certain of our pipeline programs, including our FA Program, pursuant to the 2019 Neurocrine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 Agreement, our GBA1 Program, pursuant to the 2023 Neurocrine Collaboration Agreement, and the Novartis HD Program, pursuant to the 2023 Novartis Collaboration Agreement;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initiate additional preclinical studies and clinical trials for, and continue research and development of, our other programs;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continue our process research and development activities, as well as establish our research-grade manufacturing capabilities;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identify additional diseases for treatment with our AAV gene and non-viral therapies and BBB-crossing technologies and develop additional programs or product candidates;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seek marketing and regulatory approvals for any of our product candidates that successfully complete clinical development;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maintain, expand, protect and enforce our intellectual property portfolio;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identify, acquire or in-license other product candidates and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personnel, including personnel to support our clinical development, manufacturing and commercialization efforts;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increase our clinical trial insurance coverage as we expand our clinical trials and increase our product liability insurance once we engage in commercialization efforts;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to operate as a public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discussed within “Liquidity and Capital Resources”, we expect to continue to rely on additional financing and business development transactions to achieve our business objectives.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date, we have not generated any revenue from product sales and do not expect to generate any revenue from product sales for the foreseeable future. For the three months ended June 30, 2026, we recognized $0.4 million of collaboration revenue from the 2019 Neurocrine Collaboration Agreement and $2.8 million of collaboration revenue in connection with the 2023 Novartis Collaboration Agreement. For the six months ended June 30, 2026, we recognized $1.3 million of collaboration revenue from the 2023 Neurocrine Collaboration Agreement, $0.5 million of collaboration revenue from the 2019 Neurocrine Collaboration Agreement, and $4.0 million of collaboration revenue in connection with the 2023 Novartis Collaboration Agreement.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additional information about our revenue recognition policy related to collaborations pursuant to the 2023 and 2019 Neurocrine Collaboration Agreements and the 2023 Novartis Collaboration Agreement, refer to Note 9, </w:t>
      </w:r>
      <w:r>
        <w:rPr>
          <w:rFonts w:ascii="Times New Roman" w:hAnsi="Times New Roman"/>
          <w:i/>
          <w:color w:val="000000"/>
          <w:sz w:val="20"/>
        </w:rPr>
        <w:t>Significant Agreements</w:t>
      </w:r>
      <w:r>
        <w:rPr>
          <w:rFonts w:ascii="Times New Roman" w:hAnsi="Times New Roman"/>
          <w:color w:val="000000"/>
          <w:sz w:val="20"/>
        </w:rPr>
        <w:t>, of the December 31, 2025, consolidated financial statements included in our Annual Report on Form 10-K for the fiscal year ended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foreseeable future, we expect substantially all of our revenue will be generated from the 2019 Neurocrine Collaboration Agreement, the 2023 Neurocrine Collaboration Agreement, the 2023 Novartis Collaboration Agreement, the 2022 Novartis Option and License Agreement, and the Alexion Agreement, and any other strategic collaborations and out-licensing arrangements we may enter into in the future. If our development efforts are successful, we may also generate revenue from product sales.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program discovery efforts and the development of our proprietary antibody, gene therapy, and non-viral therapeutic platforms and programs, which include: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w:t>
        <w:noBreakHyphen/>
        <w:t>related expenses including salaries, benefits, and stock</w:t>
        <w:noBreakHyphen/>
        <w:t>based compensation expense;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of funding research performed by third parties that conduct research and development, preclinical and clinical activities, manufacturing and production design on our behalf;</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of purchasing laboratory supplies and non</w:t>
        <w:noBreakHyphen/>
        <w:t>capital equipment used in designing, developing and manufacturing preclinical and clinical study materials;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consultant fees;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facility costs, including rent, depreciation and maintenance expenses;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of securing and protecting intellectual property rights associated with our research and development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fees for maintaining licenses under our third-party licensing agreements;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payments under our research and collaboration agreements.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costs are expensed as incurred. Costs for certain activities, such as manufacturing, preclinical studies, and clinical trials, are generally recognized based on an evaluation of the progress to completion of specific tasks using information and data provided to us by our vendors and collaborators.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are in the early stages of development of our product candidates. We expect research and development expenses to decrease in the near term as a result of continued portfolio prioritization and alignment of operating expenditures with our current capital resources. At this time, we cannot reasonably estimate or know the nature, timing and estimated costs of the efforts that will be necessary to complete the development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pharmaceutical product development, we are unable to accurately predict the timing or amount of increased expenses. Our expenses will increase if:</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required by the FDA or the European Medicines Agency or other regulatory agencies to redesign or modify trials or studies or to perform trials or studies in addition to those currently expected;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are any delays in the receipt of regulatory clearance to begin our planned clinical programs; or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are any delays in site initiation, enrollment of participants in or completion of our clinical trials or the development of our product candidates.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stock-based compensation, for personnel in executive, finance, accounting, information technology, business development, legal and human resource functions. Other significant costs include corporate facility costs not otherwise included in research and development expenses, legal fees related to patent and corporate matters, and fees for accounting and consulting services. We expect general and administrative costs to decrease in the near term as a result of our continued disciplined expense management.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income, net consists primarily of interest income on our marketable securities and payments received under the sublease of the office and laboratory space in Cambridge, Massachusetts.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There were no changes to our critical accounting policies during the three months ended June 30, 2026, as compared to those identified in our Annual Report on Form 10-K for the fiscal year ended December 31, 2025. It is important that the discussion of our operating results that follow be read in conjunction with the critical accounting policies disclosed in Item 7 “Management’s Discussion and Analysis of Financial Condition and Results of Operations – </w:t>
      </w:r>
      <w:r>
        <w:rPr>
          <w:rFonts w:ascii="Times New Roman" w:hAnsi="Times New Roman"/>
          <w:i/>
          <w:color w:val="000000"/>
          <w:sz w:val="20"/>
        </w:rPr>
        <w:t>Critical Accounting Policies and Estimates</w:t>
      </w:r>
      <w:r>
        <w:rPr>
          <w:rFonts w:ascii="Times New Roman" w:hAnsi="Times New Roman"/>
          <w:color w:val="000000"/>
          <w:sz w:val="20"/>
        </w:rPr>
        <w:t>” in our Annual Report on Form 10-K, as filed with the SEC on March 9,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w:t>
      </w:r>
    </w:p>
    <w:p>
      <w:pPr>
        <w:pStyle w:val="TextBody"/>
        <w:bidi w:val="0"/>
        <w:jc w:val="left"/>
        <w:rPr/>
      </w:pPr>
      <w:r>
        <w:rPr/>
        <w:t> </w:t>
      </w:r>
    </w:p>
    <w:tbl>
      <w:tblPr>
        <w:tblW w:w="7371" w:type="dxa"/>
        <w:jc w:val="left"/>
        <w:tblInd w:w="0" w:type="dxa"/>
        <w:tblLayout w:type="fixed"/>
        <w:tblCellMar>
          <w:top w:w="28" w:type="dxa"/>
          <w:left w:w="28" w:type="dxa"/>
          <w:bottom w:w="28" w:type="dxa"/>
          <w:right w:w="28" w:type="dxa"/>
        </w:tblCellMar>
      </w:tblPr>
      <w:tblGrid>
        <w:gridCol w:w="2511"/>
        <w:gridCol w:w="446"/>
        <w:gridCol w:w="211"/>
        <w:gridCol w:w="146"/>
        <w:gridCol w:w="736"/>
        <w:gridCol w:w="166"/>
        <w:gridCol w:w="146"/>
        <w:gridCol w:w="211"/>
        <w:gridCol w:w="146"/>
        <w:gridCol w:w="736"/>
        <w:gridCol w:w="166"/>
        <w:gridCol w:w="146"/>
        <w:gridCol w:w="211"/>
        <w:gridCol w:w="146"/>
        <w:gridCol w:w="736"/>
        <w:gridCol w:w="511"/>
      </w:tblGrid>
      <w:tr>
        <w:trPr/>
        <w:tc>
          <w:tcPr>
            <w:tcW w:w="25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 revenue was $3.2 million and $5.2 million for the three months ended June 30, 2026 and 2025, respectively. During the three months ended June 30, 2026, we recognized $0.4 million of collaboration revenue under the 2019 Neurocrine Collaboration Agreement and $2.8 million of collaboration revenue under the 2023 Novartis Collaboration Agreement. During the three months ended June 30, 2025, we recognized $1.3 million of collaboration revenue under the 2023 Neurocrine Collaboration Agreement, $2.4 million of collaboration revenue under the 2019 Neurocrine Collaboration Agreement, $1.4 million of collaboration revenue under the 2023 Novartis Collaboration Agreement, and $0.1 million in other collaboration revenue.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w:t>
      </w:r>
    </w:p>
    <w:p>
      <w:pPr>
        <w:pStyle w:val="TextBody"/>
        <w:bidi w:val="0"/>
        <w:jc w:val="left"/>
        <w:rPr/>
      </w:pPr>
      <w:r>
        <w:rPr/>
        <w:t> </w:t>
      </w:r>
    </w:p>
    <w:tbl>
      <w:tblPr>
        <w:tblW w:w="8496" w:type="dxa"/>
        <w:jc w:val="left"/>
        <w:tblInd w:w="0" w:type="dxa"/>
        <w:tblLayout w:type="fixed"/>
        <w:tblCellMar>
          <w:top w:w="28" w:type="dxa"/>
          <w:left w:w="28" w:type="dxa"/>
          <w:bottom w:w="28" w:type="dxa"/>
          <w:right w:w="28" w:type="dxa"/>
        </w:tblCellMar>
      </w:tblPr>
      <w:tblGrid>
        <w:gridCol w:w="4101"/>
        <w:gridCol w:w="346"/>
        <w:gridCol w:w="211"/>
        <w:gridCol w:w="146"/>
        <w:gridCol w:w="676"/>
        <w:gridCol w:w="146"/>
        <w:gridCol w:w="146"/>
        <w:gridCol w:w="211"/>
        <w:gridCol w:w="146"/>
        <w:gridCol w:w="676"/>
        <w:gridCol w:w="146"/>
        <w:gridCol w:w="146"/>
        <w:gridCol w:w="211"/>
        <w:gridCol w:w="146"/>
        <w:gridCol w:w="631"/>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Anti-tau antibody program (VY7523)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Tau silencing gene therapy program (VY1706)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SOD1 silencing gene therapy program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Partnered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 and platforms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 was $22.0 million and $31.3 million for the three months ended June 30, 2026 and 2025, respectively. The $9.3 million decrease was primarily attributable to lower employee-related expenses and shared facilities and other costs due to lower headcount resulting from restructuring actions undertaken in 2025. The decrease was further attributable to reduced spend on VY7523 as enrollment in the clinical trial was completed as well as lower spend on other programs and platforms as a result of program prioritization.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 was $7.5 million and $10.5 million for the three months ended June 30, 2026 and 2025, respectively. The $3.0 million decrease was primarily attributable to reduced employee-related expenses due to lower headcount resulting from restructuring actions undertaken in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income, net was $1.9 million and $3.3 million for the three months ended June 30, 2026 and 2025, respectively. The $1.3 million decrease was primarily attributable to lower interest earned on our marketable securities as a result of lower average marketable securities balances during the three months ended June 30, 2026, as compared to the three months ended June 30,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p>
      <w:pPr>
        <w:pStyle w:val="TextBody"/>
        <w:bidi w:val="0"/>
        <w:jc w:val="left"/>
        <w:rPr/>
      </w:pPr>
      <w:r>
        <w:rPr/>
        <w:t> </w:t>
      </w:r>
    </w:p>
    <w:tbl>
      <w:tblPr>
        <w:tblW w:w="7371" w:type="dxa"/>
        <w:jc w:val="left"/>
        <w:tblInd w:w="0" w:type="dxa"/>
        <w:tblLayout w:type="fixed"/>
        <w:tblCellMar>
          <w:top w:w="28" w:type="dxa"/>
          <w:left w:w="28" w:type="dxa"/>
          <w:bottom w:w="28" w:type="dxa"/>
          <w:right w:w="28" w:type="dxa"/>
        </w:tblCellMar>
      </w:tblPr>
      <w:tblGrid>
        <w:gridCol w:w="2511"/>
        <w:gridCol w:w="446"/>
        <w:gridCol w:w="211"/>
        <w:gridCol w:w="146"/>
        <w:gridCol w:w="736"/>
        <w:gridCol w:w="166"/>
        <w:gridCol w:w="146"/>
        <w:gridCol w:w="211"/>
        <w:gridCol w:w="146"/>
        <w:gridCol w:w="736"/>
        <w:gridCol w:w="166"/>
        <w:gridCol w:w="146"/>
        <w:gridCol w:w="211"/>
        <w:gridCol w:w="146"/>
        <w:gridCol w:w="736"/>
        <w:gridCol w:w="511"/>
      </w:tblGrid>
      <w:tr>
        <w:trPr/>
        <w:tc>
          <w:tcPr>
            <w:tcW w:w="25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net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11,993</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 revenue was $5.8 million and $11.7 million for the six months ended June 30, 2026 and 2025, respectively. During the six months ended June 30, 2026, we recognized $1.3 million of collaboration revenue under the 2023 Neurocrine Collaboration Agreement, $0.5 million of collaboration revenue under the 2019 Neurocrine Collaboration Agreement, and $4.0 million of collaboration revenue under the 2023 Novartis Collaboration Agreement. During the six months ended June 30, 2025, we recognized $5.8 million of collaboration revenue under the 2023 Neurocrine Collaboration Agreement, $2.8 million of collaboration revenue under the 2019 Neurocrine Collaboration Agreement, $2.7 million of collaboration revenue under the 2023 Novartis Collaboration Agreement, and $0.4 million in other collaboration revenue.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w:t>
      </w:r>
    </w:p>
    <w:p>
      <w:pPr>
        <w:pStyle w:val="TextBody"/>
        <w:bidi w:val="0"/>
        <w:jc w:val="left"/>
        <w:rPr/>
      </w:pPr>
      <w:r>
        <w:rPr/>
        <w:t> </w:t>
      </w:r>
    </w:p>
    <w:tbl>
      <w:tblPr>
        <w:tblW w:w="8601" w:type="dxa"/>
        <w:jc w:val="left"/>
        <w:tblInd w:w="0" w:type="dxa"/>
        <w:tblLayout w:type="fixed"/>
        <w:tblCellMar>
          <w:top w:w="28" w:type="dxa"/>
          <w:left w:w="28" w:type="dxa"/>
          <w:bottom w:w="28" w:type="dxa"/>
          <w:right w:w="28" w:type="dxa"/>
        </w:tblCellMar>
      </w:tblPr>
      <w:tblGrid>
        <w:gridCol w:w="4101"/>
        <w:gridCol w:w="346"/>
        <w:gridCol w:w="211"/>
        <w:gridCol w:w="146"/>
        <w:gridCol w:w="676"/>
        <w:gridCol w:w="146"/>
        <w:gridCol w:w="146"/>
        <w:gridCol w:w="211"/>
        <w:gridCol w:w="146"/>
        <w:gridCol w:w="676"/>
        <w:gridCol w:w="146"/>
        <w:gridCol w:w="146"/>
        <w:gridCol w:w="211"/>
        <w:gridCol w:w="146"/>
        <w:gridCol w:w="736"/>
        <w:gridCol w:w="411"/>
      </w:tblGrid>
      <w:tr>
        <w:trPr/>
        <w:tc>
          <w:tcPr>
            <w:tcW w:w="41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Anti-tau antibody program (VY7523)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Tau silencing gene therapy program (VY1706)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SOD1 silencing gene therapy program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Partnered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 and platforms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 was $46.6 million and $62.9 million for the six months ended June 30, 2026 and 2025, respectively. The $16.2 million decrease was primarily attributable to lower employee-related expenses and shared facilities and other costs due to lower headcount resulting from restructuring actions undertaken in 2025. The decrease was further attributable to reduced spend on VY7523 as enrollment in the clinical trial was completed, the discontinuation of the SOD1 program, and reduced spend on other programs and platforms as a result of program prioritization. The decrease was partially offset by increased spend on VY1706 in preparation for the planned clinical trial initiation.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 was $15.8 million and $20.1 million for the six months ended June 30, 2026 and 2025, respectively. The $4.4 million decrease was primarily attributable to lower legal fees and reduced employee-related expenses due to lower headcount resulting from restructuring actions undertaken in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income, net was $4.3 million and $7.0 million for the six months ended June 30, 2026 and 2025, respectively. The $2.7 million decrease was primarily attributable to lower interest earned on our marketable securities as a result of lower average marketable securities balances during the six months ended June 30, 2026, as compared to the six months ended June 30, 2025.</w:t>
      </w:r>
    </w:p>
    <w:p>
      <w:pPr>
        <w:pStyle w:val="TextBody"/>
        <w:bidi w:val="0"/>
        <w:spacing w:before="20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funded our operations primarily through private placements of redeemable convertible preferred stock, public offerings and private placements of our common stock, strategic collaborations and option and license arrangements, including our 2019 Neurocrine Collaboration Agreement, 2023 Neurocrine Collaboration Agreement, 2022 Novartis Option and License Agreement, 2023 Novartis Collaboration Agreement, Alexion Agreement, and our prior collaboration agreements.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2025, we entered into a sales agreement with TD Securities (USA) LLC, as the sales agent, pursuant to which we may, from time to time, issue and sell shares of common stock having an aggregate offering price of up to $100.0 million through an at-the-market program, or the ATM Facility. During the six months ended June 30, 2026, we sold 1,358,566 shares of our common stock under the ATM Facility at a weighted average price of $4.31 per share for net proceeds of $5.7 million, after deducting commissions and offering costs. As of June 30, 2026, $94.1 million remained available to be sold under the ATM Facility. </w:t>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regarding our cash flows for the six months ended June 30, 2026 and 2025:</w:t>
      </w:r>
    </w:p>
    <w:p>
      <w:pPr>
        <w:pStyle w:val="TextBody"/>
        <w:bidi w:val="0"/>
        <w:jc w:val="left"/>
        <w:rPr/>
      </w:pPr>
      <w:r>
        <w:rPr/>
        <w:t> </w:t>
      </w:r>
    </w:p>
    <w:tbl>
      <w:tblPr>
        <w:tblW w:w="7841" w:type="dxa"/>
        <w:jc w:val="left"/>
        <w:tblInd w:w="0" w:type="dxa"/>
        <w:tblLayout w:type="fixed"/>
        <w:tblCellMar>
          <w:top w:w="28" w:type="dxa"/>
          <w:left w:w="28" w:type="dxa"/>
          <w:bottom w:w="28" w:type="dxa"/>
          <w:right w:w="28" w:type="dxa"/>
        </w:tblCellMar>
      </w:tblPr>
      <w:tblGrid>
        <w:gridCol w:w="4786"/>
        <w:gridCol w:w="146"/>
        <w:gridCol w:w="211"/>
        <w:gridCol w:w="146"/>
        <w:gridCol w:w="736"/>
        <w:gridCol w:w="166"/>
        <w:gridCol w:w="146"/>
        <w:gridCol w:w="211"/>
        <w:gridCol w:w="146"/>
        <w:gridCol w:w="736"/>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used in operating activities was $59.3 million during the six months ended June 30, 2026, compared to $71.2 million during the six months ended June 30, 2025. The decrease in net cash used in operating activities is primarily attributed to a lower net loss. Net cash used in operating activities during the six months ended June 30, 2026, was primarily due to our net loss of $52.4 million, combined with changes in our working capital accounts, including decreases in accounts payable, accrued expenses and operating lease liabilities during the six months ended June 30,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during the six months ended June 30, 2025, was primarily due to our net loss of $64.4 million, combined with changes in our working capital accounts, including decreases in accounts payable, accrued expenses, operating lease liabilities and deferred revenue during the six months ended June 30,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Provided by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investing activities was $23.5 million during the six months ended June 30, 2026, compared to $43.1 million during the six months ended June 30, 2025. The decrease was primarily due to a decrease in proceeds from sales and maturities of marketable securities which was $94.4 million during the six months ended June 30, 2026, partially offset by decreases in purchases of marketable securities, which was $70.9 million during the six months ended June 30, 2026.</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was $6.2 million during the six months ended June 30, 2026, compared to $0.6 million during the six months ended June 30, 2025. The increase was primarily due to $5.7 million in net proceeds during the six months ended June 30, 2026, from the issuance of common stock from the ATM Facility.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expenses decreased during the six months ended June 30, 2026, as compared with the six months ended June 30, 2025, as a result of continued portfolio prioritization and alignment of operating expenditures with our current capital resources. We expect we will continue to incur research and development expenses as we continue our research and development activities, conduct clinical trials, including completing the Phase 1 MAD clinical trial for VY7523 and initiating the clinical trial for VY1706, and seek marketing approval of our product candidates, and as we continue to enter into or conduct activities in connection with our collaboration agreements. In addition, if we obtain marketing approval for any of our product candidates, we expect to incur significant expenses related to program sales, marketing, manufacturing and distribution to the extent that such sales, marketing and distribution are not the responsibility of potential collaborators. Furthermore, we expect to continue to incur costs associated with operating as a public company, including executing financial statement controls, satisfying regulatory and quality standards, fulfilling healthcare compliance requirements, and maintaining product, clinical trial and directors’ and officers’ liability insurance coverage. We also anticipate the cost of goods and services and the levels of compensation paid to employees will increase due to inflationary conditions existing in the general economy. Accordingly, we will need to obtain substantial additional funding in connection with our continuing operations. If we are unable to raise capital or enter into business development transactions when needed or on acceptable terms, we could be forced to delay, reduce or eliminate our research and development programs or any future commercialization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had cash, cash equivalents, and marketable securities of $148.8 million. Based upon our current operating plan, we expect that our existing cash, cash equivalents, and marketable securities at June 30, 2026, along with amounts expected to be received as reimbursement for development costs under our collaboration and license agreements with Neurocrine and Novartis and interest income, to be sufficient to meet our planned operating expenses and capital expenditure requirements into 2028. Our future capital requirements will depend on many factors,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progress, results, and costs of product discovery, preclinical studies and clinical trials for our product candidates, including our ongoing Phase 1 clinical trial to evaluate VY7523 and our planned Phase 1 clinical trial to evaluate VY1706;</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progress, results, costs, prioritization, and number of our research and development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progress and status of our strategic collaborations and option and license agreements and any similar arrangements we may enter into in the future, including any research and development costs for which we are responsible, future additional obligations that we may be committed to in connection with these agreements, including, for example, if we elect to exercise our rights for any of the three programs for which we retain opt-in rights, and our receipt of any expense reimbursements, future milestone payments and royalties from our collaboration partners or licensors;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extent to which we are obligated to reimburse preclinical development and clinical trial costs, or the achievement of milestones or occurrence of other developments that trigger milestone and royalty payments, under any collaboration or license agreements to which we might become a party, such as the Touchlight License Agreement and the Transition Bio Agreement;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establish and maintain collaboration, distribution, or other marketing arrangements for our product candidates on favorable terms, if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intellectual property</w:t>
        <w:noBreakHyphen/>
        <w:t>related claims;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extent to which we acquire or in</w:t>
        <w:noBreakHyphen/>
        <w:t>license other product candidates and technologies, including any intellectual property associated with such candidates or technologies, acquire or invest in other businesses, or out-license our product candidates, capsids or other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costs of advancing our manufacturing capabilities and securing manufacturing arrangements for pre-commercial and commercial production;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level of product sales by us or our collaborators from any product candidates for which we obtain marketing approval in the future;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costs of operating as a public company and maintaining adequate product, clinical trial, and directors’ and officers’ liability insurance coverage;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establishing or contracting for sales, manufacturing, marketing, distribution, and other commercialization capabilities if we obtain regulatory approvals to market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 payments or royalty payments under our collaboration agreements will be derived from sales of products that may not be commercially available for many years, if at all. Accordingly, we will need to continue to rely on additional financing and business development transactions to achieve our business objectives. Adequate additional financing may not be available to us on acceptable terms,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Until such time, if ever, as we can generate product revenues sufficient to achieve consistent profitability, we expect to finance our cash needs through a combination of equity offerings, debt financings, collaborations, strategic alliances, and option and license arrangements. We do not have any committed external source of funds other than the amounts we are entitled to receive from our collaboration partners and licensees for reimbursement of certain research and development expenses, potential option exercises, the achievement of specified regulatory and commercial milestones, and royalty payments under our collaboration, and option and license agreements, as applicable.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option and license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enter into agreements in the normal course of business with clinical research organizations, contract manufacturing organizations, and institutions to license intellectual property. These contracts generally are cancelable at any time by us upon 30 to 90 days prior written notice.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agreements to license intellectual property generally include potential milestone payments that are dependent upon the development of products using the intellectual property licensed under the agreements and contingent upon the achievement of clinical trial or regulatory approval milestones. We may also be required to pay annual maintenance fees or minimum amounts payable ranging from low-four digits to low five-digits depending upon the terms of the applicable agreement. In certain instances, we are also obligated to pay our licensors royalties based on sales of products, if approved, using the intellectual property licensed under the applicable agreement.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have non-cancelable operating lease commitments arising from our leases of office and laboratory space at our facilities in Cambridge and Lexington, Massachusetts. For more information, refer to Note 6 to our unaudited condensed consolidated financial statements included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Off</w:t>
        <w:noBreakHyphen/>
        <w:t>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w:t>
        <w:noBreakHyphen/>
        <w:t>balance sheet arrangements, as defined under applicable SEC rules.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0" w:name="quantitative_and_qualitative"/>
      <w:bookmarkEnd w:id="10"/>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market risk related to changes in interest rates.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notes or government obligations and corporate securities. Due to the short-term duration of our investment portfolio and the low risk profile of our investments, we believe an immediate 100 basis point change in interest rates would not have a material effect on the fair market value of our portfolio.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Inflation generally affects us by increasing our costs of labor, goods, and services. We do not believe that inflation had a material effect on our business, financial condition, or results of operations during the three and six months ended June 30, 2026.</w:t>
      </w:r>
    </w:p>
    <w:p>
      <w:pPr>
        <w:pStyle w:val="TextBody"/>
        <w:bidi w:val="0"/>
        <w:spacing w:before="20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Management’s 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or 15d-15(e) under the Exchange Act of 1934, or the Exchange Act, to mean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other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of June 30, 2026.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2026, our disclosure controls and procedures were effective at the reasonable assurance level.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continue to review and document our disclosure controls and procedures and may from time to time make changes aimed at enhancing their effectiveness and to ensure that our systems evolve with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June 30, 2026, there have been no changes in our internal control over financial reporting, as such term is defined in Rules 13a-15(f) and 15d-15(f) under the Exchange Act,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13" w:name="legal_proceedings"/>
      <w:bookmarkEnd w:id="13"/>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ordinary course of business, we are from time to time involved in lawsuits, claims, investigations, proceedings, and threats of litigation relating to intellectual property, commercial arrangements and other matters. While the outcome of any such matters cannot be predicted with certainty, as of June 30, 2026, we were not party to any material pending proceedings. No material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pStyle w:val="TextBody"/>
        <w:bidi w:val="0"/>
        <w:spacing w:before="200" w:after="283"/>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subject to a number of risks that could adversely affect our business, results of operations, financial condition and future prospects, including those identified in our Annual Report on Form 10-K for the fiscal year ended December 31, 2025, filed with the Securities and Exchange Commission on March 9, 2026. Any of the risks and uncertainties described in our Annual Report on Form 10-K could materially and adversely affect our business, financial condition, results of operations and future growth prospects, and such risks and uncertainties are not the only ones we face. Additional risks and uncertainties not presently known to us or that we presently deem less significant may also impair our business operations. Please see the discussion under the caption “Forward-Looking Statements” in this Quarterly Report on Form 10-Q for a discussion of some of the forward-looking statements that are qualified by these risk factors. </w:t>
      </w:r>
    </w:p>
    <w:p>
      <w:pPr>
        <w:pStyle w:val="TextBody"/>
        <w:bidi w:val="0"/>
        <w:spacing w:before="200" w:after="283"/>
        <w:jc w:val="left"/>
        <w:rPr>
          <w:rFonts w:ascii="Times New Roman" w:hAnsi="Times New Roman"/>
          <w:b/>
          <w:color w:val="000000"/>
          <w:sz w:val="20"/>
        </w:rPr>
      </w:pPr>
      <w:bookmarkStart w:id="15" w:name="other_information"/>
      <w:bookmarkEnd w:id="15"/>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portion of the compensation of our directors and officers (as defined in Rule 16a-1(f) under the Securities Exchange Act of 1934, as amended, or the Exchange Act) is in the form of equity awards and, from time to time, directors and officers engage in open-market transactions with respect to the securities acquired pursuant to such equity awards or our other securities, including to satisfy tax withholding obligations when equity awards vest or are exercised, and for diversification or other personal reasons.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
        <w:gridCol w:w="1380"/>
        <w:gridCol w:w="2260"/>
        <w:gridCol w:w="1141"/>
        <w:gridCol w:w="2975"/>
        <w:gridCol w:w="1581"/>
      </w:tblGrid>
      <w:tr>
        <w:trPr/>
        <w:tc>
          <w:tcPr>
            <w:tcW w:w="8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868" w:type="dxa"/>
            <w:tcBorders>
              <w:top w:val="single" w:sz="4" w:space="0" w:color="000000"/>
              <w:left w:val="single" w:sz="4" w:space="0" w:color="000000"/>
              <w:bottom w:val="single" w:sz="4" w:space="0" w:color="000000"/>
              <w:right w:val="single" w:sz="4" w:space="0" w:color="000000"/>
            </w:tcBorders>
            <w:shd w:fill="D9D9D9"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(Title)</w:t>
            </w:r>
          </w:p>
        </w:tc>
        <w:tc>
          <w:tcPr>
            <w:tcW w:w="1380" w:type="dxa"/>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br/>
              <w:t>(Date of Action)</w:t>
            </w:r>
          </w:p>
        </w:tc>
        <w:tc>
          <w:tcPr>
            <w:tcW w:w="2260" w:type="dxa"/>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Type of Trading</w:t>
              <w:br/>
              <w:t>Arrangement</w:t>
            </w:r>
          </w:p>
        </w:tc>
        <w:tc>
          <w:tcPr>
            <w:tcW w:w="1141" w:type="dxa"/>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Nature of </w:t>
              <w:br/>
              <w:t>Trading</w:t>
              <w:br/>
              <w:t>Arrangement</w:t>
            </w:r>
          </w:p>
        </w:tc>
        <w:tc>
          <w:tcPr>
            <w:tcW w:w="2975" w:type="dxa"/>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Duration of Trading </w:t>
              <w:br/>
              <w:t>Arrangement</w:t>
            </w:r>
          </w:p>
        </w:tc>
        <w:tc>
          <w:tcPr>
            <w:tcW w:w="1581" w:type="dxa"/>
            <w:tcBorders>
              <w:top w:val="single" w:sz="4" w:space="0" w:color="000000"/>
              <w:bottom w:val="single" w:sz="4" w:space="0" w:color="000000"/>
              <w:right w:val="single" w:sz="4" w:space="0" w:color="000000"/>
            </w:tcBorders>
            <w:shd w:fill="D9D9D9"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86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Nancy Vitale</w:t>
              <w:br/>
              <w:t>(Director)</w:t>
            </w:r>
          </w:p>
        </w:tc>
        <w:tc>
          <w:tcPr>
            <w:tcW w:w="138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Adoption</w:t>
            </w:r>
            <w:r>
              <w:rPr>
                <w:rFonts w:ascii="Times New Roman" w:hAnsi="Times New Roman"/>
                <w:color w:val="000000"/>
                <w:sz w:val="20"/>
              </w:rPr>
              <w:t> </w:t>
            </w:r>
            <w:r>
              <w:rPr>
                <w:rFonts w:ascii="Times New Roman" w:hAnsi="Times New Roman"/>
                <w:color w:val="000000"/>
                <w:sz w:val="18"/>
              </w:rPr>
              <w:t>(June 7, 2026)</w:t>
            </w:r>
          </w:p>
        </w:tc>
        <w:tc>
          <w:tcPr>
            <w:tcW w:w="22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Rule 10b5-1 trading arrangement for exercises of options and sales of shares</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w:t>
            </w:r>
          </w:p>
        </w:tc>
        <w:tc>
          <w:tcPr>
            <w:tcW w:w="297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Until September 30, 2027, or such earlier date upon which all transactions are completed or expire without execution</w:t>
            </w:r>
          </w:p>
        </w:tc>
        <w:tc>
          <w:tcPr>
            <w:tcW w:w="15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Up to 137,000</w:t>
            </w:r>
            <w:r>
              <w:rPr>
                <w:rFonts w:ascii="Times New Roman" w:hAnsi="Times New Roman"/>
                <w:color w:val="000000"/>
                <w:sz w:val="20"/>
              </w:rPr>
              <w:t> </w:t>
            </w:r>
            <w:r>
              <w:rPr>
                <w:rFonts w:ascii="Times New Roman" w:hAnsi="Times New Roman"/>
                <w:color w:val="000000"/>
                <w:sz w:val="18"/>
              </w:rPr>
              <w:t>shares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6" w:name="exhibits"/>
      <w:bookmarkEnd w:id="16"/>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exhibits filed or furnished as part of this Quarterly Report are set forth on the Exhibit Index, which is incorporated herein by reference.</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
        <w:gridCol w:w="146"/>
        <w:gridCol w:w="5117"/>
        <w:gridCol w:w="146"/>
        <w:gridCol w:w="736"/>
        <w:gridCol w:w="146"/>
        <w:gridCol w:w="631"/>
        <w:gridCol w:w="146"/>
        <w:gridCol w:w="605"/>
        <w:gridCol w:w="146"/>
        <w:gridCol w:w="703"/>
        <w:gridCol w:w="146"/>
        <w:gridCol w:w="829"/>
      </w:tblGrid>
      <w:tr>
        <w:trPr/>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1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to: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 or</w:t>
              <w:br/>
              <w:t>Schedule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 with</w:t>
              <w:br/>
              <w:t>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hyperlink w:anchor="vygr-ex3_1.htm">
              <w:r>
                <w:rPr>
                  <w:rStyle w:val="InternetLink"/>
                  <w:rFonts w:ascii="Times New Roman" w:hAnsi="Times New Roman"/>
                  <w:color w:val="0000FF"/>
                  <w:sz w:val="20"/>
                  <w:u w:val="single"/>
                </w:rPr>
                <w:t>Restated Certificate of Incorporation of the Company, as amended.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hyperlink w:anchor="vygr-ex10_1.htm">
              <w:r>
                <w:rPr>
                  <w:rStyle w:val="InternetLink"/>
                  <w:rFonts w:ascii="Times New Roman" w:hAnsi="Times New Roman"/>
                  <w:color w:val="0000FF"/>
                  <w:sz w:val="20"/>
                  <w:u w:val="single"/>
                </w:rPr>
                <w:t>Employment Agreement, by and between the Registrant and Amy Quinlan, dated as of December 17,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hyperlink w:anchor="vygr-ex31_1.htm">
              <w:r>
                <w:rPr>
                  <w:rStyle w:val="InternetLink"/>
                  <w:rFonts w:ascii="Times New Roman" w:hAnsi="Times New Roman"/>
                  <w:color w:val="0000FF"/>
                  <w:sz w:val="20"/>
                  <w:u w:val="single"/>
                </w:rPr>
                <w:t>Certification of Principal Executive Officer pursuant to Exchange Act Rules 13a-14 or 15d-14.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hyperlink w:anchor="vygr-ex31_2.htm">
              <w:r>
                <w:rPr>
                  <w:rStyle w:val="InternetLink"/>
                  <w:rFonts w:ascii="Times New Roman" w:hAnsi="Times New Roman"/>
                  <w:color w:val="0000FF"/>
                  <w:sz w:val="20"/>
                  <w:u w:val="single"/>
                </w:rPr>
                <w:t>Certification of Principal Financial Officer pursuant to Exchange Act Rules 13a-14 or 15d-14.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hyperlink w:anchor="vygr-ex32_1.htm">
              <w:r>
                <w:rPr>
                  <w:rStyle w:val="InternetLink"/>
                  <w:rFonts w:ascii="Times New Roman" w:hAnsi="Times New Roman"/>
                  <w:color w:val="0000FF"/>
                  <w:sz w:val="20"/>
                  <w:u w:val="single"/>
                </w:rPr>
                <w:t>Certification of Principal Executive Officer and Principal Financial Officer pursuant to Exchange Act Rules 13a-14(b) or 15d-14(b) and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Management contract or compensatory plan or arrangement.</w:t>
      </w:r>
    </w:p>
    <w:p>
      <w:pPr>
        <w:pStyle w:val="TextBody"/>
        <w:bidi w:val="0"/>
        <w:jc w:val="left"/>
        <w:rPr>
          <w:rFonts w:ascii="Times New Roman" w:hAnsi="Times New Roman"/>
          <w:sz w:val="20"/>
        </w:rPr>
      </w:pPr>
      <w:r>
        <w:rPr>
          <w:rFonts w:ascii="Times New Roman" w:hAnsi="Times New Roman"/>
          <w:color w:val="000000"/>
          <w:sz w:val="18"/>
        </w:rPr>
        <w:t>+ The certification furnished in Exhibit 32.1 hereto is deemed to be furnished with this Quarterly Report on Form 10</w:t>
        <w:noBreakHyphen/>
        <w:t>Q and will not be deemed to be “filed” for purposes of Section 18 of the Securities Exchange Act of 1934, as amended, except to the extent that the Registrant specifically incorporates it by reference.</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13" w:type="dxa"/>
        <w:jc w:val="left"/>
        <w:tblInd w:w="0" w:type="dxa"/>
        <w:tblLayout w:type="fixed"/>
        <w:tblCellMar>
          <w:top w:w="28" w:type="dxa"/>
          <w:left w:w="28" w:type="dxa"/>
          <w:bottom w:w="28" w:type="dxa"/>
          <w:right w:w="28" w:type="dxa"/>
        </w:tblCellMar>
      </w:tblPr>
      <w:tblGrid>
        <w:gridCol w:w="1846"/>
        <w:gridCol w:w="406"/>
        <w:gridCol w:w="426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6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VOYAGER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Alfred Sandrock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Alfred Sandrock</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President,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Robin Swartz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Robin Swartz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 and Chief Business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vygr-ex3_1.htm"/>
      <w:bookmarkStart w:id="19" w:name="ksvygrex3_1"/>
      <w:bookmarkEnd w:id="18"/>
      <w:bookmarkEnd w:id="19"/>
      <w:r>
        <w:rPr>
          <w:rFonts w:ascii="Times New Roman" w:hAnsi="Times New Roman"/>
          <w:b/>
          <w:color w:val="000000"/>
          <w:sz w:val="20"/>
        </w:rPr>
        <w:t>Exhibit 3.1</w:t>
      </w:r>
      <w:r>
        <w:br w:type="page"/>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Delaware</w:t>
      </w:r>
    </w:p>
    <w:p>
      <w:pPr>
        <w:pStyle w:val="TextBody"/>
        <w:bidi w:val="0"/>
        <w:jc w:val="center"/>
        <w:rPr>
          <w:rFonts w:ascii="Times New Roman" w:hAnsi="Times New Roman"/>
          <w:color w:val="000000"/>
          <w:sz w:val="20"/>
        </w:rPr>
      </w:pPr>
      <w:r>
        <w:rPr>
          <w:rFonts w:ascii="Times New Roman" w:hAnsi="Times New Roman"/>
          <w:color w:val="000000"/>
          <w:sz w:val="20"/>
        </w:rPr>
        <w:t>The First State</w:t>
      </w:r>
    </w:p>
    <w:p>
      <w:pPr>
        <w:pStyle w:val="TextBody"/>
        <w:bidi w:val="0"/>
        <w:jc w:val="left"/>
        <w:rPr>
          <w:rFonts w:ascii="Times New Roman" w:hAnsi="Times New Roman"/>
          <w:b/>
          <w:i/>
          <w:color w:val="000000"/>
          <w:sz w:val="20"/>
        </w:rPr>
      </w:pPr>
      <w:r>
        <w:rPr>
          <w:rFonts w:ascii="Times New Roman" w:hAnsi="Times New Roman"/>
          <w:b/>
          <w:i/>
          <w:color w:val="000000"/>
          <w:sz w:val="20"/>
        </w:rPr>
        <w:t>I, JEFFREY W. BULLOCK, SECRETARY OF STATE OF THE STATE OF DELAWARE, DO HEREBY CERTIFY THE ATTACHED IS A TRUE AND CORRECT COPY OF THE RESTATED CERTIFICATE OF “VOYAGER THERAPEUTICS, INC.”, FILED IN THIS OFFICE ON THE SIXTEENTH DAY OF NOVEMBER, A.D. 2015, AT 8:38 O’CLOCK A.M.</w:t>
      </w:r>
    </w:p>
    <w:p>
      <w:pPr>
        <w:pStyle w:val="TextBody"/>
        <w:bidi w:val="0"/>
        <w:jc w:val="left"/>
        <w:rPr>
          <w:rFonts w:ascii="Times New Roman" w:hAnsi="Times New Roman"/>
          <w:b/>
          <w:i/>
          <w:color w:val="000000"/>
          <w:sz w:val="20"/>
        </w:rPr>
      </w:pPr>
      <w:r>
        <w:rPr>
          <w:rFonts w:ascii="Times New Roman" w:hAnsi="Times New Roman"/>
          <w:b/>
          <w:i/>
          <w:color w:val="000000"/>
          <w:sz w:val="20"/>
        </w:rPr>
        <w:t>A FILED COPY OF THIS CERTIFICATE HAS BEEN FORWARDED TO THE NEW CASTLE COUNTY RECORDER OF DEEDS.</w:t>
      </w:r>
    </w:p>
    <w:tbl>
      <w:tblPr>
        <w:tblW w:w="6643" w:type="dxa"/>
        <w:jc w:val="left"/>
        <w:tblInd w:w="0" w:type="dxa"/>
        <w:tblLayout w:type="fixed"/>
        <w:tblCellMar>
          <w:top w:w="28" w:type="dxa"/>
          <w:left w:w="28" w:type="dxa"/>
          <w:bottom w:w="28" w:type="dxa"/>
          <w:right w:w="28" w:type="dxa"/>
        </w:tblCellMar>
      </w:tblPr>
      <w:tblGrid>
        <w:gridCol w:w="1666"/>
        <w:gridCol w:w="1811"/>
        <w:gridCol w:w="3166"/>
      </w:tblGrid>
      <w:tr>
        <w:trPr/>
        <w:tc>
          <w:tcPr>
            <w:tcW w:w="166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vMerge w:val="restart"/>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095375" cy="107632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1095375" cy="1076325"/>
                          </a:xfrm>
                          <a:prstGeom prst="rect">
                            <a:avLst/>
                          </a:prstGeom>
                        </pic:spPr>
                      </pic:pic>
                    </a:graphicData>
                  </a:graphic>
                </wp:inline>
              </w:drawing>
            </w:r>
          </w:p>
        </w:tc>
        <w:tc>
          <w:tcPr>
            <w:tcW w:w="31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W. Bullock</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vMerge w:val="continue"/>
            <w:tcBorders/>
            <w:tcMar>
              <w:top w:w="0" w:type="dxa"/>
              <w:left w:w="0" w:type="dxa"/>
              <w:bottom w:w="0" w:type="dxa"/>
              <w:right w:w="0" w:type="dxa"/>
            </w:tcMar>
            <w:vAlign w:val="center"/>
          </w:tcPr>
          <w:p>
            <w:pPr>
              <w:pStyle w:val="Normal"/>
              <w:bidi w:val="0"/>
              <w:jc w:val="left"/>
              <w:rPr/>
            </w:pPr>
            <w:r>
              <w:rPr/>
            </w:r>
          </w:p>
        </w:tc>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W. Bullock, Secretary of State</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vMerge w:val="continue"/>
            <w:tcBorders/>
            <w:tcMar>
              <w:top w:w="0" w:type="dxa"/>
              <w:left w:w="0" w:type="dxa"/>
              <w:bottom w:w="0" w:type="dxa"/>
              <w:right w:w="0" w:type="dxa"/>
            </w:tcMar>
            <w:vAlign w:val="center"/>
          </w:tcPr>
          <w:p>
            <w:pPr>
              <w:pStyle w:val="Normal"/>
              <w:bidi w:val="0"/>
              <w:jc w:val="left"/>
              <w:rPr/>
            </w:pPr>
            <w:r>
              <w:rPr/>
            </w:r>
          </w:p>
        </w:tc>
        <w:tc>
          <w:tcPr>
            <w:tcW w:w="31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5353612 8100</w:t>
            </w:r>
          </w:p>
        </w:tc>
        <w:tc>
          <w:tcPr>
            <w:tcW w:w="1811" w:type="dxa"/>
            <w:vMerge w:val="continue"/>
            <w:tcBorders/>
            <w:tcMar>
              <w:top w:w="0" w:type="dxa"/>
              <w:left w:w="0" w:type="dxa"/>
              <w:bottom w:w="0" w:type="dxa"/>
              <w:right w:w="0" w:type="dxa"/>
            </w:tcMar>
            <w:vAlign w:val="center"/>
          </w:tcPr>
          <w:p>
            <w:pPr>
              <w:pStyle w:val="Normal"/>
              <w:bidi w:val="0"/>
              <w:jc w:val="left"/>
              <w:rPr/>
            </w:pPr>
            <w:r>
              <w:rPr/>
            </w:r>
          </w:p>
        </w:tc>
        <w:tc>
          <w:tcPr>
            <w:tcW w:w="31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Authentication: 10423195</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SR# 20150921168</w:t>
            </w:r>
          </w:p>
        </w:tc>
        <w:tc>
          <w:tcPr>
            <w:tcW w:w="1811" w:type="dxa"/>
            <w:vMerge w:val="continue"/>
            <w:tcBorders/>
            <w:tcMar>
              <w:top w:w="0" w:type="dxa"/>
              <w:left w:w="0" w:type="dxa"/>
              <w:bottom w:w="0" w:type="dxa"/>
              <w:right w:w="0" w:type="dxa"/>
            </w:tcMar>
            <w:vAlign w:val="center"/>
          </w:tcPr>
          <w:p>
            <w:pPr>
              <w:pStyle w:val="Normal"/>
              <w:bidi w:val="0"/>
              <w:jc w:val="left"/>
              <w:rPr/>
            </w:pPr>
            <w:r>
              <w:rPr/>
            </w:r>
          </w:p>
        </w:tc>
        <w:tc>
          <w:tcPr>
            <w:tcW w:w="31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11-16-15</w:t>
            </w:r>
          </w:p>
        </w:tc>
      </w:tr>
    </w:tbl>
    <w:p>
      <w:pPr>
        <w:pStyle w:val="TextBody"/>
        <w:bidi w:val="0"/>
        <w:jc w:val="left"/>
        <w:rPr>
          <w:rFonts w:ascii="Times New Roman" w:hAnsi="Times New Roman"/>
          <w:color w:val="000000"/>
          <w:sz w:val="20"/>
        </w:rPr>
      </w:pPr>
      <w:r>
        <w:rPr>
          <w:rFonts w:ascii="Times New Roman" w:hAnsi="Times New Roman"/>
          <w:color w:val="000000"/>
          <w:sz w:val="20"/>
        </w:rPr>
        <w:t>You may verify this certificate online at corp.delaware.gov/authver.shtml</w:t>
      </w:r>
    </w:p>
    <w:p>
      <w:pPr>
        <w:pStyle w:val="TextBody"/>
        <w:bidi w:val="0"/>
        <w:jc w:val="center"/>
        <w:rPr>
          <w:rFonts w:ascii="Times New Roman" w:hAnsi="Times New Roman"/>
          <w:color w:val="000000"/>
          <w:sz w:val="20"/>
        </w:rPr>
      </w:pPr>
      <w:bookmarkStart w:id="20" w:name="pb_1_223108_813"/>
      <w:bookmarkEnd w:id="20"/>
      <w:r>
        <w:rPr>
          <w:rFonts w:ascii="Times New Roman" w:hAnsi="Times New Roman"/>
          <w:color w:val="000000"/>
          <w:sz w:val="20"/>
        </w:rPr>
        <w:t>1</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3687" w:type="dxa"/>
        <w:jc w:val="left"/>
        <w:tblInd w:w="0" w:type="dxa"/>
        <w:tblLayout w:type="fixed"/>
        <w:tblCellMar>
          <w:top w:w="28" w:type="dxa"/>
          <w:left w:w="28" w:type="dxa"/>
          <w:bottom w:w="28" w:type="dxa"/>
          <w:right w:w="28" w:type="dxa"/>
        </w:tblCellMar>
      </w:tblPr>
      <w:tblGrid>
        <w:gridCol w:w="161"/>
        <w:gridCol w:w="3526"/>
      </w:tblGrid>
      <w:tr>
        <w:trPr/>
        <w:tc>
          <w:tcPr>
            <w:tcW w:w="16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of Delaware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Secretary of State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Division of Corporations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Delivered 08:38 AM 11/16/2015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08:38 AM 11/16/2015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 20150921168 - File Number 5353612</w:t>
            </w:r>
          </w:p>
        </w:tc>
      </w:tr>
    </w:tbl>
    <w:p>
      <w:pPr>
        <w:pStyle w:val="TextBody"/>
        <w:bidi w:val="0"/>
        <w:jc w:val="center"/>
        <w:rPr>
          <w:rFonts w:ascii="Times New Roman" w:hAnsi="Times New Roman"/>
          <w:color w:val="000000"/>
          <w:sz w:val="20"/>
        </w:rPr>
      </w:pPr>
      <w:r>
        <w:rPr>
          <w:rFonts w:ascii="Times New Roman" w:hAnsi="Times New Roman"/>
          <w:color w:val="000000"/>
          <w:sz w:val="20"/>
        </w:rPr>
        <w:t>FIFTH AMENDED AND RESTATED</w:t>
        <w:br/>
        <w:t>CERTIFICATE OF INCORPORATION</w:t>
      </w:r>
    </w:p>
    <w:p>
      <w:pPr>
        <w:pStyle w:val="TextBody"/>
        <w:bidi w:val="0"/>
        <w:jc w:val="center"/>
        <w:rPr>
          <w:rFonts w:ascii="Times New Roman" w:hAnsi="Times New Roman"/>
          <w:color w:val="000000"/>
          <w:sz w:val="20"/>
        </w:rPr>
      </w:pPr>
      <w:r>
        <w:rPr>
          <w:rFonts w:ascii="Times New Roman" w:hAnsi="Times New Roman"/>
          <w:color w:val="000000"/>
          <w:sz w:val="20"/>
        </w:rPr>
        <w:t>OF</w:t>
      </w:r>
    </w:p>
    <w:p>
      <w:pPr>
        <w:pStyle w:val="TextBody"/>
        <w:bidi w:val="0"/>
        <w:jc w:val="center"/>
        <w:rPr>
          <w:rFonts w:ascii="Times New Roman" w:hAnsi="Times New Roman"/>
          <w:color w:val="000000"/>
          <w:sz w:val="20"/>
        </w:rPr>
      </w:pPr>
      <w:r>
        <w:rPr>
          <w:rFonts w:ascii="Times New Roman" w:hAnsi="Times New Roman"/>
          <w:color w:val="000000"/>
          <w:sz w:val="20"/>
        </w:rPr>
        <w:t>VOYAGER THERAPEUTICS, INC.</w:t>
      </w:r>
    </w:p>
    <w:p>
      <w:pPr>
        <w:pStyle w:val="TextBody"/>
        <w:bidi w:val="0"/>
        <w:jc w:val="left"/>
        <w:rPr>
          <w:rFonts w:ascii="Times New Roman" w:hAnsi="Times New Roman"/>
          <w:color w:val="000000"/>
          <w:sz w:val="20"/>
        </w:rPr>
      </w:pPr>
      <w:r>
        <w:rPr>
          <w:rFonts w:ascii="Times New Roman" w:hAnsi="Times New Roman"/>
          <w:color w:val="000000"/>
          <w:sz w:val="20"/>
        </w:rPr>
        <w:t>Voyager Therapeutics, Inc., a corporation organized and existing under the laws of the State of Delaware (the “Corporation”), hereby certifies as follows: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name of the Corporation is Voyager Therapeutics, Inc. The date of the filing of its original Certificate of Incorporation with the Secretary of State of the State of Delaware was June 19, 2013 (the “Original Certificate”).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This Fifth Amended and Restated Certificate of Incorporation (this “Certificate”) amends, restates and integrates the provisions of the Fourth Amended and Restated Certificate of Incorporation that was filed with the Secretary of State of the State of Delaware on November 10, 2015, as amended (the “Existing Certificate”), and was duly adopted in accordance with the provisions of Sections 228, 242 and 245 of the General Corporation Law of the State of Delaware (the “DGCL”).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The text of the Existing Certificate is hereby amended and restated in its entirety to provide as herein set forth in full.</w:t>
      </w:r>
    </w:p>
    <w:p>
      <w:pPr>
        <w:pStyle w:val="TextBody"/>
        <w:bidi w:val="0"/>
        <w:jc w:val="center"/>
        <w:rPr>
          <w:rFonts w:ascii="Times New Roman" w:hAnsi="Times New Roman"/>
          <w:color w:val="000000"/>
          <w:sz w:val="20"/>
        </w:rPr>
      </w:pPr>
      <w:r>
        <w:rPr>
          <w:rFonts w:ascii="Times New Roman" w:hAnsi="Times New Roman"/>
          <w:color w:val="000000"/>
          <w:sz w:val="20"/>
        </w:rPr>
        <w:t>ARTICLE I</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NAME</w:t>
      </w:r>
    </w:p>
    <w:p>
      <w:pPr>
        <w:pStyle w:val="TextBody"/>
        <w:bidi w:val="0"/>
        <w:jc w:val="left"/>
        <w:rPr>
          <w:rFonts w:ascii="Times New Roman" w:hAnsi="Times New Roman"/>
          <w:color w:val="000000"/>
          <w:sz w:val="20"/>
        </w:rPr>
      </w:pPr>
      <w:r>
        <w:rPr>
          <w:rFonts w:ascii="Times New Roman" w:hAnsi="Times New Roman"/>
          <w:color w:val="000000"/>
          <w:sz w:val="20"/>
        </w:rPr>
        <w:t>The name of the Corporation is Voyager Therapeutics, Inc.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II</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REGISTERED AGENT</w:t>
      </w:r>
    </w:p>
    <w:p>
      <w:pPr>
        <w:pStyle w:val="TextBody"/>
        <w:bidi w:val="0"/>
        <w:jc w:val="left"/>
        <w:rPr>
          <w:rFonts w:ascii="Times New Roman" w:hAnsi="Times New Roman"/>
          <w:color w:val="000000"/>
          <w:sz w:val="20"/>
        </w:rPr>
      </w:pPr>
      <w:r>
        <w:rPr>
          <w:rFonts w:ascii="Times New Roman" w:hAnsi="Times New Roman"/>
          <w:color w:val="000000"/>
          <w:sz w:val="20"/>
        </w:rPr>
        <w:t>The address of the Corporation’s registered office in the State of Delaware is The Corporation Trust Center, 1209 Orange Street, in the City of Wilmington, New Castle County, Delaware 19801. The name of its registered agent at such address is The Corporation Trust Company.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III</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PURPOSE</w:t>
      </w:r>
    </w:p>
    <w:p>
      <w:pPr>
        <w:pStyle w:val="TextBody"/>
        <w:bidi w:val="0"/>
        <w:jc w:val="left"/>
        <w:rPr>
          <w:rFonts w:ascii="Times New Roman" w:hAnsi="Times New Roman"/>
          <w:color w:val="000000"/>
          <w:sz w:val="20"/>
        </w:rPr>
      </w:pPr>
      <w:r>
        <w:rPr>
          <w:rFonts w:ascii="Times New Roman" w:hAnsi="Times New Roman"/>
          <w:color w:val="000000"/>
          <w:sz w:val="20"/>
        </w:rPr>
        <w:t>The purpose of the Corporation is to engage in any lawful act or activity for which corporations may be organized under the DGCL.</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IV</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CAPITAL STOCK</w:t>
      </w:r>
    </w:p>
    <w:p>
      <w:pPr>
        <w:pStyle w:val="TextBody"/>
        <w:bidi w:val="0"/>
        <w:jc w:val="left"/>
        <w:rPr>
          <w:rFonts w:ascii="Times New Roman" w:hAnsi="Times New Roman"/>
          <w:color w:val="000000"/>
          <w:sz w:val="20"/>
        </w:rPr>
      </w:pPr>
      <w:r>
        <w:rPr>
          <w:rFonts w:ascii="Times New Roman" w:hAnsi="Times New Roman"/>
          <w:color w:val="000000"/>
          <w:sz w:val="20"/>
        </w:rPr>
        <w:t>The total number of shares of capital stock which the Corporation shall have authority to issue is one hundred twenty-five million (125,000,000) of which (i) one hundred twenty million (120,000,000) shares shall be a class designated as common stock, par value $0.001 per share (the “Common Stock”), and (ii) five million (5,000,000) shares shall be a class designated as undesignated preferred stock, par value $0.001 per share (the “Undesignated 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powers, preferences and rights of, and the qualifications, limitations and restrictions upon, each class or series of stock shall be determined in accordance with, or as set forth below in, this Article IV.</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COMMON STOCK</w:t>
      </w:r>
    </w:p>
    <w:p>
      <w:pPr>
        <w:pStyle w:val="TextBody"/>
        <w:bidi w:val="0"/>
        <w:jc w:val="left"/>
        <w:rPr>
          <w:rFonts w:ascii="Times New Roman" w:hAnsi="Times New Roman"/>
          <w:color w:val="000000"/>
          <w:sz w:val="20"/>
        </w:rPr>
      </w:pPr>
      <w:r>
        <w:rPr>
          <w:rFonts w:ascii="Times New Roman" w:hAnsi="Times New Roman"/>
          <w:color w:val="000000"/>
          <w:sz w:val="20"/>
        </w:rPr>
        <w:t>Subject to all the rights, powers and preferences of the Undesignated Preferred Stock and except as provided by law or in this Certificate (or in any certificate of designations of any series of Undesignated Preferred Stock):</w:t>
      </w:r>
    </w:p>
    <w:p>
      <w:pPr>
        <w:pStyle w:val="TextBody"/>
        <w:bidi w:val="0"/>
        <w:jc w:val="left"/>
        <w:rPr>
          <w:rFonts w:ascii="Times New Roman" w:hAnsi="Times New Roman"/>
          <w:color w:val="000000"/>
          <w:sz w:val="20"/>
        </w:rPr>
      </w:pPr>
      <w:r>
        <w:rPr>
          <w:rFonts w:ascii="Times New Roman" w:hAnsi="Times New Roman"/>
          <w:color w:val="000000"/>
          <w:sz w:val="20"/>
        </w:rPr>
        <w:t>(a)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provided, however,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dividends may be declared and paid or set apart for payment upon the Common Stock out of any assets or funds of the Corporation legally available for the payment of dividends, but only when and as declared by the Corporation’s Board of Directors (the “Board of Directors”) or any authorized committee thereof; and</w:t>
      </w:r>
    </w:p>
    <w:p>
      <w:pPr>
        <w:pStyle w:val="TextBody"/>
        <w:bidi w:val="0"/>
        <w:jc w:val="center"/>
        <w:rPr>
          <w:rFonts w:ascii="Times New Roman" w:hAnsi="Times New Roman"/>
          <w:color w:val="000000"/>
          <w:sz w:val="20"/>
        </w:rPr>
      </w:pPr>
      <w:bookmarkStart w:id="21" w:name="pb_2_215133_7376"/>
      <w:bookmarkEnd w:id="21"/>
      <w:r>
        <w:rPr>
          <w:rFonts w:ascii="Times New Roman" w:hAnsi="Times New Roman"/>
          <w:color w:val="000000"/>
          <w:sz w:val="20"/>
        </w:rPr>
        <w:t>2</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upon the voluntary or involuntary liquidation, dissolution or winding up of the Corporation, the net assets of the Corporation shall be distributed pro rata to the holders of the Common Stock.</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UNDESIGNATED PREFERRED STOCK</w:t>
      </w:r>
    </w:p>
    <w:p>
      <w:pPr>
        <w:pStyle w:val="TextBody"/>
        <w:bidi w:val="0"/>
        <w:jc w:val="left"/>
        <w:rPr>
          <w:rFonts w:ascii="Times New Roman" w:hAnsi="Times New Roman"/>
          <w:color w:val="000000"/>
          <w:sz w:val="20"/>
        </w:rPr>
      </w:pPr>
      <w:r>
        <w:rPr>
          <w:rFonts w:ascii="Times New Roman" w:hAnsi="Times New Roman"/>
          <w:color w:val="000000"/>
          <w:sz w:val="20"/>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V</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STOCKHOLDER ACTION</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Action without Meeting.</w:t>
      </w:r>
      <w:r>
        <w:rPr>
          <w:rFonts w:ascii="Times New Roman" w:hAnsi="Times New Roman"/>
          <w:color w:val="000000"/>
          <w:sz w:val="20"/>
        </w:rPr>
        <w:t xml:space="preserve">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Special Meetings.</w:t>
      </w:r>
      <w:r>
        <w:rPr>
          <w:rFonts w:ascii="Times New Roman" w:hAnsi="Times New Roman"/>
          <w:color w:val="000000"/>
          <w:sz w:val="20"/>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VI</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DIRECTORS</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General.</w:t>
      </w:r>
      <w:r>
        <w:rPr>
          <w:rFonts w:ascii="Times New Roman" w:hAnsi="Times New Roman"/>
          <w:color w:val="000000"/>
          <w:sz w:val="20"/>
        </w:rPr>
        <w:t xml:space="preserve"> The business and affairs of the Corporation shall be managed by or under the direction of the Board of Directors except as otherwise provided herein or required by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Election of Directors.</w:t>
      </w:r>
      <w:r>
        <w:rPr>
          <w:rFonts w:ascii="Times New Roman" w:hAnsi="Times New Roman"/>
          <w:color w:val="000000"/>
          <w:sz w:val="20"/>
        </w:rPr>
        <w:t xml:space="preserve"> Election of Directors need not be by written ballot unless the Bylaws of the Corporation (the “Bylaws”) shall so provide.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Number of Directors; Term of Office.</w:t>
      </w:r>
      <w:r>
        <w:rPr>
          <w:rFonts w:ascii="Times New Roman" w:hAnsi="Times New Roman"/>
          <w:color w:val="000000"/>
          <w:sz w:val="20"/>
        </w:rPr>
        <w:t xml:space="preserve">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w:t>
      </w:r>
    </w:p>
    <w:p>
      <w:pPr>
        <w:pStyle w:val="TextBody"/>
        <w:bidi w:val="0"/>
        <w:jc w:val="center"/>
        <w:rPr>
          <w:rFonts w:ascii="Times New Roman" w:hAnsi="Times New Roman"/>
          <w:color w:val="000000"/>
          <w:sz w:val="20"/>
        </w:rPr>
      </w:pPr>
      <w:bookmarkStart w:id="22" w:name="pb_3_215404_7056"/>
      <w:bookmarkEnd w:id="22"/>
      <w:r>
        <w:rPr>
          <w:rFonts w:ascii="Times New Roman" w:hAnsi="Times New Roman"/>
          <w:color w:val="000000"/>
          <w:sz w:val="20"/>
        </w:rPr>
        <w:t>3</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they severally hold office, into three classes. The initial Class I Directors of the Corporation shall be Mark Levin and Steven Paul; the initial Class II Directors of the Corporation shall be James Geraghty and Steven Hyman; and the initial Class III Directors of the Corporation shall be Michael Higgins and Perry Karsen. The initial Class I Directors shall serve for a term expiring at the annual meeting of stockholders to be held in 2016, the initial Class II Directors shall serve for a term expiring at the annual meeting of stockholders to be held in 2017, and the initial Class III Directors shall serve for a term expiring at the annual meeting of stockholders to be held in 2018.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Vacancies</w:t>
      </w:r>
      <w:r>
        <w:rPr>
          <w:rFonts w:ascii="Times New Roman" w:hAnsi="Times New Roman"/>
          <w:color w:val="000000"/>
          <w:sz w:val="20"/>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 Section 3 hereof, determine the class or classes to which the increased or decreased number of Directors shall be apportioned;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Removal</w:t>
      </w:r>
      <w:r>
        <w:rPr>
          <w:rFonts w:ascii="Times New Roman" w:hAnsi="Times New Roman"/>
          <w:color w:val="000000"/>
          <w:sz w:val="20"/>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voting together as a single class. At least forty-five (45) days prior to any annual or special meeting of stockholders at which it is proposed that any</w:t>
      </w:r>
    </w:p>
    <w:p>
      <w:pPr>
        <w:pStyle w:val="TextBody"/>
        <w:bidi w:val="0"/>
        <w:jc w:val="center"/>
        <w:rPr>
          <w:rFonts w:ascii="Times New Roman" w:hAnsi="Times New Roman"/>
          <w:color w:val="000000"/>
          <w:sz w:val="20"/>
        </w:rPr>
      </w:pPr>
      <w:bookmarkStart w:id="23" w:name="pb_4_214855_8044"/>
      <w:bookmarkEnd w:id="23"/>
      <w:r>
        <w:rPr>
          <w:rFonts w:ascii="Times New Roman" w:hAnsi="Times New Roman"/>
          <w:color w:val="000000"/>
          <w:sz w:val="20"/>
        </w:rPr>
        <w:t>4</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 be removed from office, written notice of such proposed removal and the alleged grounds thereof shall be sent to the Director whose removal will be considered at the meeting.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VII</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LIMITATION OF LIABILITY</w:t>
      </w:r>
    </w:p>
    <w:p>
      <w:pPr>
        <w:pStyle w:val="TextBody"/>
        <w:bidi w:val="0"/>
        <w:jc w:val="left"/>
        <w:rPr>
          <w:rFonts w:ascii="Times New Roman" w:hAnsi="Times New Roman"/>
          <w:color w:val="000000"/>
          <w:sz w:val="20"/>
        </w:rPr>
      </w:pPr>
      <w:r>
        <w:rPr>
          <w:rFonts w:ascii="Times New Roman" w:hAnsi="Times New Roman"/>
          <w:color w:val="000000"/>
          <w:sz w:val="20"/>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VIII</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EXCLUSIVE JURISDICTION OF DELAWARE COURTS</w:t>
      </w:r>
    </w:p>
    <w:p>
      <w:pPr>
        <w:pStyle w:val="TextBody"/>
        <w:bidi w:val="0"/>
        <w:jc w:val="left"/>
        <w:rPr>
          <w:rFonts w:ascii="Times New Roman" w:hAnsi="Times New Roman"/>
          <w:color w:val="000000"/>
          <w:sz w:val="20"/>
        </w:rPr>
      </w:pPr>
      <w:r>
        <w:rPr>
          <w:rFonts w:ascii="Times New Roman" w:hAnsi="Times New Roman"/>
          <w:color w:val="000000"/>
          <w:sz w:val="20"/>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IX</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AMENDMENT OF BYLAWS</w:t>
      </w:r>
    </w:p>
    <w:p>
      <w:pPr>
        <w:pStyle w:val="TextBody"/>
        <w:bidi w:val="0"/>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Amendment by Directors</w:t>
      </w:r>
      <w:r>
        <w:rPr>
          <w:rFonts w:ascii="Times New Roman" w:hAnsi="Times New Roman"/>
          <w:color w:val="000000"/>
          <w:sz w:val="20"/>
        </w:rPr>
        <w:t>. Except as otherwise provided by law, the Bylaws of the Corporation may be amended or repealed by the Board of Directors by the affirmative vote of a majority of the Directors then in office.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Amendment by Stockholders</w:t>
      </w:r>
      <w:r>
        <w:rPr>
          <w:rFonts w:ascii="Times New Roman" w:hAnsi="Times New Roman"/>
          <w:color w:val="000000"/>
          <w:sz w:val="20"/>
        </w:rPr>
        <w:t>. The Bylaws of the Corporation may be amended or repealed at any annual meeting of stockholders, or special meeting of stockholders called for</w:t>
      </w:r>
    </w:p>
    <w:p>
      <w:pPr>
        <w:pStyle w:val="TextBody"/>
        <w:bidi w:val="0"/>
        <w:jc w:val="center"/>
        <w:rPr>
          <w:rFonts w:ascii="Times New Roman" w:hAnsi="Times New Roman"/>
          <w:color w:val="000000"/>
          <w:sz w:val="20"/>
        </w:rPr>
      </w:pPr>
      <w:bookmarkStart w:id="24" w:name="pb_5_215134_7056"/>
      <w:bookmarkEnd w:id="24"/>
      <w:r>
        <w:rPr>
          <w:rFonts w:ascii="Times New Roman" w:hAnsi="Times New Roman"/>
          <w:color w:val="000000"/>
          <w:sz w:val="20"/>
        </w:rPr>
        <w:t>5</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 xml:space="preserve">such purpose, by the affirmative vote of at least 75% of the outstanding shares of capital stock entitled to vote on such amendment or repeal, voting together as a single class;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X</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AMENDMENT OF CERTIFICATE OF INCORPORATION</w:t>
      </w:r>
    </w:p>
    <w:p>
      <w:pPr>
        <w:pStyle w:val="TextBody"/>
        <w:bidi w:val="0"/>
        <w:jc w:val="left"/>
        <w:rPr>
          <w:rFonts w:ascii="Times New Roman" w:hAnsi="Times New Roman"/>
          <w:sz w:val="20"/>
        </w:rPr>
      </w:pPr>
      <w:r>
        <w:rPr>
          <w:rFonts w:ascii="Times New Roman" w:hAnsi="Times New Roman"/>
          <w:color w:val="000000"/>
          <w:sz w:val="20"/>
        </w:rPr>
        <w:t xml:space="preserve">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affirmative vote of not less than 75% of the outstanding shares of capital stock entitled to vote on such amendment or repeal, and the affirmative vote of not less than 75% of the outstanding shares of each class entitled to vote thereon as a class, shall be required to amend or repeal any provision of Article V, Article VI, Article VII, Article VIII, Article IX or Article X of this Certificate.</w:t>
      </w:r>
    </w:p>
    <w:p>
      <w:pPr>
        <w:pStyle w:val="TextBody"/>
        <w:bidi w:val="0"/>
        <w:jc w:val="center"/>
        <w:rPr>
          <w:rFonts w:ascii="Times New Roman" w:hAnsi="Times New Roman"/>
          <w:color w:val="000000"/>
          <w:sz w:val="20"/>
        </w:rPr>
      </w:pPr>
      <w:bookmarkStart w:id="25" w:name="pb_6_215219_5335"/>
      <w:bookmarkEnd w:id="25"/>
      <w:r>
        <w:rPr>
          <w:rFonts w:ascii="Times New Roman" w:hAnsi="Times New Roman"/>
          <w:color w:val="000000"/>
          <w:sz w:val="20"/>
        </w:rPr>
        <w:t>6</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IN WITNESS WHEREOF, this Fifth Amended and Restated Certificate of Incorporation has been executed by a duly authorized officer of this corporation on this 16</w:t>
      </w:r>
      <w:r>
        <w:rPr>
          <w:rFonts w:ascii="Times New Roman" w:hAnsi="Times New Roman"/>
          <w:color w:val="000000"/>
          <w:sz w:val="13"/>
        </w:rPr>
        <w:t>th</w:t>
      </w:r>
      <w:r>
        <w:rPr>
          <w:rFonts w:ascii="Times New Roman" w:hAnsi="Times New Roman"/>
          <w:color w:val="000000"/>
          <w:sz w:val="20"/>
        </w:rPr>
        <w:t xml:space="preserve"> day of November, 2015.</w:t>
      </w:r>
    </w:p>
    <w:p>
      <w:pPr>
        <w:pStyle w:val="TextBody"/>
        <w:bidi w:val="0"/>
        <w:jc w:val="left"/>
        <w:rPr/>
      </w:pPr>
      <w:r>
        <w:rPr/>
        <w:t> </w:t>
      </w:r>
    </w:p>
    <w:tbl>
      <w:tblPr>
        <w:tblW w:w="3898" w:type="dxa"/>
        <w:jc w:val="left"/>
        <w:tblInd w:w="0" w:type="dxa"/>
        <w:tblLayout w:type="fixed"/>
        <w:tblCellMar>
          <w:top w:w="28" w:type="dxa"/>
          <w:left w:w="28" w:type="dxa"/>
          <w:bottom w:w="28" w:type="dxa"/>
          <w:right w:w="28" w:type="dxa"/>
        </w:tblCellMar>
      </w:tblPr>
      <w:tblGrid>
        <w:gridCol w:w="161"/>
        <w:gridCol w:w="676"/>
        <w:gridCol w:w="3061"/>
      </w:tblGrid>
      <w:tr>
        <w:trPr/>
        <w:tc>
          <w:tcPr>
            <w:tcW w:w="16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Voyager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0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/s/Steven M. Paul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M. Paul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w:t>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 OF</w:t>
      </w:r>
    </w:p>
    <w:p>
      <w:pPr>
        <w:pStyle w:val="TextBody"/>
        <w:bidi w:val="0"/>
        <w:jc w:val="center"/>
        <w:rPr>
          <w:rFonts w:ascii="Times New Roman" w:hAnsi="Times New Roman"/>
          <w:b/>
          <w:color w:val="000000"/>
          <w:sz w:val="20"/>
        </w:rPr>
      </w:pPr>
      <w:r>
        <w:rPr>
          <w:rFonts w:ascii="Times New Roman" w:hAnsi="Times New Roman"/>
          <w:b/>
          <w:color w:val="000000"/>
          <w:sz w:val="20"/>
        </w:rPr>
        <w:t>FIFTH 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aps/>
          <w:color w:val="000000"/>
          <w:sz w:val="20"/>
        </w:rPr>
      </w:pPr>
      <w:r>
        <w:rPr>
          <w:rFonts w:ascii="Times New Roman" w:hAnsi="Times New Roman"/>
          <w:b/>
          <w:caps/>
          <w:color w:val="000000"/>
          <w:sz w:val="20"/>
        </w:rPr>
        <w:t>VoYAGER therapeutiCS, Inc.</w:t>
      </w:r>
    </w:p>
    <w:p>
      <w:pPr>
        <w:pStyle w:val="TextBody"/>
        <w:bidi w:val="0"/>
        <w:jc w:val="center"/>
        <w:rPr>
          <w:rFonts w:ascii="Times New Roman" w:hAnsi="Times New Roman"/>
          <w:color w:val="000000"/>
          <w:sz w:val="20"/>
        </w:rPr>
      </w:pPr>
      <w:r>
        <w:rPr>
          <w:rFonts w:ascii="Times New Roman" w:hAnsi="Times New Roman"/>
          <w:color w:val="000000"/>
          <w:sz w:val="20"/>
        </w:rPr>
        <w:t>(Pursuant to Section 242 of the</w:t>
        <w:br/>
        <w:t>General Corporation Law of the State of Delaware)</w:t>
      </w:r>
    </w:p>
    <w:p>
      <w:pPr>
        <w:pStyle w:val="TextBody"/>
        <w:bidi w:val="0"/>
        <w:jc w:val="both"/>
        <w:rPr>
          <w:rFonts w:ascii="Times New Roman" w:hAnsi="Times New Roman"/>
          <w:color w:val="000000"/>
          <w:sz w:val="20"/>
        </w:rPr>
      </w:pPr>
      <w:r>
        <w:rPr>
          <w:rFonts w:ascii="Times New Roman" w:hAnsi="Times New Roman"/>
          <w:color w:val="000000"/>
          <w:sz w:val="20"/>
        </w:rPr>
        <w:t>Voyager Therapeutics, Inc. (the “Corporation”), a corporation organized and existing under and by virtue of the provisions of the General Corporation Law of the State of Delaware, does hereby certify as follows:</w:t>
      </w:r>
    </w:p>
    <w:p>
      <w:pPr>
        <w:pStyle w:val="TextBody"/>
        <w:bidi w:val="0"/>
        <w:jc w:val="both"/>
        <w:rPr>
          <w:rFonts w:ascii="Times New Roman" w:hAnsi="Times New Roman"/>
          <w:color w:val="000000"/>
          <w:sz w:val="20"/>
        </w:rPr>
      </w:pPr>
      <w:r>
        <w:rPr>
          <w:rFonts w:ascii="Times New Roman" w:hAnsi="Times New Roman"/>
          <w:color w:val="000000"/>
          <w:sz w:val="20"/>
        </w:rPr>
        <w:t>A resolution was duly adopted by the Board of Directors of the Corporation pursuant to Section 242 of the General Corporation Law of the State of Delaware setting forth a proposed amendment to the Fifth Amended and Restated Certificate of Incorporation of the Corporation and declaring said amendment to be advisable. The stockholders of the Corporation duly approved said proposed amendment in accordance with Section 242 of the General Corporation Law of the State of Delaware. The resolution setting forth the amendment is as follows:</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sz w:val="4"/>
                <w:szCs w:val="4"/>
              </w:rPr>
            </w:pPr>
            <w:r>
              <w:rPr>
                <w:sz w:val="4"/>
                <w:szCs w:val="4"/>
              </w:rPr>
            </w:r>
          </w:p>
        </w:tc>
        <w:tc>
          <w:tcPr>
            <w:tcW w:w="9050" w:type="dxa"/>
            <w:tcBorders/>
            <w:vAlign w:val="center"/>
          </w:tcPr>
          <w:p>
            <w:pPr>
              <w:pStyle w:val="TableContents"/>
              <w:bidi w:val="0"/>
              <w:spacing w:before="0" w:after="283"/>
              <w:jc w:val="left"/>
              <w:rPr>
                <w:sz w:val="4"/>
                <w:szCs w:val="4"/>
              </w:rPr>
            </w:pPr>
            <w:r>
              <w:rPr>
                <w:sz w:val="4"/>
                <w:szCs w:val="4"/>
              </w:rPr>
            </w:r>
          </w:p>
        </w:tc>
      </w:tr>
      <w:tr>
        <w:trPr/>
        <w:tc>
          <w:tcPr>
            <w:tcW w:w="11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RESOLVED</w:t>
            </w:r>
            <w:r>
              <w:rPr>
                <w:rFonts w:ascii="Times New Roman" w:hAnsi="Times New Roman"/>
                <w:color w:val="000000"/>
                <w:sz w:val="20"/>
              </w:rPr>
              <w:t>:</w:t>
            </w:r>
          </w:p>
        </w:tc>
        <w:tc>
          <w:tcPr>
            <w:tcW w:w="90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That the first sentence of Article FOURTH of the Fifth Amended and Restated Certificate of Incorporation of the Corporation be and hereby is deleted in its entirety and the following is inserted in lieu thereof:</w:t>
            </w:r>
          </w:p>
        </w:tc>
      </w:tr>
    </w:tbl>
    <w:p>
      <w:pPr>
        <w:pStyle w:val="TextBody"/>
        <w:bidi w:val="0"/>
        <w:jc w:val="both"/>
        <w:rPr>
          <w:color w:val="000000"/>
        </w:rPr>
      </w:pPr>
      <w:r>
        <w:rPr>
          <w:color w:val="000000"/>
        </w:rPr>
        <w:t>“</w:t>
      </w:r>
      <w:r>
        <w:rPr>
          <w:rFonts w:ascii="Times New Roman" w:hAnsi="Times New Roman"/>
          <w:color w:val="000000"/>
          <w:sz w:val="20"/>
        </w:rPr>
        <w:t>The total number of shares of capital stock which the Corporation shall have authority to issue is two hundred and forty-five million (245,000,000) of which (i) two hundred and forty million (240,000,000) shares shall be a class designated as common stock, par value $0.001 per share (the “Common Stock”), and (ii) five million (5,000,000) shares shall be a class designated as undesignated preferred stock, par value $0.001 per share (the “Undesignated Preferred Stock”).”</w:t>
      </w:r>
    </w:p>
    <w:p>
      <w:pPr>
        <w:pStyle w:val="TextBody"/>
        <w:bidi w:val="0"/>
        <w:jc w:val="center"/>
        <w:rPr>
          <w:rFonts w:ascii="Times New Roman" w:hAnsi="Times New Roman"/>
          <w:b/>
          <w:color w:val="000000"/>
          <w:sz w:val="20"/>
        </w:rPr>
      </w:pPr>
      <w:r>
        <w:rPr>
          <w:rFonts w:ascii="Times New Roman" w:hAnsi="Times New Roman"/>
          <w:b/>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IN WITNESS WHEREOF, this Certificate of Amendment has been executed by a duly authorized officer of the Corporation on this 9</w:t>
      </w:r>
      <w:r>
        <w:rPr>
          <w:rFonts w:ascii="Times New Roman" w:hAnsi="Times New Roman"/>
          <w:color w:val="000000"/>
          <w:sz w:val="17"/>
        </w:rPr>
        <w:t>th</w:t>
      </w:r>
      <w:r>
        <w:rPr>
          <w:rFonts w:ascii="Times New Roman" w:hAnsi="Times New Roman"/>
          <w:color w:val="000000"/>
          <w:sz w:val="20"/>
        </w:rPr>
        <w:t xml:space="preserve"> day of June, 2026.</w:t>
      </w:r>
    </w:p>
    <w:tbl>
      <w:tblPr>
        <w:tblW w:w="3786" w:type="dxa"/>
        <w:jc w:val="left"/>
        <w:tblInd w:w="0" w:type="dxa"/>
        <w:tblLayout w:type="fixed"/>
        <w:tblCellMar>
          <w:top w:w="28" w:type="dxa"/>
          <w:left w:w="28" w:type="dxa"/>
          <w:bottom w:w="28" w:type="dxa"/>
          <w:right w:w="28" w:type="dxa"/>
        </w:tblCellMar>
      </w:tblPr>
      <w:tblGrid>
        <w:gridCol w:w="124"/>
        <w:gridCol w:w="40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Voyager therapeutiCS,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Alfred W. Sandrock, Jr., M.D., Ph.D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Alfred W. Sandrock, Jr., M.D., Ph.D.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ind w:left="63" w:right="0" w:hanging="0"/>
        <w:jc w:val="right"/>
        <w:rPr/>
      </w:pPr>
      <w:bookmarkStart w:id="26" w:name="vygr-ex10_1.htm"/>
      <w:bookmarkStart w:id="27" w:name="ksvygrex10_1"/>
      <w:bookmarkEnd w:id="26"/>
      <w:bookmarkEnd w:id="27"/>
      <w:r>
        <w:rPr/>
        <w:t> </w:t>
      </w:r>
      <w:r>
        <w:br w:type="page"/>
      </w:r>
    </w:p>
    <w:p>
      <w:pPr>
        <w:pStyle w:val="TextBody"/>
        <w:bidi w:val="0"/>
        <w:spacing w:before="0" w:after="200"/>
        <w:ind w:left="63" w:right="0" w:hanging="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left"/>
        <w:rPr/>
      </w:pPr>
      <w:r>
        <w:rPr/>
        <w:t> </w:t>
      </w:r>
    </w:p>
    <w:p>
      <w:pPr>
        <w:pStyle w:val="Heading1"/>
        <w:bidi w:val="0"/>
        <w:spacing w:before="1" w:after="283"/>
        <w:ind w:left="1" w:right="0" w:hanging="0"/>
        <w:jc w:val="center"/>
        <w:rPr>
          <w:rFonts w:ascii="Times New Roman" w:hAnsi="Times New Roman"/>
          <w:sz w:val="20"/>
        </w:rPr>
      </w:pPr>
      <w:r>
        <w:rPr>
          <w:rFonts w:ascii="Times New Roman" w:hAnsi="Times New Roman"/>
          <w:color w:val="000000"/>
          <w:sz w:val="24"/>
        </w:rPr>
        <w:t>EMPLOYMENT</w:t>
      </w:r>
      <w:r>
        <w:rPr>
          <w:rFonts w:ascii="Times New Roman" w:hAnsi="Times New Roman"/>
          <w:color w:val="000000"/>
          <w:sz w:val="20"/>
        </w:rPr>
        <w:t xml:space="preserve"> </w:t>
      </w:r>
      <w:r>
        <w:rPr>
          <w:rFonts w:ascii="Times New Roman" w:hAnsi="Times New Roman"/>
          <w:color w:val="000000"/>
          <w:sz w:val="24"/>
        </w:rPr>
        <w:t>AGREEMENT</w:t>
      </w:r>
    </w:p>
    <w:p>
      <w:pPr>
        <w:pStyle w:val="TextBody"/>
        <w:bidi w:val="0"/>
        <w:spacing w:before="240" w:after="283"/>
        <w:ind w:left="360" w:right="359" w:firstLine="720"/>
        <w:jc w:val="both"/>
        <w:rPr>
          <w:rFonts w:ascii="Times New Roman" w:hAnsi="Times New Roman"/>
          <w:sz w:val="20"/>
        </w:rPr>
      </w:pPr>
      <w:r>
        <w:rPr>
          <w:rFonts w:ascii="Times New Roman" w:hAnsi="Times New Roman"/>
          <w:color w:val="000000"/>
          <w:sz w:val="24"/>
        </w:rPr>
        <w:t>This Employment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as of December 17, 2024 (the “</w:t>
      </w:r>
      <w:r>
        <w:rPr>
          <w:rFonts w:ascii="Times New Roman" w:hAnsi="Times New Roman"/>
          <w:color w:val="000000"/>
          <w:sz w:val="24"/>
          <w:u w:val="single"/>
        </w:rPr>
        <w:t>Effective</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Voyager</w:t>
      </w:r>
      <w:r>
        <w:rPr>
          <w:rFonts w:ascii="Times New Roman" w:hAnsi="Times New Roman"/>
          <w:color w:val="000000"/>
          <w:sz w:val="20"/>
        </w:rPr>
        <w:t xml:space="preserve"> </w:t>
      </w:r>
      <w:r>
        <w:rPr>
          <w:rFonts w:ascii="Times New Roman" w:hAnsi="Times New Roman"/>
          <w:color w:val="000000"/>
          <w:sz w:val="24"/>
        </w:rPr>
        <w:t>Therapeutics,</w:t>
      </w:r>
      <w:r>
        <w:rPr>
          <w:rFonts w:ascii="Times New Roman" w:hAnsi="Times New Roman"/>
          <w:color w:val="000000"/>
          <w:sz w:val="20"/>
        </w:rPr>
        <w:t xml:space="preserve"> </w:t>
      </w:r>
      <w:r>
        <w:rPr>
          <w:rFonts w:ascii="Times New Roman" w:hAnsi="Times New Roman"/>
          <w:color w:val="000000"/>
          <w:sz w:val="24"/>
        </w:rPr>
        <w:t>Inc.</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Amy</w:t>
      </w:r>
      <w:r>
        <w:rPr>
          <w:rFonts w:ascii="Times New Roman" w:hAnsi="Times New Roman"/>
          <w:color w:val="000000"/>
          <w:sz w:val="20"/>
        </w:rPr>
        <w:t xml:space="preserve"> </w:t>
      </w:r>
      <w:r>
        <w:rPr>
          <w:rFonts w:ascii="Times New Roman" w:hAnsi="Times New Roman"/>
          <w:color w:val="000000"/>
          <w:sz w:val="24"/>
        </w:rPr>
        <w:t>Quinlan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Employment</w:t>
      </w:r>
      <w:r>
        <w:rPr>
          <w:rFonts w:ascii="Times New Roman" w:hAnsi="Times New Roman"/>
          <w:color w:val="000000"/>
          <w:sz w:val="24"/>
        </w:rPr>
        <w:t>.</w:t>
      </w:r>
      <w:r>
        <w:rPr>
          <w:color w:val="000000"/>
        </w:rPr>
        <w:t xml:space="preserve"> </w:t>
      </w:r>
      <w:r>
        <w:rPr>
          <w:rFonts w:ascii="Times New Roman" w:hAnsi="Times New Roman"/>
          <w:color w:val="000000"/>
          <w:sz w:val="24"/>
        </w:rPr>
        <w:t>The Company and the Executive desire that the Executive be employed as the Company’s Vice President, Finance.</w:t>
      </w:r>
      <w:r>
        <w:rPr>
          <w:color w:val="000000"/>
        </w:rPr>
        <w:t xml:space="preserve"> </w:t>
      </w:r>
      <w:r>
        <w:rPr>
          <w:rFonts w:ascii="Times New Roman" w:hAnsi="Times New Roman"/>
          <w:color w:val="000000"/>
          <w:sz w:val="24"/>
        </w:rPr>
        <w:t>The employment relationship between the Company and the Executive shall be governed by this Agreement, with the Executive’s first day of</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commencing</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mutually</w:t>
      </w:r>
      <w:r>
        <w:rPr>
          <w:color w:val="000000"/>
        </w:rPr>
        <w:t xml:space="preserve"> </w:t>
      </w:r>
      <w:r>
        <w:rPr>
          <w:rFonts w:ascii="Times New Roman" w:hAnsi="Times New Roman"/>
          <w:color w:val="000000"/>
          <w:sz w:val="24"/>
        </w:rPr>
        <w:t>agreed</w:t>
      </w:r>
      <w:r>
        <w:rPr>
          <w:color w:val="000000"/>
        </w:rPr>
        <w:t xml:space="preserve"> </w:t>
      </w:r>
      <w:r>
        <w:rPr>
          <w:rFonts w:ascii="Times New Roman" w:hAnsi="Times New Roman"/>
          <w:color w:val="000000"/>
          <w:sz w:val="24"/>
        </w:rPr>
        <w:t>upon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 but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January</w:t>
      </w:r>
      <w:r>
        <w:rPr>
          <w:color w:val="000000"/>
        </w:rPr>
        <w:t xml:space="preserve"> </w:t>
      </w:r>
      <w:r>
        <w:rPr>
          <w:rFonts w:ascii="Times New Roman" w:hAnsi="Times New Roman"/>
          <w:color w:val="000000"/>
          <w:sz w:val="24"/>
        </w:rPr>
        <w:t>13,</w:t>
      </w:r>
      <w:r>
        <w:rPr>
          <w:color w:val="000000"/>
        </w:rPr>
        <w:t xml:space="preserve"> </w:t>
      </w:r>
      <w:r>
        <w:rPr>
          <w:rFonts w:ascii="Times New Roman" w:hAnsi="Times New Roman"/>
          <w:color w:val="000000"/>
          <w:sz w:val="24"/>
        </w:rPr>
        <w:t>2025</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Commencement</w:t>
      </w:r>
      <w:r>
        <w:rPr>
          <w:color w:val="000000"/>
          <w:u w:val="single"/>
        </w:rPr>
        <w:t xml:space="preserve"> </w:t>
      </w:r>
      <w:r>
        <w:rPr>
          <w:rFonts w:ascii="Times New Roman" w:hAnsi="Times New Roman"/>
          <w:color w:val="000000"/>
          <w:sz w:val="24"/>
          <w:u w:val="single"/>
        </w:rPr>
        <w:t>Date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continuing</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effect until</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party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times,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employment with the Company will be “at-will,” meaning that the Executive’s employment may be</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Position, Reporting and Duties</w:t>
      </w:r>
      <w:r>
        <w:rPr>
          <w:rFonts w:ascii="Times New Roman" w:hAnsi="Times New Roman"/>
          <w:b/>
          <w:color w:val="000000"/>
          <w:sz w:val="24"/>
        </w:rPr>
        <w:t>.</w:t>
      </w:r>
      <w:r>
        <w:rPr>
          <w:color w:val="000000"/>
        </w:rPr>
        <w:t xml:space="preserve"> </w:t>
      </w:r>
      <w:r>
        <w:rPr>
          <w:rFonts w:ascii="Times New Roman" w:hAnsi="Times New Roman"/>
          <w:color w:val="000000"/>
          <w:sz w:val="24"/>
        </w:rPr>
        <w:t>The Executive will serve as Vice President, Finance, reporting to the Company’s Chief Financial Officer (“</w:t>
      </w:r>
      <w:r>
        <w:rPr>
          <w:rFonts w:ascii="Times New Roman" w:hAnsi="Times New Roman"/>
          <w:color w:val="000000"/>
          <w:sz w:val="24"/>
          <w:u w:val="single"/>
        </w:rPr>
        <w:t>CFO</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 Executive agrees to abide</w:t>
      </w:r>
      <w:r>
        <w:rPr>
          <w:color w:val="000000"/>
        </w:rPr>
        <w:t xml:space="preserve"> </w:t>
      </w:r>
      <w:r>
        <w:rPr>
          <w:rFonts w:ascii="Times New Roman" w:hAnsi="Times New Roman"/>
          <w:color w:val="000000"/>
          <w:sz w:val="24"/>
        </w:rPr>
        <w:t>by the rules, regulations, instructions, personnel practices and policies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and any changes therein that may be adopted from time to time by the Company.</w:t>
      </w:r>
      <w:r>
        <w:rPr>
          <w:color w:val="000000"/>
        </w:rPr>
        <w:t xml:space="preserve"> </w:t>
      </w:r>
      <w:r>
        <w:rPr>
          <w:rFonts w:ascii="Times New Roman" w:hAnsi="Times New Roman"/>
          <w:color w:val="000000"/>
          <w:sz w:val="24"/>
        </w:rPr>
        <w:t>The Executive’s normal place of work will be in the Company’s Lexington, Massachusetts office (the “</w:t>
      </w:r>
      <w:r>
        <w:rPr>
          <w:rFonts w:ascii="Times New Roman" w:hAnsi="Times New Roman"/>
          <w:color w:val="000000"/>
          <w:sz w:val="24"/>
          <w:u w:val="single"/>
        </w:rPr>
        <w:t>Lexington</w:t>
      </w:r>
      <w:r>
        <w:rPr>
          <w:color w:val="000000"/>
        </w:rPr>
        <w:t xml:space="preserve"> </w:t>
      </w:r>
      <w:r>
        <w:rPr>
          <w:rFonts w:ascii="Times New Roman" w:hAnsi="Times New Roman"/>
          <w:color w:val="000000"/>
          <w:sz w:val="24"/>
          <w:u w:val="single"/>
        </w:rPr>
        <w:t>Office</w:t>
      </w:r>
      <w:r>
        <w:rPr>
          <w:color w:val="000000"/>
        </w:rPr>
        <w:t>”</w:t>
      </w:r>
      <w:r>
        <w:rPr>
          <w:rFonts w:ascii="Times New Roman" w:hAnsi="Times New Roman"/>
          <w:color w:val="000000"/>
          <w:sz w:val="24"/>
        </w:rPr>
        <w:t>), unless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 traveling on behalf</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The Executive</w:t>
      </w:r>
      <w:r>
        <w:rPr>
          <w:color w:val="000000"/>
        </w:rPr>
        <w:t xml:space="preserve"> </w:t>
      </w:r>
      <w:r>
        <w:rPr>
          <w:rFonts w:ascii="Times New Roman" w:hAnsi="Times New Roman"/>
          <w:color w:val="000000"/>
          <w:sz w:val="24"/>
        </w:rPr>
        <w:t>shall devote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full</w:t>
      </w:r>
      <w:r>
        <w:rPr>
          <w:color w:val="000000"/>
        </w:rPr>
        <w:t xml:space="preserve"> </w:t>
      </w:r>
      <w:r>
        <w:rPr>
          <w:rFonts w:ascii="Times New Roman" w:hAnsi="Times New Roman"/>
          <w:color w:val="000000"/>
          <w:sz w:val="24"/>
        </w:rPr>
        <w:t>working</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efforts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affairs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 not engage in any other business activities without the prior written approval of the CFO and provided that such activities do not create a conflict of interest or otherwise interfere with the Executive’s performance of the Executive’s duties to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0" w:hanging="0"/>
        <w:jc w:val="left"/>
        <w:rPr>
          <w:rFonts w:ascii="Times New Roman" w:hAnsi="Times New Roman"/>
          <w:b/>
          <w:color w:val="000000"/>
          <w:sz w:val="24"/>
        </w:rPr>
      </w:pPr>
      <w:r>
        <w:rPr>
          <w:rFonts w:ascii="Times New Roman" w:hAnsi="Times New Roman"/>
          <w:b/>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Compensation</w:t>
      </w:r>
      <w:r>
        <w:rPr>
          <w:color w:val="000000"/>
          <w:u w:val="single"/>
        </w:rPr>
        <w:t xml:space="preserve"> </w:t>
      </w:r>
      <w:r>
        <w:rPr>
          <w:rFonts w:ascii="Times New Roman" w:hAnsi="Times New Roman"/>
          <w:b/>
          <w:color w:val="000000"/>
          <w:sz w:val="24"/>
          <w:u w:val="single"/>
        </w:rPr>
        <w:t>and</w:t>
      </w:r>
      <w:r>
        <w:rPr>
          <w:color w:val="000000"/>
          <w:u w:val="single"/>
        </w:rPr>
        <w:t xml:space="preserve"> </w:t>
      </w:r>
      <w:r>
        <w:rPr>
          <w:rFonts w:ascii="Times New Roman" w:hAnsi="Times New Roman"/>
          <w:b/>
          <w:color w:val="000000"/>
          <w:sz w:val="24"/>
          <w:u w:val="single"/>
        </w:rPr>
        <w:t>Related</w:t>
      </w:r>
      <w:r>
        <w:rPr>
          <w:color w:val="000000"/>
          <w:u w:val="single"/>
        </w:rPr>
        <w:t xml:space="preserve"> </w:t>
      </w:r>
      <w:r>
        <w:rPr>
          <w:rFonts w:ascii="Times New Roman" w:hAnsi="Times New Roman"/>
          <w:b/>
          <w:color w:val="000000"/>
          <w:sz w:val="24"/>
          <w:u w:val="single"/>
        </w:rPr>
        <w:t>Matters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Base</w:t>
      </w:r>
      <w:r>
        <w:rPr>
          <w:color w:val="000000"/>
          <w:u w:val="single"/>
        </w:rPr>
        <w:t xml:space="preserve"> </w:t>
      </w:r>
      <w:r>
        <w:rPr>
          <w:rFonts w:ascii="Times New Roman" w:hAnsi="Times New Roman"/>
          <w:color w:val="000000"/>
          <w:sz w:val="24"/>
          <w:u w:val="single"/>
        </w:rPr>
        <w:t>Salary</w:t>
      </w:r>
      <w:r>
        <w:rPr>
          <w:rFonts w:ascii="Times New Roman" w:hAnsi="Times New Roman"/>
          <w:color w:val="000000"/>
          <w:sz w:val="24"/>
        </w:rPr>
        <w: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rate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$345,000 (“</w:t>
      </w:r>
      <w:r>
        <w:rPr>
          <w:rFonts w:ascii="Times New Roman" w:hAnsi="Times New Roman"/>
          <w:color w:val="000000"/>
          <w:sz w:val="24"/>
          <w:u w:val="single"/>
        </w:rPr>
        <w:t>Base</w:t>
      </w:r>
      <w:r>
        <w:rPr>
          <w:color w:val="000000"/>
          <w:u w:val="single"/>
        </w:rPr>
        <w:t xml:space="preserve"> </w:t>
      </w:r>
      <w:r>
        <w:rPr>
          <w:rFonts w:ascii="Times New Roman" w:hAnsi="Times New Roman"/>
          <w:color w:val="000000"/>
          <w:sz w:val="24"/>
          <w:u w:val="single"/>
        </w:rPr>
        <w:t>Salary</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review</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redetermination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from time to time.</w:t>
      </w:r>
      <w:r>
        <w:rPr>
          <w:color w:val="000000"/>
        </w:rPr>
        <w:t xml:space="preserve"> </w:t>
      </w:r>
      <w:r>
        <w:rPr>
          <w:rFonts w:ascii="Times New Roman" w:hAnsi="Times New Roman"/>
          <w:color w:val="000000"/>
          <w:sz w:val="24"/>
        </w:rPr>
        <w:t>The Base Salary will be payable in a manner that is consistent with the Company’s usual payroll practices for senior executives.</w:t>
      </w:r>
      <w:r>
        <w:rPr>
          <w:color w:val="000000"/>
        </w:rPr>
        <w:t xml:space="preserve"> </w:t>
      </w:r>
      <w:r>
        <w:rPr>
          <w:rFonts w:ascii="Times New Roman" w:hAnsi="Times New Roman"/>
          <w:color w:val="000000"/>
          <w:sz w:val="24"/>
        </w:rPr>
        <w:t>Based on the Commencement Date, the Executive will not be eligible to participate in the annual salary review for the 2025 calendar year.</w:t>
      </w:r>
      <w:r>
        <w:rPr>
          <w:color w:val="000000"/>
        </w:rPr>
        <w:t xml:space="preserve"> </w:t>
      </w:r>
      <w:r>
        <w:rPr>
          <w:rFonts w:ascii="Times New Roman" w:hAnsi="Times New Roman"/>
          <w:color w:val="000000"/>
          <w:sz w:val="24"/>
        </w:rPr>
        <w:t>The 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participate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annual</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review</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2026</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and in the annual salary review for each subsequent year thereafter.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Annual Bonus</w:t>
      </w:r>
      <w:r>
        <w:rPr>
          <w:rFonts w:ascii="Times New Roman" w:hAnsi="Times New Roman"/>
          <w:color w:val="000000"/>
          <w:sz w:val="24"/>
        </w:rPr>
        <w:t>.</w:t>
      </w:r>
      <w:r>
        <w:rPr>
          <w:color w:val="000000"/>
        </w:rPr>
        <w:t xml:space="preserve"> </w:t>
      </w:r>
      <w:r>
        <w:rPr>
          <w:rFonts w:ascii="Times New Roman" w:hAnsi="Times New Roman"/>
          <w:color w:val="000000"/>
          <w:sz w:val="24"/>
        </w:rPr>
        <w:t>The Executive will be eligible to participate in the Company’s Senior Executive Cash Incentive Bonus Plan (the “</w:t>
      </w:r>
      <w:r>
        <w:rPr>
          <w:rFonts w:ascii="Times New Roman" w:hAnsi="Times New Roman"/>
          <w:color w:val="000000"/>
          <w:sz w:val="24"/>
          <w:u w:val="single"/>
        </w:rPr>
        <w:t>Incentive Bonus Plan</w:t>
      </w:r>
      <w:r>
        <w:rPr>
          <w:color w:val="000000"/>
        </w:rPr>
        <w:t>”</w:t>
      </w:r>
      <w:r>
        <w:rPr>
          <w:rFonts w:ascii="Times New Roman" w:hAnsi="Times New Roman"/>
          <w:color w:val="000000"/>
          <w:sz w:val="24"/>
        </w:rPr>
        <w:t>), as approved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its Compensation Committee, or any other committee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Board</w:t>
      </w:r>
      <w:r>
        <w:rPr>
          <w:color w:val="000000"/>
        </w:rPr>
        <w:t xml:space="preserve"> </w:t>
      </w:r>
      <w:r>
        <w:rPr>
          <w:rFonts w:ascii="Times New Roman" w:hAnsi="Times New Roman"/>
          <w:color w:val="000000"/>
          <w:sz w:val="24"/>
        </w:rPr>
        <w:t>from</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commencing</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2025.</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terms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Incentive Bonus Plan shall be established and may be altered by the Board, its Compensation Committee, or any other committee of the Board in its or their sole discretion.</w:t>
      </w:r>
      <w:r>
        <w:rPr>
          <w:color w:val="000000"/>
        </w:rPr>
        <w:t xml:space="preserve"> </w:t>
      </w:r>
      <w:r>
        <w:rPr>
          <w:rFonts w:ascii="Times New Roman" w:hAnsi="Times New Roman"/>
          <w:color w:val="000000"/>
          <w:sz w:val="24"/>
        </w:rPr>
        <w:t>For calendar year 2025,</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Incentive</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Plan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30%</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2025</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prorated</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Commencement Date.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earn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must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day</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bonus is</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contrary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either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6</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7</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because</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serves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5" w:hanging="0"/>
        <w:jc w:val="both"/>
        <w:rPr>
          <w:rFonts w:ascii="Times New Roman" w:hAnsi="Times New Roman"/>
          <w:sz w:val="20"/>
        </w:rPr>
      </w:pPr>
      <w:r>
        <w:rPr>
          <w:rFonts w:ascii="Times New Roman" w:hAnsi="Times New Roman"/>
          <w:color w:val="000000"/>
          <w:sz w:val="24"/>
        </w:rPr>
        <w:t>as an incentive for the Executive to remain employed with the Company.</w:t>
      </w:r>
      <w:r>
        <w:rPr>
          <w:rFonts w:ascii="Times New Roman" w:hAnsi="Times New Roman"/>
          <w:color w:val="000000"/>
          <w:sz w:val="20"/>
        </w:rPr>
        <w:t xml:space="preserve"> </w:t>
      </w:r>
      <w:r>
        <w:rPr>
          <w:rFonts w:ascii="Times New Roman" w:hAnsi="Times New Roman"/>
          <w:color w:val="000000"/>
          <w:sz w:val="24"/>
        </w:rPr>
        <w:t>Both parties acknowledge and agree that any bonus is not intended and shall not be deemed a “wage” under any state or federal wage-hour law.</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Equity</w:t>
      </w:r>
      <w:r>
        <w:rPr>
          <w:rFonts w:ascii="Times New Roman" w:hAnsi="Times New Roman"/>
          <w:color w:val="000000"/>
          <w:sz w:val="24"/>
        </w:rPr>
        <w:t>.</w:t>
      </w:r>
      <w:r>
        <w:rPr>
          <w:color w:val="000000"/>
        </w:rPr>
        <w:t xml:space="preserve"> </w:t>
      </w:r>
      <w:r>
        <w:rPr>
          <w:rFonts w:ascii="Times New Roman" w:hAnsi="Times New Roman"/>
          <w:color w:val="000000"/>
          <w:sz w:val="24"/>
        </w:rPr>
        <w:t>Subject to approval by the Company’s President &amp; Chief Executive Officer, the Executive will be granted the following equity awards pursuant to and in accordance with the Company’s 2015 Stock Option and Incentive Plan (the “</w:t>
      </w:r>
      <w:r>
        <w:rPr>
          <w:rFonts w:ascii="Times New Roman" w:hAnsi="Times New Roman"/>
          <w:color w:val="000000"/>
          <w:sz w:val="24"/>
          <w:u w:val="single"/>
        </w:rPr>
        <w:t>Plan</w:t>
      </w:r>
      <w:r>
        <w:rPr>
          <w:color w:val="000000"/>
        </w:rPr>
        <w:t>”</w:t>
      </w:r>
      <w:r>
        <w:rPr>
          <w:rFonts w:ascii="Times New Roman" w:hAnsi="Times New Roman"/>
          <w:color w:val="000000"/>
          <w:sz w:val="24"/>
        </w:rPr>
        <w:t>), consisting of an Option Award and an RSU Award (each as defined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hanging="0"/>
        <w:jc w:val="both"/>
        <w:rPr>
          <w:rFonts w:ascii="Times New Roman" w:hAnsi="Times New Roman"/>
          <w:color w:val="000000"/>
          <w:sz w:val="24"/>
        </w:rPr>
      </w:pPr>
      <w:r>
        <w:rPr>
          <w:rFonts w:ascii="Times New Roman" w:hAnsi="Times New Roman"/>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The Executive will be granted an option (the “</w:t>
      </w:r>
      <w:r>
        <w:rPr>
          <w:rFonts w:ascii="Times New Roman" w:hAnsi="Times New Roman"/>
          <w:color w:val="000000"/>
          <w:sz w:val="24"/>
          <w:u w:val="single"/>
        </w:rPr>
        <w:t>Option Award</w:t>
      </w:r>
      <w:r>
        <w:rPr>
          <w:color w:val="000000"/>
        </w:rPr>
        <w:t>”</w:t>
      </w:r>
      <w:r>
        <w:rPr>
          <w:rFonts w:ascii="Times New Roman" w:hAnsi="Times New Roman"/>
          <w:color w:val="000000"/>
          <w:sz w:val="24"/>
        </w:rPr>
        <w:t>) to purchase 50,000 shares of the Company’s common stock (the “</w:t>
      </w:r>
      <w:r>
        <w:rPr>
          <w:rFonts w:ascii="Times New Roman" w:hAnsi="Times New Roman"/>
          <w:color w:val="000000"/>
          <w:sz w:val="24"/>
          <w:u w:val="single"/>
        </w:rPr>
        <w:t>Common Stock</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 Option Award will be granted as of the Commencement Date (the “</w:t>
      </w:r>
      <w:r>
        <w:rPr>
          <w:rFonts w:ascii="Times New Roman" w:hAnsi="Times New Roman"/>
          <w:color w:val="000000"/>
          <w:sz w:val="24"/>
          <w:u w:val="single"/>
        </w:rPr>
        <w:t>Option Grant Date</w:t>
      </w:r>
      <w:r>
        <w:rPr>
          <w:color w:val="000000"/>
        </w:rPr>
        <w:t>”</w:t>
      </w:r>
      <w:r>
        <w:rPr>
          <w:rFonts w:ascii="Times New Roman" w:hAnsi="Times New Roman"/>
          <w:color w:val="000000"/>
          <w:sz w:val="24"/>
        </w:rPr>
        <w:t>), with the shares</w:t>
      </w:r>
      <w:r>
        <w:rPr>
          <w:color w:val="000000"/>
        </w:rPr>
        <w:t xml:space="preserve"> </w:t>
      </w:r>
      <w:r>
        <w:rPr>
          <w:rFonts w:ascii="Times New Roman" w:hAnsi="Times New Roman"/>
          <w:color w:val="000000"/>
          <w:sz w:val="24"/>
        </w:rPr>
        <w:t>underlying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Option</w:t>
      </w:r>
      <w:r>
        <w:rPr>
          <w:color w:val="000000"/>
        </w:rPr>
        <w:t xml:space="preserve"> </w:t>
      </w:r>
      <w:r>
        <w:rPr>
          <w:rFonts w:ascii="Times New Roman" w:hAnsi="Times New Roman"/>
          <w:color w:val="000000"/>
          <w:sz w:val="24"/>
        </w:rPr>
        <w:t>Award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Option</w:t>
      </w:r>
      <w:r>
        <w:rPr>
          <w:color w:val="000000"/>
          <w:u w:val="single"/>
        </w:rPr>
        <w:t xml:space="preserve"> </w:t>
      </w:r>
      <w:r>
        <w:rPr>
          <w:rFonts w:ascii="Times New Roman" w:hAnsi="Times New Roman"/>
          <w:color w:val="000000"/>
          <w:sz w:val="24"/>
          <w:u w:val="single"/>
        </w:rPr>
        <w:t>Shares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exercise</w:t>
      </w:r>
      <w:r>
        <w:rPr>
          <w:color w:val="000000"/>
        </w:rPr>
        <w:t xml:space="preserve"> </w:t>
      </w:r>
      <w:r>
        <w:rPr>
          <w:rFonts w:ascii="Times New Roman" w:hAnsi="Times New Roman"/>
          <w:color w:val="000000"/>
          <w:sz w:val="24"/>
        </w:rPr>
        <w:t>price per</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equal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closing</w:t>
      </w:r>
      <w:r>
        <w:rPr>
          <w:color w:val="000000"/>
        </w:rPr>
        <w:t xml:space="preserve"> </w:t>
      </w:r>
      <w:r>
        <w:rPr>
          <w:rFonts w:ascii="Times New Roman" w:hAnsi="Times New Roman"/>
          <w:color w:val="000000"/>
          <w:sz w:val="24"/>
        </w:rPr>
        <w:t>price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Nasdaq</w:t>
      </w:r>
      <w:r>
        <w:rPr>
          <w:color w:val="000000"/>
        </w:rPr>
        <w:t xml:space="preserve"> </w:t>
      </w:r>
      <w:r>
        <w:rPr>
          <w:rFonts w:ascii="Times New Roman" w:hAnsi="Times New Roman"/>
          <w:color w:val="000000"/>
          <w:sz w:val="24"/>
        </w:rPr>
        <w:t>Global</w:t>
      </w:r>
      <w:r>
        <w:rPr>
          <w:color w:val="000000"/>
        </w:rPr>
        <w:t xml:space="preserve"> </w:t>
      </w:r>
      <w:r>
        <w:rPr>
          <w:rFonts w:ascii="Times New Roman" w:hAnsi="Times New Roman"/>
          <w:color w:val="000000"/>
          <w:sz w:val="24"/>
        </w:rPr>
        <w:t>Select Market on the Option Grant Date and (b) vest and become exercisable, subject to the Executive’s</w:t>
      </w:r>
      <w:r>
        <w:rPr>
          <w:color w:val="000000"/>
        </w:rPr>
        <w:t xml:space="preserve"> </w:t>
      </w:r>
      <w:r>
        <w:rPr>
          <w:rFonts w:ascii="Times New Roman" w:hAnsi="Times New Roman"/>
          <w:color w:val="000000"/>
          <w:sz w:val="24"/>
        </w:rPr>
        <w:t>continued</w:t>
      </w:r>
      <w:r>
        <w:rPr>
          <w:color w:val="000000"/>
        </w:rPr>
        <w:t xml:space="preserve"> </w:t>
      </w:r>
      <w:r>
        <w:rPr>
          <w:rFonts w:ascii="Times New Roman" w:hAnsi="Times New Roman"/>
          <w:color w:val="000000"/>
          <w:sz w:val="24"/>
        </w:rPr>
        <w:t>service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vesting</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follows:</w:t>
      </w:r>
      <w:r>
        <w:rPr>
          <w:color w:val="000000"/>
        </w:rPr>
        <w:t xml:space="preserve"> </w:t>
      </w:r>
      <w:r>
        <w:rPr>
          <w:rFonts w:ascii="Times New Roman" w:hAnsi="Times New Roman"/>
          <w:color w:val="000000"/>
          <w:sz w:val="24"/>
        </w:rPr>
        <w:t>25%</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Option Shares will vest on the first anniversary of the Option Grant Date, and an additional</w:t>
      </w:r>
      <w:r>
        <w:rPr>
          <w:color w:val="000000"/>
        </w:rPr>
        <w:t xml:space="preserve"> </w:t>
      </w:r>
      <w:r>
        <w:rPr>
          <w:rFonts w:ascii="Times New Roman" w:hAnsi="Times New Roman"/>
          <w:color w:val="000000"/>
          <w:sz w:val="24"/>
        </w:rPr>
        <w:t>2.0833%</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Option</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monthly</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end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each one-month period following the first anniversary of the Option Grant Date until the four-year anniversary of the Option Grant Date;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hanging="0"/>
        <w:jc w:val="both"/>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also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granted</w:t>
      </w:r>
      <w:r>
        <w:rPr>
          <w:color w:val="000000"/>
        </w:rPr>
        <w:t xml:space="preserve"> </w:t>
      </w:r>
      <w:r>
        <w:rPr>
          <w:rFonts w:ascii="Times New Roman" w:hAnsi="Times New Roman"/>
          <w:color w:val="000000"/>
          <w:sz w:val="24"/>
        </w:rPr>
        <w:t>25,000</w:t>
      </w:r>
      <w:r>
        <w:rPr>
          <w:color w:val="000000"/>
        </w:rPr>
        <w:t xml:space="preserve"> </w:t>
      </w:r>
      <w:r>
        <w:rPr>
          <w:rFonts w:ascii="Times New Roman" w:hAnsi="Times New Roman"/>
          <w:color w:val="000000"/>
          <w:sz w:val="24"/>
        </w:rPr>
        <w:t>restricted</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units,</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representing</w:t>
      </w:r>
      <w:r>
        <w:rPr>
          <w:color w:val="000000"/>
        </w:rPr>
        <w:t xml:space="preserve"> </w:t>
      </w:r>
      <w:r>
        <w:rPr>
          <w:rFonts w:ascii="Times New Roman" w:hAnsi="Times New Roman"/>
          <w:color w:val="000000"/>
          <w:sz w:val="24"/>
        </w:rPr>
        <w:t>the 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RSU</w:t>
      </w:r>
      <w:r>
        <w:rPr>
          <w:color w:val="000000"/>
          <w:u w:val="single"/>
        </w:rPr>
        <w:t xml:space="preserve"> </w:t>
      </w:r>
      <w:r>
        <w:rPr>
          <w:rFonts w:ascii="Times New Roman" w:hAnsi="Times New Roman"/>
          <w:color w:val="000000"/>
          <w:sz w:val="24"/>
          <w:u w:val="single"/>
        </w:rPr>
        <w:t>Award</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RSU</w:t>
      </w:r>
      <w:r>
        <w:rPr>
          <w:color w:val="000000"/>
        </w:rPr>
        <w:t xml:space="preserve"> </w:t>
      </w:r>
      <w:r>
        <w:rPr>
          <w:rFonts w:ascii="Times New Roman" w:hAnsi="Times New Roman"/>
          <w:color w:val="000000"/>
          <w:sz w:val="24"/>
        </w:rPr>
        <w:t>Award to (a) be</w:t>
      </w:r>
      <w:r>
        <w:rPr>
          <w:color w:val="000000"/>
        </w:rPr>
        <w:t xml:space="preserve"> </w:t>
      </w:r>
      <w:r>
        <w:rPr>
          <w:rFonts w:ascii="Times New Roman" w:hAnsi="Times New Roman"/>
          <w:color w:val="000000"/>
          <w:sz w:val="24"/>
        </w:rPr>
        <w:t>granted as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first day of the first calendar</w:t>
      </w:r>
      <w:r>
        <w:rPr>
          <w:color w:val="000000"/>
        </w:rPr>
        <w:t xml:space="preserve"> </w:t>
      </w:r>
      <w:r>
        <w:rPr>
          <w:rFonts w:ascii="Times New Roman" w:hAnsi="Times New Roman"/>
          <w:color w:val="000000"/>
          <w:sz w:val="24"/>
        </w:rPr>
        <w:t>quarter</w:t>
      </w:r>
      <w:r>
        <w:rPr>
          <w:color w:val="000000"/>
        </w:rPr>
        <w:t xml:space="preserve"> </w:t>
      </w:r>
      <w:r>
        <w:rPr>
          <w:rFonts w:ascii="Times New Roman" w:hAnsi="Times New Roman"/>
          <w:color w:val="000000"/>
          <w:sz w:val="24"/>
        </w:rPr>
        <w:t>immediately following the</w:t>
      </w:r>
      <w:r>
        <w:rPr>
          <w:color w:val="000000"/>
        </w:rPr>
        <w:t xml:space="preserve"> </w:t>
      </w:r>
      <w:r>
        <w:rPr>
          <w:rFonts w:ascii="Times New Roman" w:hAnsi="Times New Roman"/>
          <w:color w:val="000000"/>
          <w:sz w:val="24"/>
        </w:rPr>
        <w:t>Commencement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RSU</w:t>
      </w:r>
      <w:r>
        <w:rPr>
          <w:color w:val="000000"/>
          <w:u w:val="single"/>
        </w:rPr>
        <w:t xml:space="preserve"> </w:t>
      </w:r>
      <w:r>
        <w:rPr>
          <w:rFonts w:ascii="Times New Roman" w:hAnsi="Times New Roman"/>
          <w:color w:val="000000"/>
          <w:sz w:val="24"/>
          <w:u w:val="single"/>
        </w:rPr>
        <w:t>Grant</w:t>
      </w:r>
      <w:r>
        <w:rPr>
          <w:color w:val="000000"/>
          <w:u w:val="single"/>
        </w:rPr>
        <w:t xml:space="preserve"> </w:t>
      </w:r>
      <w:r>
        <w:rPr>
          <w:rFonts w:ascii="Times New Roman" w:hAnsi="Times New Roman"/>
          <w:color w:val="000000"/>
          <w:sz w:val="24"/>
          <w:u w:val="single"/>
        </w:rPr>
        <w:t>Date</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vest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become</w:t>
      </w:r>
      <w:r>
        <w:rPr>
          <w:color w:val="000000"/>
        </w:rPr>
        <w:t xml:space="preserve"> </w:t>
      </w:r>
      <w:r>
        <w:rPr>
          <w:rFonts w:ascii="Times New Roman" w:hAnsi="Times New Roman"/>
          <w:color w:val="000000"/>
          <w:sz w:val="24"/>
        </w:rPr>
        <w:t>settleable, subject to the Executive’s continued service on each applicable vesting date, over a three-year period as follows:</w:t>
      </w:r>
      <w:r>
        <w:rPr>
          <w:color w:val="000000"/>
        </w:rPr>
        <w:t xml:space="preserve"> </w:t>
      </w:r>
      <w:r>
        <w:rPr>
          <w:rFonts w:ascii="Times New Roman" w:hAnsi="Times New Roman"/>
          <w:color w:val="000000"/>
          <w:sz w:val="24"/>
        </w:rPr>
        <w:t>33.333% of the shares underlying the RSU Award will vest on the first anniversary of the RSU Grant Date and an additional 33.333% of the shares underlying the RSU Award will vest at the end of each one-year period 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first anniversary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RSU</w:t>
      </w:r>
      <w:r>
        <w:rPr>
          <w:color w:val="000000"/>
        </w:rPr>
        <w:t xml:space="preserve"> </w:t>
      </w:r>
      <w:r>
        <w:rPr>
          <w:rFonts w:ascii="Times New Roman" w:hAnsi="Times New Roman"/>
          <w:color w:val="000000"/>
          <w:sz w:val="24"/>
        </w:rPr>
        <w:t>Grant Date</w:t>
      </w:r>
      <w:r>
        <w:rPr>
          <w:color w:val="000000"/>
        </w:rPr>
        <w:t xml:space="preserve"> </w:t>
      </w:r>
      <w:r>
        <w:rPr>
          <w:rFonts w:ascii="Times New Roman" w:hAnsi="Times New Roman"/>
          <w:color w:val="000000"/>
          <w:sz w:val="24"/>
        </w:rPr>
        <w:t>until</w:t>
      </w:r>
      <w:r>
        <w:rPr>
          <w:color w:val="000000"/>
        </w:rPr>
        <w:t xml:space="preserve"> </w:t>
      </w:r>
      <w:r>
        <w:rPr>
          <w:rFonts w:ascii="Times New Roman" w:hAnsi="Times New Roman"/>
          <w:color w:val="000000"/>
          <w:sz w:val="24"/>
        </w:rPr>
        <w:t>the three-year anniversary of the RSU Grant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5" w:hanging="0"/>
        <w:jc w:val="both"/>
        <w:rPr>
          <w:rFonts w:ascii="Times New Roman" w:hAnsi="Times New Roman"/>
          <w:sz w:val="20"/>
        </w:rPr>
      </w:pPr>
      <w:bookmarkStart w:id="28" w:name="each_of_the_option_award_and_the_rsu_awa"/>
      <w:bookmarkEnd w:id="28"/>
      <w:r>
        <w:rPr>
          <w:rFonts w:ascii="Times New Roman" w:hAnsi="Times New Roman"/>
          <w:color w:val="000000"/>
          <w:sz w:val="24"/>
        </w:rPr>
        <w:t>Each of the Option Award and the RSU Award will be subject to and governed by the terms and conditions of the Plan and the applicable equity award agreement between the Executive and the Company (collectively, the “</w:t>
      </w:r>
      <w:r>
        <w:rPr>
          <w:rFonts w:ascii="Times New Roman" w:hAnsi="Times New Roman"/>
          <w:color w:val="000000"/>
          <w:sz w:val="24"/>
          <w:u w:val="single"/>
        </w:rPr>
        <w:t>Equity Documents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Employee Benefits</w:t>
      </w:r>
      <w:r>
        <w:rPr>
          <w:rFonts w:ascii="Times New Roman" w:hAnsi="Times New Roman"/>
          <w:color w:val="000000"/>
          <w:sz w:val="24"/>
        </w:rPr>
        <w:t>.</w:t>
      </w:r>
      <w:r>
        <w:rPr>
          <w:color w:val="000000"/>
        </w:rPr>
        <w:t xml:space="preserve"> </w:t>
      </w:r>
      <w:r>
        <w:rPr>
          <w:rFonts w:ascii="Times New Roman" w:hAnsi="Times New Roman"/>
          <w:color w:val="000000"/>
          <w:sz w:val="24"/>
        </w:rPr>
        <w:t>The Executive shall be entitled to full participation in the Company’s flexible vacation plan each calendar year and to such other holidays as the Company recognizes for employees having comparable responsibilities and duties.</w:t>
      </w:r>
      <w:r>
        <w:rPr>
          <w:color w:val="000000"/>
        </w:rPr>
        <w:t xml:space="preserve"> </w:t>
      </w:r>
      <w:r>
        <w:rPr>
          <w:rFonts w:ascii="Times New Roman" w:hAnsi="Times New Roman"/>
          <w:color w:val="000000"/>
          <w:sz w:val="24"/>
        </w:rPr>
        <w:t>The Executive will be entitled to participate in the Company’s employee benefit plans, subject to the terms and the conditions of such plans, and the Company’s ability to amend and modify such plans at any time and from time to time without advance notice.</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Signing Bonus</w:t>
      </w:r>
      <w:r>
        <w:rPr>
          <w:rFonts w:ascii="Times New Roman" w:hAnsi="Times New Roman"/>
          <w:color w:val="000000"/>
          <w:sz w:val="24"/>
        </w:rPr>
        <w:t>.</w:t>
      </w:r>
      <w:r>
        <w:rPr>
          <w:color w:val="000000"/>
        </w:rPr>
        <w:t xml:space="preserve"> </w:t>
      </w:r>
      <w:r>
        <w:rPr>
          <w:rFonts w:ascii="Times New Roman" w:hAnsi="Times New Roman"/>
          <w:color w:val="000000"/>
          <w:sz w:val="24"/>
        </w:rPr>
        <w:t xml:space="preserve">In further consideration of the obligations established for the Executive under the Confidentiality, Non-Solicitation, Non-Competition and Invention Assignment Agreement attached hereto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 “</w:t>
      </w:r>
      <w:r>
        <w:rPr>
          <w:rFonts w:ascii="Times New Roman" w:hAnsi="Times New Roman"/>
          <w:color w:val="000000"/>
          <w:sz w:val="24"/>
          <w:u w:val="single"/>
        </w:rPr>
        <w:t>Confidentiality Agreement</w:t>
      </w:r>
      <w:r>
        <w:rPr>
          <w:color w:val="000000"/>
        </w:rPr>
        <w:t>”</w:t>
      </w:r>
      <w:r>
        <w:rPr>
          <w:rFonts w:ascii="Times New Roman" w:hAnsi="Times New Roman"/>
          <w:color w:val="000000"/>
          <w:sz w:val="24"/>
        </w:rPr>
        <w:t>), the Executive</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one-time</w:t>
      </w:r>
      <w:r>
        <w:rPr>
          <w:color w:val="000000"/>
        </w:rPr>
        <w:t xml:space="preserve"> </w:t>
      </w:r>
      <w:r>
        <w:rPr>
          <w:rFonts w:ascii="Times New Roman" w:hAnsi="Times New Roman"/>
          <w:color w:val="000000"/>
          <w:sz w:val="24"/>
        </w:rPr>
        <w:t>signing</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$75,000,</w:t>
      </w:r>
      <w:r>
        <w:rPr>
          <w:color w:val="000000"/>
        </w:rPr>
        <w:t xml:space="preserve"> </w:t>
      </w:r>
      <w:r>
        <w:rPr>
          <w:rFonts w:ascii="Times New Roman" w:hAnsi="Times New Roman"/>
          <w:color w:val="000000"/>
          <w:sz w:val="24"/>
        </w:rPr>
        <w:t>less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4" w:hanging="0"/>
        <w:jc w:val="both"/>
        <w:rPr>
          <w:rFonts w:ascii="Times New Roman" w:hAnsi="Times New Roman"/>
          <w:sz w:val="20"/>
        </w:rPr>
      </w:pPr>
      <w:r>
        <w:rPr>
          <w:rFonts w:ascii="Times New Roman" w:hAnsi="Times New Roman"/>
          <w:color w:val="000000"/>
          <w:sz w:val="24"/>
        </w:rPr>
        <w:t>withholdings (the</w:t>
      </w:r>
      <w:r>
        <w:rPr>
          <w:rFonts w:ascii="Times New Roman" w:hAnsi="Times New Roman"/>
          <w:color w:val="000000"/>
          <w:sz w:val="20"/>
        </w:rPr>
        <w:t xml:space="preserve"> “</w:t>
      </w:r>
      <w:r>
        <w:rPr>
          <w:rFonts w:ascii="Times New Roman" w:hAnsi="Times New Roman"/>
          <w:color w:val="000000"/>
          <w:sz w:val="24"/>
          <w:u w:val="single"/>
        </w:rPr>
        <w:t>Signing Bonus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Signing Bonus shall be payable in the</w:t>
      </w:r>
      <w:r>
        <w:rPr>
          <w:rFonts w:ascii="Times New Roman" w:hAnsi="Times New Roman"/>
          <w:color w:val="000000"/>
          <w:sz w:val="20"/>
        </w:rPr>
        <w:t xml:space="preserve"> </w:t>
      </w:r>
      <w:r>
        <w:rPr>
          <w:rFonts w:ascii="Times New Roman" w:hAnsi="Times New Roman"/>
          <w:color w:val="000000"/>
          <w:sz w:val="24"/>
        </w:rPr>
        <w:t>Company’s first regular payroll cycle following the Commencement Date.</w:t>
      </w:r>
      <w:r>
        <w:rPr>
          <w:rFonts w:ascii="Times New Roman" w:hAnsi="Times New Roman"/>
          <w:color w:val="000000"/>
          <w:sz w:val="20"/>
        </w:rPr>
        <w:t xml:space="preserve"> </w:t>
      </w:r>
      <w:r>
        <w:rPr>
          <w:rFonts w:ascii="Times New Roman" w:hAnsi="Times New Roman"/>
          <w:color w:val="000000"/>
          <w:sz w:val="24"/>
        </w:rPr>
        <w:t>If the Company terminates the Executive’s employment for Cause (as defined below) or the Executive resigns without Good Reason (as defined below) prior to the second anniversary of the Commencement Date, the Executive will, within thirty (30) days following the Executive’s last day of employment, be obligated to repay the gross amount of the Signing Bonus paid to the Executive based on the following schedule: one hundred percent (100%) of the Signing Bonus if the Executive’s separation</w:t>
      </w:r>
      <w:r>
        <w:rPr>
          <w:rFonts w:ascii="Times New Roman" w:hAnsi="Times New Roman"/>
          <w:color w:val="000000"/>
          <w:sz w:val="20"/>
        </w:rPr>
        <w:t xml:space="preserve"> </w:t>
      </w:r>
      <w:r>
        <w:rPr>
          <w:rFonts w:ascii="Times New Roman" w:hAnsi="Times New Roman"/>
          <w:color w:val="000000"/>
          <w:sz w:val="24"/>
        </w:rPr>
        <w:t>occurs</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twelve</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Commencement</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fifty</w:t>
      </w:r>
      <w:r>
        <w:rPr>
          <w:rFonts w:ascii="Times New Roman" w:hAnsi="Times New Roman"/>
          <w:color w:val="000000"/>
          <w:sz w:val="20"/>
        </w:rPr>
        <w:t xml:space="preserve"> </w:t>
      </w:r>
      <w:r>
        <w:rPr>
          <w:rFonts w:ascii="Times New Roman" w:hAnsi="Times New Roman"/>
          <w:color w:val="000000"/>
          <w:sz w:val="24"/>
        </w:rPr>
        <w:t>percent (50%)</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Signing</w:t>
      </w:r>
      <w:r>
        <w:rPr>
          <w:rFonts w:ascii="Times New Roman" w:hAnsi="Times New Roman"/>
          <w:color w:val="000000"/>
          <w:sz w:val="20"/>
        </w:rPr>
        <w:t xml:space="preserve"> </w:t>
      </w:r>
      <w:r>
        <w:rPr>
          <w:rFonts w:ascii="Times New Roman" w:hAnsi="Times New Roman"/>
          <w:color w:val="000000"/>
          <w:sz w:val="24"/>
        </w:rPr>
        <w:t>Bonus</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Executive’s</w:t>
      </w:r>
      <w:r>
        <w:rPr>
          <w:rFonts w:ascii="Times New Roman" w:hAnsi="Times New Roman"/>
          <w:color w:val="000000"/>
          <w:sz w:val="20"/>
        </w:rPr>
        <w:t xml:space="preserve"> </w:t>
      </w:r>
      <w:r>
        <w:rPr>
          <w:rFonts w:ascii="Times New Roman" w:hAnsi="Times New Roman"/>
          <w:color w:val="000000"/>
          <w:sz w:val="24"/>
        </w:rPr>
        <w:t>separation</w:t>
      </w:r>
      <w:r>
        <w:rPr>
          <w:rFonts w:ascii="Times New Roman" w:hAnsi="Times New Roman"/>
          <w:color w:val="000000"/>
          <w:sz w:val="20"/>
        </w:rPr>
        <w:t xml:space="preserve"> </w:t>
      </w:r>
      <w:r>
        <w:rPr>
          <w:rFonts w:ascii="Times New Roman" w:hAnsi="Times New Roman"/>
          <w:color w:val="000000"/>
          <w:sz w:val="24"/>
        </w:rPr>
        <w:t>occurs</w:t>
      </w:r>
      <w:r>
        <w:rPr>
          <w:rFonts w:ascii="Times New Roman" w:hAnsi="Times New Roman"/>
          <w:color w:val="000000"/>
          <w:sz w:val="20"/>
        </w:rPr>
        <w:t xml:space="preserve"> </w:t>
      </w:r>
      <w:r>
        <w:rPr>
          <w:rFonts w:ascii="Times New Roman" w:hAnsi="Times New Roman"/>
          <w:color w:val="000000"/>
          <w:sz w:val="24"/>
        </w:rPr>
        <w:t>between</w:t>
      </w:r>
      <w:r>
        <w:rPr>
          <w:rFonts w:ascii="Times New Roman" w:hAnsi="Times New Roman"/>
          <w:color w:val="000000"/>
          <w:sz w:val="20"/>
        </w:rPr>
        <w:t xml:space="preserve"> </w:t>
      </w:r>
      <w:r>
        <w:rPr>
          <w:rFonts w:ascii="Times New Roman" w:hAnsi="Times New Roman"/>
          <w:color w:val="000000"/>
          <w:sz w:val="24"/>
        </w:rPr>
        <w:t>twelve</w:t>
      </w:r>
      <w:r>
        <w:rPr>
          <w:rFonts w:ascii="Times New Roman" w:hAnsi="Times New Roman"/>
          <w:color w:val="000000"/>
          <w:sz w:val="20"/>
        </w:rPr>
        <w:t xml:space="preserve"> </w:t>
      </w: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twenty-four (24) months following the Commencement Date.</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Reimbursement of Business Expenses.</w:t>
      </w:r>
      <w:r>
        <w:rPr>
          <w:color w:val="000000"/>
        </w:rPr>
        <w:t xml:space="preserve"> </w:t>
      </w:r>
      <w:r>
        <w:rPr>
          <w:rFonts w:ascii="Times New Roman" w:hAnsi="Times New Roman"/>
          <w:color w:val="000000"/>
          <w:sz w:val="24"/>
        </w:rPr>
        <w:t>The Company shall reimburse the Executive for travel, entertainment, business development and other expenses reasonably and necessarily incurred by the Executive in connection with the Company’s business.</w:t>
      </w:r>
      <w:r>
        <w:rPr>
          <w:color w:val="000000"/>
        </w:rPr>
        <w:t xml:space="preserve"> </w:t>
      </w:r>
      <w:r>
        <w:rPr>
          <w:rFonts w:ascii="Times New Roman" w:hAnsi="Times New Roman"/>
          <w:color w:val="000000"/>
          <w:sz w:val="24"/>
        </w:rPr>
        <w:t>Expense reimbursement shall be subject to such policies that the Company may adopt from time to time, including with respect to pre-approval.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0" w:hanging="0"/>
        <w:jc w:val="left"/>
        <w:rPr>
          <w:rFonts w:ascii="Times New Roman" w:hAnsi="Times New Roman"/>
          <w:b/>
          <w:color w:val="000000"/>
          <w:sz w:val="24"/>
        </w:rPr>
      </w:pPr>
      <w:r>
        <w:rPr>
          <w:rFonts w:ascii="Times New Roman" w:hAnsi="Times New Roman"/>
          <w:b/>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Certain</w:t>
      </w:r>
      <w:r>
        <w:rPr>
          <w:color w:val="000000"/>
          <w:u w:val="single"/>
        </w:rPr>
        <w:t xml:space="preserve"> </w:t>
      </w:r>
      <w:r>
        <w:rPr>
          <w:rFonts w:ascii="Times New Roman" w:hAnsi="Times New Roman"/>
          <w:b/>
          <w:color w:val="000000"/>
          <w:sz w:val="24"/>
          <w:u w:val="single"/>
        </w:rPr>
        <w:t>Definitions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means (A) the commission by the Executive of (i)</w:t>
      </w:r>
      <w:r>
        <w:rPr>
          <w:color w:val="000000"/>
        </w:rPr>
        <w:t xml:space="preserve"> </w:t>
      </w:r>
      <w:r>
        <w:rPr>
          <w:rFonts w:ascii="Times New Roman" w:hAnsi="Times New Roman"/>
          <w:color w:val="000000"/>
          <w:sz w:val="24"/>
        </w:rPr>
        <w:t>any felony; or (ii)</w:t>
      </w:r>
      <w:r>
        <w:rPr>
          <w:color w:val="000000"/>
        </w:rPr>
        <w:t xml:space="preserve"> </w:t>
      </w:r>
      <w:r>
        <w:rPr>
          <w:rFonts w:ascii="Times New Roman" w:hAnsi="Times New Roman"/>
          <w:color w:val="000000"/>
          <w:sz w:val="24"/>
        </w:rPr>
        <w:t>a misdemeanor</w:t>
      </w:r>
      <w:r>
        <w:rPr>
          <w:color w:val="000000"/>
        </w:rPr>
        <w:t xml:space="preserve"> </w:t>
      </w:r>
      <w:r>
        <w:rPr>
          <w:rFonts w:ascii="Times New Roman" w:hAnsi="Times New Roman"/>
          <w:color w:val="000000"/>
          <w:sz w:val="24"/>
        </w:rPr>
        <w:t>involving</w:t>
      </w:r>
      <w:r>
        <w:rPr>
          <w:color w:val="000000"/>
        </w:rPr>
        <w:t xml:space="preserve"> </w:t>
      </w:r>
      <w:r>
        <w:rPr>
          <w:rFonts w:ascii="Times New Roman" w:hAnsi="Times New Roman"/>
          <w:color w:val="000000"/>
          <w:sz w:val="24"/>
        </w:rPr>
        <w:t>moral</w:t>
      </w:r>
      <w:r>
        <w:rPr>
          <w:color w:val="000000"/>
        </w:rPr>
        <w:t xml:space="preserve"> </w:t>
      </w:r>
      <w:r>
        <w:rPr>
          <w:rFonts w:ascii="Times New Roman" w:hAnsi="Times New Roman"/>
          <w:color w:val="000000"/>
          <w:sz w:val="24"/>
        </w:rPr>
        <w:t>turpitude,</w:t>
      </w:r>
      <w:r>
        <w:rPr>
          <w:color w:val="000000"/>
        </w:rPr>
        <w:t xml:space="preserve"> </w:t>
      </w:r>
      <w:r>
        <w:rPr>
          <w:rFonts w:ascii="Times New Roman" w:hAnsi="Times New Roman"/>
          <w:color w:val="000000"/>
          <w:sz w:val="24"/>
        </w:rPr>
        <w:t>deceit,</w:t>
      </w:r>
      <w:r>
        <w:rPr>
          <w:color w:val="000000"/>
        </w:rPr>
        <w:t xml:space="preserve"> </w:t>
      </w:r>
      <w:r>
        <w:rPr>
          <w:rFonts w:ascii="Times New Roman" w:hAnsi="Times New Roman"/>
          <w:color w:val="000000"/>
          <w:sz w:val="24"/>
        </w:rPr>
        <w:t>dishonesty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fraud;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faith</w:t>
      </w:r>
      <w:r>
        <w:rPr>
          <w:color w:val="000000"/>
        </w:rPr>
        <w:t xml:space="preserve"> </w:t>
      </w:r>
      <w:r>
        <w:rPr>
          <w:rFonts w:ascii="Times New Roman" w:hAnsi="Times New Roman"/>
          <w:color w:val="000000"/>
          <w:sz w:val="24"/>
        </w:rPr>
        <w:t>finding</w:t>
      </w:r>
      <w:r>
        <w:rPr>
          <w:color w:val="000000"/>
        </w:rPr>
        <w:t xml:space="preserve"> </w:t>
      </w:r>
      <w:r>
        <w:rPr>
          <w:rFonts w:ascii="Times New Roman" w:hAnsi="Times New Roman"/>
          <w:color w:val="000000"/>
          <w:sz w:val="24"/>
        </w:rPr>
        <w:t>by the Company of: (i)</w:t>
      </w:r>
      <w:r>
        <w:rPr>
          <w:color w:val="000000"/>
        </w:rPr>
        <w:t xml:space="preserve"> </w:t>
      </w:r>
      <w:r>
        <w:rPr>
          <w:rFonts w:ascii="Times New Roman" w:hAnsi="Times New Roman"/>
          <w:color w:val="000000"/>
          <w:sz w:val="24"/>
        </w:rPr>
        <w:t>conduct by the Executive constituting a material act of misconduct in connection with the performance of the Executive’s duties, including, without limitation, misappropriation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funds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property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its</w:t>
      </w:r>
      <w:r>
        <w:rPr>
          <w:color w:val="000000"/>
        </w:rPr>
        <w:t xml:space="preserve"> </w:t>
      </w:r>
      <w:r>
        <w:rPr>
          <w:rFonts w:ascii="Times New Roman" w:hAnsi="Times New Roman"/>
          <w:color w:val="000000"/>
          <w:sz w:val="24"/>
        </w:rPr>
        <w:t>subsidiaries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affiliates</w:t>
      </w:r>
      <w:r>
        <w:rPr>
          <w:color w:val="000000"/>
        </w:rPr>
        <w:t xml:space="preserve"> </w:t>
      </w:r>
      <w:r>
        <w:rPr>
          <w:rFonts w:ascii="Times New Roman" w:hAnsi="Times New Roman"/>
          <w:color w:val="000000"/>
          <w:sz w:val="24"/>
        </w:rPr>
        <w:t>other than the occasional, customary and de minimis use of Company property for personal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59" w:right="355"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conduct</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Executive</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would</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expected</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result</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material</w:t>
      </w:r>
      <w:r>
        <w:rPr>
          <w:rFonts w:ascii="Times New Roman" w:hAnsi="Times New Roman"/>
          <w:color w:val="000000"/>
          <w:sz w:val="20"/>
        </w:rPr>
        <w:t xml:space="preserve"> </w:t>
      </w:r>
      <w:r>
        <w:rPr>
          <w:rFonts w:ascii="Times New Roman" w:hAnsi="Times New Roman"/>
          <w:color w:val="000000"/>
          <w:sz w:val="24"/>
        </w:rPr>
        <w:t>injury</w:t>
      </w:r>
      <w:r>
        <w:rPr>
          <w:rFonts w:ascii="Times New Roman" w:hAnsi="Times New Roman"/>
          <w:color w:val="000000"/>
          <w:sz w:val="20"/>
        </w:rPr>
        <w:t xml:space="preserve"> </w:t>
      </w:r>
      <w:r>
        <w:rPr>
          <w:rFonts w:ascii="Times New Roman" w:hAnsi="Times New Roman"/>
          <w:color w:val="000000"/>
          <w:sz w:val="24"/>
        </w:rPr>
        <w:t>or reputational harm to the Company or any of its subsidiaries and affiliates if the Executive were retained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Executive’s</w:t>
      </w:r>
      <w:r>
        <w:rPr>
          <w:rFonts w:ascii="Times New Roman" w:hAnsi="Times New Roman"/>
          <w:color w:val="000000"/>
          <w:sz w:val="20"/>
        </w:rPr>
        <w:t xml:space="preserve"> </w:t>
      </w:r>
      <w:r>
        <w:rPr>
          <w:rFonts w:ascii="Times New Roman" w:hAnsi="Times New Roman"/>
          <w:color w:val="000000"/>
          <w:sz w:val="24"/>
        </w:rPr>
        <w:t>position</w:t>
      </w:r>
      <w:r>
        <w:rPr>
          <w:rFonts w:ascii="Times New Roman" w:hAnsi="Times New Roman"/>
          <w:color w:val="000000"/>
          <w:sz w:val="20"/>
        </w:rPr>
        <w:t xml:space="preserve"> </w:t>
      </w:r>
      <w:r>
        <w:rPr>
          <w:rFonts w:ascii="Times New Roman" w:hAnsi="Times New Roman"/>
          <w:color w:val="000000"/>
          <w:sz w:val="24"/>
        </w:rPr>
        <w:t>but,</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determines</w:t>
      </w:r>
      <w:r>
        <w:rPr>
          <w:rFonts w:ascii="Times New Roman" w:hAnsi="Times New Roman"/>
          <w:color w:val="000000"/>
          <w:sz w:val="20"/>
        </w:rPr>
        <w:t xml:space="preserve"> </w:t>
      </w:r>
      <w:r>
        <w:rPr>
          <w:rFonts w:ascii="Times New Roman" w:hAnsi="Times New Roman"/>
          <w:color w:val="000000"/>
          <w:sz w:val="24"/>
        </w:rPr>
        <w:t>that such conduct is capable of being cured, only after receipt of written notice by the Company reasonably</w:t>
      </w:r>
      <w:r>
        <w:rPr>
          <w:rFonts w:ascii="Times New Roman" w:hAnsi="Times New Roman"/>
          <w:color w:val="000000"/>
          <w:sz w:val="20"/>
        </w:rPr>
        <w:t xml:space="preserve"> </w:t>
      </w:r>
      <w:r>
        <w:rPr>
          <w:rFonts w:ascii="Times New Roman" w:hAnsi="Times New Roman"/>
          <w:color w:val="000000"/>
          <w:sz w:val="24"/>
        </w:rPr>
        <w:t>describing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conduct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Executive</w:t>
      </w:r>
      <w:r>
        <w:rPr>
          <w:rFonts w:ascii="Times New Roman" w:hAnsi="Times New Roman"/>
          <w:color w:val="000000"/>
          <w:sz w:val="20"/>
        </w:rPr>
        <w:t xml:space="preserve"> </w:t>
      </w:r>
      <w:r>
        <w:rPr>
          <w:rFonts w:ascii="Times New Roman" w:hAnsi="Times New Roman"/>
          <w:color w:val="000000"/>
          <w:sz w:val="24"/>
        </w:rPr>
        <w:t>fails</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cease</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cure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conduct</w:t>
      </w:r>
      <w:r>
        <w:rPr>
          <w:rFonts w:ascii="Times New Roman" w:hAnsi="Times New Roman"/>
          <w:color w:val="000000"/>
          <w:sz w:val="20"/>
        </w:rPr>
        <w:t xml:space="preserve"> </w:t>
      </w:r>
      <w:r>
        <w:rPr>
          <w:rFonts w:ascii="Times New Roman" w:hAnsi="Times New Roman"/>
          <w:color w:val="000000"/>
          <w:sz w:val="24"/>
        </w:rPr>
        <w:t>within fifteen</w:t>
      </w:r>
      <w:r>
        <w:rPr>
          <w:rFonts w:ascii="Times New Roman" w:hAnsi="Times New Roman"/>
          <w:color w:val="000000"/>
          <w:sz w:val="20"/>
        </w:rPr>
        <w:t xml:space="preserve"> </w:t>
      </w: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receipt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said</w:t>
      </w:r>
      <w:r>
        <w:rPr>
          <w:rFonts w:ascii="Times New Roman" w:hAnsi="Times New Roman"/>
          <w:color w:val="000000"/>
          <w:sz w:val="20"/>
        </w:rPr>
        <w:t xml:space="preserve"> </w:t>
      </w:r>
      <w:r>
        <w:rPr>
          <w:rFonts w:ascii="Times New Roman" w:hAnsi="Times New Roman"/>
          <w:color w:val="000000"/>
          <w:sz w:val="24"/>
        </w:rPr>
        <w:t>written</w:t>
      </w:r>
      <w:r>
        <w:rPr>
          <w:rFonts w:ascii="Times New Roman" w:hAnsi="Times New Roman"/>
          <w:color w:val="000000"/>
          <w:sz w:val="20"/>
        </w:rPr>
        <w:t xml:space="preserve"> </w:t>
      </w:r>
      <w:r>
        <w:rPr>
          <w:rFonts w:ascii="Times New Roman" w:hAnsi="Times New Roman"/>
          <w:color w:val="000000"/>
          <w:sz w:val="24"/>
        </w:rPr>
        <w:t>notice;</w:t>
      </w:r>
      <w:r>
        <w:rPr>
          <w:rFonts w:ascii="Times New Roman" w:hAnsi="Times New Roman"/>
          <w:color w:val="000000"/>
          <w:sz w:val="20"/>
        </w:rPr>
        <w:t xml:space="preserve"> </w:t>
      </w: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continued</w:t>
      </w:r>
      <w:r>
        <w:rPr>
          <w:rFonts w:ascii="Times New Roman" w:hAnsi="Times New Roman"/>
          <w:color w:val="000000"/>
          <w:sz w:val="20"/>
        </w:rPr>
        <w:t xml:space="preserve"> </w:t>
      </w:r>
      <w:r>
        <w:rPr>
          <w:rFonts w:ascii="Times New Roman" w:hAnsi="Times New Roman"/>
          <w:color w:val="000000"/>
          <w:sz w:val="24"/>
        </w:rPr>
        <w:t>non-performance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Executive of the Executive’s responsibilities hereunder (other than by reason of the Executive’s physical or mental illness, incapacity or disability) but, provided that if the Company reasonably determines that such conduct is capable of being cured, only after receipt of written notice by the Company reasonably describing such non-performance and the Executive’s failure to cure such non-performance within fifteen (15) days of receipt of said written notice; (iv)</w:t>
      </w:r>
      <w:r>
        <w:rPr>
          <w:rFonts w:ascii="Times New Roman" w:hAnsi="Times New Roman"/>
          <w:color w:val="000000"/>
          <w:sz w:val="20"/>
        </w:rPr>
        <w:t xml:space="preserve"> </w:t>
      </w:r>
      <w:r>
        <w:rPr>
          <w:rFonts w:ascii="Times New Roman" w:hAnsi="Times New Roman"/>
          <w:color w:val="000000"/>
          <w:sz w:val="24"/>
        </w:rPr>
        <w:t>a breach by the Executive of any confidentiality or restrictive covenant obligations to the Company, including under the Confidentiality Agreement; (v)</w:t>
      </w:r>
      <w:r>
        <w:rPr>
          <w:rFonts w:ascii="Times New Roman" w:hAnsi="Times New Roman"/>
          <w:color w:val="000000"/>
          <w:sz w:val="20"/>
        </w:rPr>
        <w:t xml:space="preserve"> </w:t>
      </w:r>
      <w:r>
        <w:rPr>
          <w:rFonts w:ascii="Times New Roman" w:hAnsi="Times New Roman"/>
          <w:color w:val="000000"/>
          <w:sz w:val="24"/>
        </w:rPr>
        <w:t>a material violation by the Executive of any of the Company’s written employment policies communicated to the Executive; (vi)</w:t>
      </w:r>
      <w:r>
        <w:rPr>
          <w:rFonts w:ascii="Times New Roman" w:hAnsi="Times New Roman"/>
          <w:color w:val="000000"/>
          <w:sz w:val="20"/>
        </w:rPr>
        <w:t xml:space="preserve"> </w:t>
      </w:r>
      <w:r>
        <w:rPr>
          <w:rFonts w:ascii="Times New Roman" w:hAnsi="Times New Roman"/>
          <w:color w:val="000000"/>
          <w:sz w:val="24"/>
        </w:rPr>
        <w:t>a material misrepresentation made by the Executive in the scope of or concerning the Executive’s employment</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including,</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limitation,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misrepresentation</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respect</w:t>
      </w:r>
      <w:r>
        <w:rPr>
          <w:rFonts w:ascii="Times New Roman" w:hAnsi="Times New Roman"/>
          <w:color w:val="000000"/>
          <w:sz w:val="20"/>
        </w:rPr>
        <w:t xml:space="preserve"> </w:t>
      </w:r>
      <w:r>
        <w:rPr>
          <w:rFonts w:ascii="Times New Roman" w:hAnsi="Times New Roman"/>
          <w:color w:val="000000"/>
          <w:sz w:val="24"/>
        </w:rPr>
        <w:t>to the absence of any obligation to any former employer or any other person or entity that would or does prevent, limit, or impair in any way the performance of the Executive’s duties to the Company; (vii) a finding or a decision by regulatory or law enforcement authorities of a material violation of any</w:t>
      </w:r>
      <w:r>
        <w:rPr>
          <w:rFonts w:ascii="Times New Roman" w:hAnsi="Times New Roman"/>
          <w:color w:val="000000"/>
          <w:sz w:val="20"/>
        </w:rPr>
        <w:t xml:space="preserve"> </w:t>
      </w:r>
      <w:r>
        <w:rPr>
          <w:rFonts w:ascii="Times New Roman" w:hAnsi="Times New Roman"/>
          <w:color w:val="000000"/>
          <w:sz w:val="24"/>
        </w:rPr>
        <w:t>law or regulation</w:t>
      </w:r>
      <w:r>
        <w:rPr>
          <w:rFonts w:ascii="Times New Roman" w:hAnsi="Times New Roman"/>
          <w:color w:val="000000"/>
          <w:sz w:val="20"/>
        </w:rPr>
        <w:t xml:space="preserve"> </w:t>
      </w:r>
      <w:r>
        <w:rPr>
          <w:rFonts w:ascii="Times New Roman" w:hAnsi="Times New Roman"/>
          <w:color w:val="000000"/>
          <w:sz w:val="24"/>
        </w:rPr>
        <w:t>that would or does prevent, limit, or impair in any way the performance of the Executive’s duties to the Company or the scope of his employment with the Company;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(viii)</w:t>
      </w:r>
      <w:r>
        <w:rPr>
          <w:rFonts w:ascii="Times New Roman" w:hAnsi="Times New Roman"/>
          <w:color w:val="000000"/>
          <w:sz w:val="20"/>
        </w:rPr>
        <w:t xml:space="preserve"> </w:t>
      </w:r>
      <w:r>
        <w:rPr>
          <w:rFonts w:ascii="Times New Roman" w:hAnsi="Times New Roman"/>
          <w:color w:val="000000"/>
          <w:sz w:val="24"/>
        </w:rPr>
        <w:t>failure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cooperate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bona</w:t>
      </w:r>
      <w:r>
        <w:rPr>
          <w:rFonts w:ascii="Times New Roman" w:hAnsi="Times New Roman"/>
          <w:color w:val="000000"/>
          <w:sz w:val="20"/>
        </w:rPr>
        <w:t xml:space="preserve"> </w:t>
      </w:r>
      <w:r>
        <w:rPr>
          <w:rFonts w:ascii="Times New Roman" w:hAnsi="Times New Roman"/>
          <w:color w:val="000000"/>
          <w:sz w:val="24"/>
        </w:rPr>
        <w:t>fide</w:t>
      </w:r>
      <w:r>
        <w:rPr>
          <w:rFonts w:ascii="Times New Roman" w:hAnsi="Times New Roman"/>
          <w:color w:val="000000"/>
          <w:sz w:val="20"/>
        </w:rPr>
        <w:t xml:space="preserve"> </w:t>
      </w:r>
      <w:r>
        <w:rPr>
          <w:rFonts w:ascii="Times New Roman" w:hAnsi="Times New Roman"/>
          <w:color w:val="000000"/>
          <w:sz w:val="24"/>
        </w:rPr>
        <w:t>internal</w:t>
      </w:r>
      <w:r>
        <w:rPr>
          <w:rFonts w:ascii="Times New Roman" w:hAnsi="Times New Roman"/>
          <w:color w:val="000000"/>
          <w:sz w:val="20"/>
        </w:rPr>
        <w:t xml:space="preserve"> </w:t>
      </w:r>
      <w:r>
        <w:rPr>
          <w:rFonts w:ascii="Times New Roman" w:hAnsi="Times New Roman"/>
          <w:color w:val="000000"/>
          <w:sz w:val="24"/>
        </w:rPr>
        <w:t>investigation</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an</w:t>
      </w:r>
      <w:r>
        <w:rPr>
          <w:rFonts w:ascii="Times New Roman" w:hAnsi="Times New Roman"/>
          <w:color w:val="000000"/>
          <w:sz w:val="20"/>
        </w:rPr>
        <w:t xml:space="preserve"> </w:t>
      </w:r>
      <w:r>
        <w:rPr>
          <w:rFonts w:ascii="Times New Roman" w:hAnsi="Times New Roman"/>
          <w:color w:val="000000"/>
          <w:sz w:val="24"/>
        </w:rPr>
        <w:t>investigation</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4"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regulatory</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law</w:t>
      </w:r>
      <w:r>
        <w:rPr>
          <w:rFonts w:ascii="Times New Roman" w:hAnsi="Times New Roman"/>
          <w:color w:val="000000"/>
          <w:sz w:val="20"/>
        </w:rPr>
        <w:t xml:space="preserve"> </w:t>
      </w:r>
      <w:r>
        <w:rPr>
          <w:rFonts w:ascii="Times New Roman" w:hAnsi="Times New Roman"/>
          <w:color w:val="000000"/>
          <w:sz w:val="24"/>
        </w:rPr>
        <w:t>enforcement</w:t>
      </w:r>
      <w:r>
        <w:rPr>
          <w:rFonts w:ascii="Times New Roman" w:hAnsi="Times New Roman"/>
          <w:color w:val="000000"/>
          <w:sz w:val="20"/>
        </w:rPr>
        <w:t xml:space="preserve"> </w:t>
      </w:r>
      <w:r>
        <w:rPr>
          <w:rFonts w:ascii="Times New Roman" w:hAnsi="Times New Roman"/>
          <w:color w:val="000000"/>
          <w:sz w:val="24"/>
        </w:rPr>
        <w:t>authorities</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Disabled</w:t>
      </w:r>
      <w:r>
        <w:rPr>
          <w:color w:val="000000"/>
        </w:rPr>
        <w:t xml:space="preserve">” </w:t>
      </w:r>
      <w:r>
        <w:rPr>
          <w:rFonts w:ascii="Times New Roman" w:hAnsi="Times New Roman"/>
          <w:color w:val="000000"/>
          <w:sz w:val="24"/>
        </w:rPr>
        <w:t>or “</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means the Executive is unable to perform the essential functions of the Executive’s then existing position or positions under this Agreement with or without</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accommodation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hundred</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eighty</w:t>
      </w:r>
      <w:r>
        <w:rPr>
          <w:color w:val="000000"/>
        </w:rPr>
        <w:t xml:space="preserve"> </w:t>
      </w:r>
      <w:r>
        <w:rPr>
          <w:rFonts w:ascii="Times New Roman" w:hAnsi="Times New Roman"/>
          <w:color w:val="000000"/>
          <w:sz w:val="24"/>
        </w:rPr>
        <w:t>(180)</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days need</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consecutive)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twelve</w:t>
      </w:r>
      <w:r>
        <w:rPr>
          <w:color w:val="000000"/>
        </w:rPr>
        <w:t xml:space="preserve"> </w:t>
      </w:r>
      <w:r>
        <w:rPr>
          <w:rFonts w:ascii="Times New Roman" w:hAnsi="Times New Roman"/>
          <w:color w:val="000000"/>
          <w:sz w:val="24"/>
        </w:rPr>
        <w:t>(12)</w:t>
      </w:r>
      <w:r>
        <w:rPr>
          <w:color w:val="000000"/>
        </w:rPr>
        <w:t xml:space="preserve"> </w:t>
      </w:r>
      <w:r>
        <w:rPr>
          <w:rFonts w:ascii="Times New Roman" w:hAnsi="Times New Roman"/>
          <w:color w:val="000000"/>
          <w:sz w:val="24"/>
        </w:rPr>
        <w:t>month</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question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arise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whether during any period the Executive is disabled so as to be unable to perform the essential functions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existing</w:t>
      </w:r>
      <w:r>
        <w:rPr>
          <w:color w:val="000000"/>
        </w:rPr>
        <w:t xml:space="preserve"> </w:t>
      </w:r>
      <w:r>
        <w:rPr>
          <w:rFonts w:ascii="Times New Roman" w:hAnsi="Times New Roman"/>
          <w:color w:val="000000"/>
          <w:sz w:val="24"/>
        </w:rPr>
        <w:t>position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positions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accommodation,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request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submit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w:t>
      </w:r>
      <w:r>
        <w:rPr>
          <w:color w:val="000000"/>
        </w:rPr>
        <w:t xml:space="preserve"> </w:t>
      </w:r>
      <w:r>
        <w:rPr>
          <w:rFonts w:ascii="Times New Roman" w:hAnsi="Times New Roman"/>
          <w:color w:val="000000"/>
          <w:sz w:val="24"/>
        </w:rPr>
        <w:t>The Executive shall cooperate with any reasonable request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physician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certification.</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question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arise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Executive</w:t>
      </w:r>
      <w:r>
        <w:rPr>
          <w:color w:val="000000"/>
        </w:rPr>
        <w:t xml:space="preserve"> </w:t>
      </w:r>
      <w:r>
        <w:rPr>
          <w:rFonts w:ascii="Times New Roman" w:hAnsi="Times New Roman"/>
          <w:color w:val="000000"/>
          <w:sz w:val="24"/>
        </w:rPr>
        <w:t>shall fail to submit such certification, the</w:t>
      </w:r>
      <w:r>
        <w:rPr>
          <w:color w:val="000000"/>
        </w:rPr>
        <w:t xml:space="preserve"> </w:t>
      </w:r>
      <w:r>
        <w:rPr>
          <w:rFonts w:ascii="Times New Roman" w:hAnsi="Times New Roman"/>
          <w:color w:val="000000"/>
          <w:sz w:val="24"/>
        </w:rPr>
        <w:t>Company’s determination of</w:t>
      </w:r>
      <w:r>
        <w:rPr>
          <w:color w:val="000000"/>
        </w:rPr>
        <w:t xml:space="preserve"> </w:t>
      </w:r>
      <w:r>
        <w:rPr>
          <w:rFonts w:ascii="Times New Roman" w:hAnsi="Times New Roman"/>
          <w:color w:val="000000"/>
          <w:sz w:val="24"/>
        </w:rPr>
        <w:t>such issue shall be binding on the Executive.</w:t>
      </w:r>
      <w:r>
        <w:rPr>
          <w:color w:val="000000"/>
        </w:rPr>
        <w:t xml:space="preserve"> </w:t>
      </w:r>
      <w:r>
        <w:rPr>
          <w:rFonts w:ascii="Times New Roman" w:hAnsi="Times New Roman"/>
          <w:color w:val="000000"/>
          <w:sz w:val="24"/>
        </w:rPr>
        <w:t>Nothing in this Section 4(b) shall be construed to waive the Executive’s</w:t>
      </w:r>
      <w:r>
        <w:rPr>
          <w:color w:val="000000"/>
        </w:rPr>
        <w:t xml:space="preserve"> </w:t>
      </w:r>
      <w:r>
        <w:rPr>
          <w:rFonts w:ascii="Times New Roman" w:hAnsi="Times New Roman"/>
          <w:color w:val="000000"/>
          <w:sz w:val="24"/>
        </w:rPr>
        <w:t>rights,</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existing</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limitation,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Family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Medical Leave</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1993,</w:t>
      </w:r>
      <w:r>
        <w:rPr>
          <w:color w:val="000000"/>
        </w:rPr>
        <w:t xml:space="preserve"> </w:t>
      </w:r>
      <w:r>
        <w:rPr>
          <w:rFonts w:ascii="Times New Roman" w:hAnsi="Times New Roman"/>
          <w:color w:val="000000"/>
          <w:sz w:val="24"/>
        </w:rPr>
        <w:t>29</w:t>
      </w:r>
      <w:r>
        <w:rPr>
          <w:color w:val="000000"/>
        </w:rPr>
        <w:t xml:space="preserve"> </w:t>
      </w:r>
      <w:r>
        <w:rPr>
          <w:rFonts w:ascii="Times New Roman" w:hAnsi="Times New Roman"/>
          <w:color w:val="000000"/>
          <w:sz w:val="24"/>
        </w:rPr>
        <w:t>U.S.C.</w:t>
      </w:r>
      <w:r>
        <w:rPr>
          <w:color w:val="000000"/>
        </w:rPr>
        <w:t xml:space="preserve"> </w:t>
      </w:r>
      <w:r>
        <w:rPr>
          <w:rFonts w:ascii="Times New Roman" w:hAnsi="Times New Roman"/>
          <w:color w:val="000000"/>
          <w:sz w:val="24"/>
        </w:rPr>
        <w:t>§2601</w:t>
      </w:r>
      <w:r>
        <w:rPr>
          <w:color w:val="000000"/>
        </w:rPr>
        <w:t xml:space="preserve"> </w:t>
      </w:r>
      <w:r>
        <w:rPr>
          <w:rFonts w:ascii="Times New Roman" w:hAnsi="Times New Roman"/>
          <w:color w:val="000000"/>
          <w:sz w:val="24"/>
        </w:rPr>
        <w:t>et</w:t>
      </w:r>
      <w:r>
        <w:rPr>
          <w:color w:val="000000"/>
        </w:rPr>
        <w:t xml:space="preserve"> </w:t>
      </w:r>
      <w:r>
        <w:rPr>
          <w:rFonts w:ascii="Times New Roman" w:hAnsi="Times New Roman"/>
          <w:color w:val="000000"/>
          <w:sz w:val="24"/>
        </w:rPr>
        <w:t>seq.,</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Americans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Disabilities</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42</w:t>
      </w:r>
      <w:r>
        <w:rPr>
          <w:color w:val="000000"/>
        </w:rPr>
        <w:t xml:space="preserve"> </w:t>
      </w:r>
      <w:r>
        <w:rPr>
          <w:rFonts w:ascii="Times New Roman" w:hAnsi="Times New Roman"/>
          <w:color w:val="000000"/>
          <w:sz w:val="24"/>
        </w:rPr>
        <w:t>U.S.C.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60" w:right="0" w:hanging="0"/>
        <w:jc w:val="both"/>
        <w:rPr>
          <w:rFonts w:ascii="Times New Roman" w:hAnsi="Times New Roman"/>
          <w:sz w:val="20"/>
        </w:rPr>
      </w:pPr>
      <w:r>
        <w:rPr>
          <w:rFonts w:ascii="Times New Roman" w:hAnsi="Times New Roman"/>
          <w:color w:val="000000"/>
          <w:sz w:val="24"/>
        </w:rPr>
        <w:t>§12101</w:t>
      </w:r>
      <w:r>
        <w:rPr>
          <w:rFonts w:ascii="Times New Roman" w:hAnsi="Times New Roman"/>
          <w:color w:val="000000"/>
          <w:sz w:val="20"/>
        </w:rPr>
        <w:t xml:space="preserve"> </w:t>
      </w:r>
      <w:r>
        <w:rPr>
          <w:rFonts w:ascii="Times New Roman" w:hAnsi="Times New Roman"/>
          <w:color w:val="000000"/>
          <w:sz w:val="24"/>
        </w:rPr>
        <w:t>et seq.</w:t>
      </w:r>
    </w:p>
    <w:p>
      <w:pPr>
        <w:pStyle w:val="TextBody"/>
        <w:bidi w:val="0"/>
        <w:spacing w:before="240" w:after="283"/>
        <w:ind w:left="360" w:right="374" w:firstLine="720"/>
        <w:jc w:val="left"/>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color w:val="000000"/>
        </w:rPr>
        <w:t>“</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means that the Executive has complied with the “Good Reason Process” (hereinafter defined) following the occurrence of any of the following events without the Executive’s consent: (A) a material diminution in the Executive’s responsibilities, authority or duties; (B) a material diminution in the Executive’s Base Salary except for a reduction of the Executive’s Base Salary that is part of an across-the-board salary reduction applied to substantially all senior management employees that is caused by the Company’s financial performance and is similar to and proportionately not greater than the reductions affecting all or substantially all senior management employees of the Company; (C) the relocation of the Executive’s principal place of business more than fifty (50) miles other than in a direction that reduces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daily</w:t>
      </w:r>
      <w:r>
        <w:rPr>
          <w:color w:val="000000"/>
        </w:rPr>
        <w:t xml:space="preserve"> </w:t>
      </w:r>
      <w:r>
        <w:rPr>
          <w:rFonts w:ascii="Times New Roman" w:hAnsi="Times New Roman"/>
          <w:color w:val="000000"/>
          <w:sz w:val="24"/>
        </w:rPr>
        <w:t>commuting</w:t>
      </w:r>
      <w:r>
        <w:rPr>
          <w:color w:val="000000"/>
        </w:rPr>
        <w:t xml:space="preserve"> </w:t>
      </w:r>
      <w:r>
        <w:rPr>
          <w:rFonts w:ascii="Times New Roman" w:hAnsi="Times New Roman"/>
          <w:color w:val="000000"/>
          <w:sz w:val="24"/>
        </w:rPr>
        <w:t>distance;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material</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of this Agreement or any other agreements between the Executive and the Company relating to the Option Award or the RSU Award.</w:t>
      </w:r>
      <w:r>
        <w:rPr>
          <w:color w:val="000000"/>
        </w:rPr>
        <w:t xml:space="preserve"> “</w:t>
      </w:r>
      <w:r>
        <w:rPr>
          <w:rFonts w:ascii="Times New Roman" w:hAnsi="Times New Roman"/>
          <w:color w:val="000000"/>
          <w:sz w:val="24"/>
          <w:u w:val="single"/>
        </w:rPr>
        <w:t>Good Reason Process</w:t>
      </w:r>
      <w:r>
        <w:rPr>
          <w:color w:val="000000"/>
        </w:rPr>
        <w:t xml:space="preserve">” </w:t>
      </w:r>
      <w:r>
        <w:rPr>
          <w:rFonts w:ascii="Times New Roman" w:hAnsi="Times New Roman"/>
          <w:color w:val="000000"/>
          <w:sz w:val="24"/>
        </w:rPr>
        <w:t>means that (i) the Executive reasonably determines in good faith that a “</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condition has occurred; (ii) the Executive notifies the Company in writing of the first occurrence of the Good Reason condition within sixty (60) days of the first occurrence of such condition; (iii) the Executive cooperates in good faith with the Company’s efforts for thirty (30) days following such notice (the “</w:t>
      </w:r>
      <w:r>
        <w:rPr>
          <w:rFonts w:ascii="Times New Roman" w:hAnsi="Times New Roman"/>
          <w:color w:val="000000"/>
          <w:sz w:val="24"/>
          <w:u w:val="single"/>
        </w:rPr>
        <w:t>Cure</w:t>
      </w:r>
      <w:r>
        <w:rPr>
          <w:color w:val="000000"/>
        </w:rPr>
        <w:t xml:space="preserve"> </w:t>
      </w:r>
      <w:r>
        <w:rPr>
          <w:rFonts w:ascii="Times New Roman" w:hAnsi="Times New Roman"/>
          <w:color w:val="000000"/>
          <w:sz w:val="24"/>
          <w:u w:val="single"/>
        </w:rPr>
        <w:t>Period</w:t>
      </w:r>
      <w:r>
        <w:rPr>
          <w:color w:val="000000"/>
        </w:rPr>
        <w:t>”</w:t>
      </w:r>
      <w:r>
        <w:rPr>
          <w:rFonts w:ascii="Times New Roman" w:hAnsi="Times New Roman"/>
          <w:color w:val="000000"/>
          <w:sz w:val="24"/>
        </w:rPr>
        <w:t>) to remedy the condition; (iv) notwithstanding such efforts, at least one Good Reason condition continues to exist; and (v) the Executive terminates the Executive’s employment</w:t>
      </w:r>
      <w:r>
        <w:rPr>
          <w:color w:val="000000"/>
        </w:rPr>
        <w:t xml:space="preserve"> </w:t>
      </w:r>
      <w:r>
        <w:rPr>
          <w:rFonts w:ascii="Times New Roman" w:hAnsi="Times New Roman"/>
          <w:color w:val="000000"/>
          <w:sz w:val="24"/>
        </w:rPr>
        <w:t>within sixty (60) days after the end of the Cure Period.</w:t>
      </w:r>
      <w:r>
        <w:rPr>
          <w:color w:val="000000"/>
        </w:rPr>
        <w:t xml:space="preserve"> </w:t>
      </w:r>
      <w:r>
        <w:rPr>
          <w:rFonts w:ascii="Times New Roman" w:hAnsi="Times New Roman"/>
          <w:color w:val="000000"/>
          <w:sz w:val="24"/>
        </w:rPr>
        <w:t>If the Company cures the Good Reason condition during the Cure Period, Good Reason shall be deemed not to have occurred. The Company’s success at curing a Good Reason condition shall not bar or preclude the Executive’s right to notify the Company of the occurrence of another Good Reason condition and to proceed with the Good Reason Process.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60" w:firstLine="72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color w:val="000000"/>
        </w:rPr>
        <w:t>“</w:t>
      </w:r>
      <w:r>
        <w:rPr>
          <w:rFonts w:ascii="Times New Roman" w:hAnsi="Times New Roman"/>
          <w:color w:val="000000"/>
          <w:sz w:val="24"/>
          <w:u w:val="single"/>
        </w:rPr>
        <w:t>Sale Event</w:t>
      </w:r>
      <w:r>
        <w:rPr>
          <w:color w:val="000000"/>
        </w:rPr>
        <w:t xml:space="preserve">” </w:t>
      </w:r>
      <w:r>
        <w:rPr>
          <w:rFonts w:ascii="Times New Roman" w:hAnsi="Times New Roman"/>
          <w:color w:val="000000"/>
          <w:sz w:val="24"/>
        </w:rPr>
        <w:t>means the consummation of (i)</w:t>
      </w:r>
      <w:r>
        <w:rPr>
          <w:color w:val="000000"/>
        </w:rPr>
        <w:t xml:space="preserve"> </w:t>
      </w:r>
      <w:r>
        <w:rPr>
          <w:rFonts w:ascii="Times New Roman" w:hAnsi="Times New Roman"/>
          <w:color w:val="000000"/>
          <w:sz w:val="24"/>
        </w:rPr>
        <w:t>the sale of all or substantially all of the assets of the Company on a consolidated basis to an unrelated person or entity, (ii) a merger, reorganization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consolidation</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holders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outstanding</w:t>
      </w:r>
      <w:r>
        <w:rPr>
          <w:color w:val="000000"/>
        </w:rPr>
        <w:t xml:space="preserve"> </w:t>
      </w:r>
      <w:r>
        <w:rPr>
          <w:rFonts w:ascii="Times New Roman" w:hAnsi="Times New Roman"/>
          <w:color w:val="000000"/>
          <w:sz w:val="24"/>
        </w:rPr>
        <w:t>voting power</w:t>
      </w:r>
      <w:r>
        <w:rPr>
          <w:color w:val="000000"/>
        </w:rPr>
        <w:t xml:space="preserve"> </w:t>
      </w:r>
      <w:r>
        <w:rPr>
          <w:rFonts w:ascii="Times New Roman" w:hAnsi="Times New Roman"/>
          <w:color w:val="000000"/>
          <w:sz w:val="24"/>
        </w:rPr>
        <w:t>immediately</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transaction</w:t>
      </w:r>
      <w:r>
        <w:rPr>
          <w:color w:val="000000"/>
        </w:rPr>
        <w:t xml:space="preserve"> </w:t>
      </w:r>
      <w:r>
        <w:rPr>
          <w:rFonts w:ascii="Times New Roman" w:hAnsi="Times New Roman"/>
          <w:color w:val="000000"/>
          <w:sz w:val="24"/>
        </w:rPr>
        <w:t>do</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own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majority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outstanding</w:t>
      </w:r>
      <w:r>
        <w:rPr>
          <w:color w:val="000000"/>
        </w:rPr>
        <w:t xml:space="preserve"> </w:t>
      </w:r>
      <w:r>
        <w:rPr>
          <w:rFonts w:ascii="Times New Roman" w:hAnsi="Times New Roman"/>
          <w:color w:val="000000"/>
          <w:sz w:val="24"/>
        </w:rPr>
        <w:t>voting</w:t>
      </w:r>
      <w:r>
        <w:rPr>
          <w:color w:val="000000"/>
        </w:rPr>
        <w:t xml:space="preserve"> </w:t>
      </w:r>
      <w:r>
        <w:rPr>
          <w:rFonts w:ascii="Times New Roman" w:hAnsi="Times New Roman"/>
          <w:color w:val="000000"/>
          <w:sz w:val="24"/>
        </w:rPr>
        <w:t>power of the surviving or resulting entity (or its ultimate parent, if applicable), (iii) the acquisition, directly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indirectly,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majority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outstanding</w:t>
      </w:r>
      <w:r>
        <w:rPr>
          <w:color w:val="000000"/>
        </w:rPr>
        <w:t xml:space="preserve"> </w:t>
      </w:r>
      <w:r>
        <w:rPr>
          <w:rFonts w:ascii="Times New Roman" w:hAnsi="Times New Roman"/>
          <w:color w:val="000000"/>
          <w:sz w:val="24"/>
        </w:rPr>
        <w:t>voting</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single transaction or a series of related transactions by a Person or group of Persons, (iv) a Deemed Liquidation</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Certificate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Incorporation</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amended, restated or otherwise modified from time to time)), or (v) any other acquisition of the business of the Company, as determined by the Board.</w:t>
      </w:r>
      <w:r>
        <w:rPr>
          <w:color w:val="000000"/>
        </w:rPr>
        <w:t xml:space="preserve"> </w:t>
      </w:r>
      <w:r>
        <w:rPr>
          <w:rFonts w:ascii="Times New Roman" w:hAnsi="Times New Roman"/>
          <w:color w:val="000000"/>
          <w:sz w:val="24"/>
        </w:rPr>
        <w:t>Notwithstanding the foregoing, a “Sale Event” shall 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occurred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result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merger</w:t>
      </w:r>
      <w:r>
        <w:rPr>
          <w:color w:val="000000"/>
        </w:rPr>
        <w:t xml:space="preserve"> </w:t>
      </w:r>
      <w:r>
        <w:rPr>
          <w:rFonts w:ascii="Times New Roman" w:hAnsi="Times New Roman"/>
          <w:color w:val="000000"/>
          <w:sz w:val="24"/>
        </w:rPr>
        <w:t>effected</w:t>
      </w:r>
      <w:r>
        <w:rPr>
          <w:color w:val="000000"/>
        </w:rPr>
        <w:t xml:space="preserve"> </w:t>
      </w:r>
      <w:r>
        <w:rPr>
          <w:rFonts w:ascii="Times New Roman" w:hAnsi="Times New Roman"/>
          <w:color w:val="000000"/>
          <w:sz w:val="24"/>
        </w:rPr>
        <w:t>solely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change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 domicile,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acquisition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shares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common</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by reducing the number of shares outstanding, increases the proportionate number of shares beneficially owned by any person to a</w:t>
      </w:r>
      <w:r>
        <w:rPr>
          <w:color w:val="000000"/>
        </w:rPr>
        <w:t xml:space="preserve"> </w:t>
      </w:r>
      <w:r>
        <w:rPr>
          <w:rFonts w:ascii="Times New Roman" w:hAnsi="Times New Roman"/>
          <w:color w:val="000000"/>
          <w:sz w:val="24"/>
        </w:rPr>
        <w:t>majority of the</w:t>
      </w:r>
      <w:r>
        <w:rPr>
          <w:color w:val="000000"/>
        </w:rPr>
        <w:t xml:space="preserve"> </w:t>
      </w:r>
      <w:r>
        <w:rPr>
          <w:rFonts w:ascii="Times New Roman" w:hAnsi="Times New Roman"/>
          <w:color w:val="000000"/>
          <w:sz w:val="24"/>
        </w:rPr>
        <w:t>outstanding shares of common stock of</w:t>
      </w:r>
      <w:r>
        <w:rPr>
          <w:color w:val="000000"/>
        </w:rPr>
        <w:t xml:space="preserve"> </w:t>
      </w:r>
      <w:r>
        <w:rPr>
          <w:rFonts w:ascii="Times New Roman" w:hAnsi="Times New Roman"/>
          <w:color w:val="000000"/>
          <w:sz w:val="24"/>
        </w:rPr>
        <w:t>the Company; provided, however, that if any person referred to in this clause (b) shall thereafter become the beneficial owner of any additional shares (other than pursuant to a stock split, stock dividend, or similar transaction or as a result of an acquisition of shares directly from the 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immediately</w:t>
      </w:r>
      <w:r>
        <w:rPr>
          <w:color w:val="000000"/>
        </w:rPr>
        <w:t xml:space="preserve"> </w:t>
      </w:r>
      <w:r>
        <w:rPr>
          <w:rFonts w:ascii="Times New Roman" w:hAnsi="Times New Roman"/>
          <w:color w:val="000000"/>
          <w:sz w:val="24"/>
        </w:rPr>
        <w:t>thereafter</w:t>
      </w:r>
      <w:r>
        <w:rPr>
          <w:color w:val="000000"/>
        </w:rPr>
        <w:t xml:space="preserve"> </w:t>
      </w:r>
      <w:r>
        <w:rPr>
          <w:rFonts w:ascii="Times New Roman" w:hAnsi="Times New Roman"/>
          <w:color w:val="000000"/>
          <w:sz w:val="24"/>
        </w:rPr>
        <w:t>beneficially</w:t>
      </w:r>
      <w:r>
        <w:rPr>
          <w:color w:val="000000"/>
        </w:rPr>
        <w:t xml:space="preserve"> </w:t>
      </w:r>
      <w:r>
        <w:rPr>
          <w:rFonts w:ascii="Times New Roman" w:hAnsi="Times New Roman"/>
          <w:color w:val="000000"/>
          <w:sz w:val="24"/>
        </w:rPr>
        <w:t>owns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majority</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outstanding</w:t>
      </w:r>
      <w:r>
        <w:rPr>
          <w:color w:val="000000"/>
        </w:rPr>
        <w:t xml:space="preserve"> </w:t>
      </w:r>
      <w:r>
        <w:rPr>
          <w:rFonts w:ascii="Times New Roman" w:hAnsi="Times New Roman"/>
          <w:color w:val="000000"/>
          <w:sz w:val="24"/>
        </w:rPr>
        <w:t>shares, then a “Sale Event” shall be deemed to have occurred for purposes of this clause (b). Notwithstanding the</w:t>
      </w:r>
      <w:r>
        <w:rPr>
          <w:color w:val="000000"/>
        </w:rPr>
        <w:t xml:space="preserve"> </w:t>
      </w:r>
      <w:r>
        <w:rPr>
          <w:rFonts w:ascii="Times New Roman" w:hAnsi="Times New Roman"/>
          <w:color w:val="000000"/>
          <w:sz w:val="24"/>
        </w:rPr>
        <w:t>foregoing, where required to avoid extra taxation under</w:t>
      </w:r>
      <w:r>
        <w:rPr>
          <w:color w:val="000000"/>
        </w:rPr>
        <w:t xml:space="preserve"> </w:t>
      </w:r>
      <w:r>
        <w:rPr>
          <w:rFonts w:ascii="Times New Roman" w:hAnsi="Times New Roman"/>
          <w:color w:val="000000"/>
          <w:sz w:val="24"/>
        </w:rPr>
        <w:t>Section 409A of</w:t>
      </w:r>
      <w:r>
        <w:rPr>
          <w:color w:val="000000"/>
        </w:rPr>
        <w:t xml:space="preserve"> </w:t>
      </w:r>
      <w:r>
        <w:rPr>
          <w:rFonts w:ascii="Times New Roman" w:hAnsi="Times New Roman"/>
          <w:color w:val="000000"/>
          <w:sz w:val="24"/>
        </w:rPr>
        <w:t>the Internal Revenue Code of 1986, as amended (the “</w:t>
      </w:r>
      <w:r>
        <w:rPr>
          <w:rFonts w:ascii="Times New Roman" w:hAnsi="Times New Roman"/>
          <w:color w:val="000000"/>
          <w:sz w:val="24"/>
          <w:u w:val="single"/>
        </w:rPr>
        <w:t>Code</w:t>
      </w:r>
      <w:r>
        <w:rPr>
          <w:color w:val="000000"/>
        </w:rPr>
        <w:t>”</w:t>
      </w:r>
      <w:r>
        <w:rPr>
          <w:rFonts w:ascii="Times New Roman" w:hAnsi="Times New Roman"/>
          <w:color w:val="000000"/>
          <w:sz w:val="24"/>
        </w:rPr>
        <w:t>), a Sale Event must also satisfy the requirements of Treas. Reg. Section 1.409A-3(a)(5).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color w:val="000000"/>
        </w:rPr>
        <w:t>“</w:t>
      </w:r>
      <w:r>
        <w:rPr>
          <w:rFonts w:ascii="Times New Roman" w:hAnsi="Times New Roman"/>
          <w:color w:val="000000"/>
          <w:sz w:val="24"/>
          <w:u w:val="single"/>
        </w:rPr>
        <w:t>Sale Event Period</w:t>
      </w:r>
      <w:r>
        <w:rPr>
          <w:color w:val="000000"/>
        </w:rPr>
        <w:t xml:space="preserve">” </w:t>
      </w:r>
      <w:r>
        <w:rPr>
          <w:rFonts w:ascii="Times New Roman" w:hAnsi="Times New Roman"/>
          <w:color w:val="000000"/>
          <w:sz w:val="24"/>
        </w:rPr>
        <w:t>means the period ending twelve (12) months following the consummation of a Sale 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Terminating Event</w:t>
      </w:r>
      <w:r>
        <w:rPr>
          <w:color w:val="000000"/>
        </w:rPr>
        <w:t xml:space="preserve">” </w:t>
      </w:r>
      <w:r>
        <w:rPr>
          <w:rFonts w:ascii="Times New Roman" w:hAnsi="Times New Roman"/>
          <w:color w:val="000000"/>
          <w:sz w:val="24"/>
        </w:rPr>
        <w:t>means termination of the Executive’s employment by the Company without Cause or by the Executive for Good Reason.</w:t>
      </w:r>
      <w:r>
        <w:rPr>
          <w:color w:val="000000"/>
        </w:rPr>
        <w:t xml:space="preserve"> </w:t>
      </w:r>
      <w:r>
        <w:rPr>
          <w:rFonts w:ascii="Times New Roman" w:hAnsi="Times New Roman"/>
          <w:color w:val="000000"/>
          <w:sz w:val="24"/>
        </w:rPr>
        <w:t>A Terminating Event does not include: (i) the termination of the Executive’s employment due to the Executive’s death or a determination</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Disabled;</w:t>
      </w:r>
      <w:r>
        <w:rPr>
          <w:color w:val="000000"/>
        </w:rPr>
        <w:t xml:space="preserve"> </w:t>
      </w:r>
      <w:r>
        <w:rPr>
          <w:rFonts w:ascii="Times New Roman" w:hAnsi="Times New Roman"/>
          <w:color w:val="000000"/>
          <w:sz w:val="24"/>
        </w:rPr>
        <w:t>(ii)</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resignation for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other than Good Reason, (iii) the Company’s termination of the Executive’s employment for Cause,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(iv) any termination of this Agreement prior to the Commencement Date by either party for any reason.</w:t>
      </w: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Compensation in Connection with a Termination for any Reason</w:t>
      </w:r>
      <w:r>
        <w:rPr>
          <w:rFonts w:ascii="Times New Roman" w:hAnsi="Times New Roman"/>
          <w:color w:val="000000"/>
          <w:sz w:val="24"/>
        </w:rPr>
        <w:t>.</w:t>
      </w:r>
      <w:r>
        <w:rPr>
          <w:color w:val="000000"/>
        </w:rPr>
        <w:t xml:space="preserve"> </w:t>
      </w:r>
      <w:r>
        <w:rPr>
          <w:rFonts w:ascii="Times New Roman" w:hAnsi="Times New Roman"/>
          <w:color w:val="000000"/>
          <w:sz w:val="24"/>
        </w:rPr>
        <w:t>If the Executive’s employment with the Company is terminated for any reason, the Company shall pay or provide to the Executive (or to the Executive’s authorized representative or estate) any earned but</w:t>
      </w:r>
      <w:r>
        <w:rPr>
          <w:color w:val="000000"/>
        </w:rPr>
        <w:t xml:space="preserve"> </w:t>
      </w:r>
      <w:r>
        <w:rPr>
          <w:rFonts w:ascii="Times New Roman" w:hAnsi="Times New Roman"/>
          <w:color w:val="000000"/>
          <w:sz w:val="24"/>
        </w:rPr>
        <w:t>unpaid</w:t>
      </w:r>
      <w:r>
        <w:rPr>
          <w:color w:val="000000"/>
        </w:rPr>
        <w:t xml:space="preserve"> </w:t>
      </w:r>
      <w:r>
        <w:rPr>
          <w:rFonts w:ascii="Times New Roman" w:hAnsi="Times New Roman"/>
          <w:color w:val="000000"/>
          <w:sz w:val="24"/>
        </w:rPr>
        <w:t>Base</w:t>
      </w:r>
      <w:r>
        <w:rPr>
          <w:color w:val="000000"/>
        </w:rPr>
        <w:t xml:space="preserve"> </w:t>
      </w:r>
      <w:r>
        <w:rPr>
          <w:rFonts w:ascii="Times New Roman" w:hAnsi="Times New Roman"/>
          <w:color w:val="000000"/>
          <w:sz w:val="24"/>
        </w:rPr>
        <w:t>Salary,</w:t>
      </w:r>
      <w:r>
        <w:rPr>
          <w:color w:val="000000"/>
        </w:rPr>
        <w:t xml:space="preserve"> </w:t>
      </w:r>
      <w:r>
        <w:rPr>
          <w:rFonts w:ascii="Times New Roman" w:hAnsi="Times New Roman"/>
          <w:color w:val="000000"/>
          <w:sz w:val="24"/>
        </w:rPr>
        <w:t>unpaid</w:t>
      </w:r>
      <w:r>
        <w:rPr>
          <w:color w:val="000000"/>
        </w:rPr>
        <w:t xml:space="preserve"> </w:t>
      </w:r>
      <w:r>
        <w:rPr>
          <w:rFonts w:ascii="Times New Roman" w:hAnsi="Times New Roman"/>
          <w:color w:val="000000"/>
          <w:sz w:val="24"/>
        </w:rPr>
        <w:t>expense</w:t>
      </w:r>
      <w:r>
        <w:rPr>
          <w:color w:val="000000"/>
        </w:rPr>
        <w:t xml:space="preserve"> </w:t>
      </w:r>
      <w:r>
        <w:rPr>
          <w:rFonts w:ascii="Times New Roman" w:hAnsi="Times New Roman"/>
          <w:color w:val="000000"/>
          <w:sz w:val="24"/>
        </w:rPr>
        <w:t>reimbursements,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vested</w:t>
      </w:r>
      <w:r>
        <w:rPr>
          <w:color w:val="000000"/>
        </w:rPr>
        <w:t xml:space="preserve"> </w:t>
      </w:r>
      <w:r>
        <w:rPr>
          <w:rFonts w:ascii="Times New Roman" w:hAnsi="Times New Roman"/>
          <w:color w:val="000000"/>
          <w:sz w:val="24"/>
        </w:rPr>
        <w:t>employee</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 the Date of Termination (as defined 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Severance</w:t>
      </w:r>
      <w:r>
        <w:rPr>
          <w:color w:val="000000"/>
          <w:u w:val="single"/>
        </w:rPr>
        <w:t xml:space="preserve"> </w:t>
      </w:r>
      <w:r>
        <w:rPr>
          <w:rFonts w:ascii="Times New Roman" w:hAnsi="Times New Roman"/>
          <w:b/>
          <w:color w:val="000000"/>
          <w:sz w:val="24"/>
          <w:u w:val="single"/>
        </w:rPr>
        <w:t>and Accelerated Vesting if a Terminating Event Occurs within the</w:t>
      </w:r>
      <w:r>
        <w:rPr>
          <w:color w:val="000000"/>
        </w:rPr>
        <w:t xml:space="preserve"> </w:t>
      </w:r>
      <w:r>
        <w:rPr>
          <w:rFonts w:ascii="Times New Roman" w:hAnsi="Times New Roman"/>
          <w:b/>
          <w:color w:val="000000"/>
          <w:sz w:val="24"/>
          <w:u w:val="single"/>
        </w:rPr>
        <w:t>Sale</w:t>
      </w:r>
      <w:r>
        <w:rPr>
          <w:color w:val="000000"/>
          <w:u w:val="single"/>
        </w:rPr>
        <w:t xml:space="preserve"> </w:t>
      </w:r>
      <w:r>
        <w:rPr>
          <w:rFonts w:ascii="Times New Roman" w:hAnsi="Times New Roman"/>
          <w:b/>
          <w:color w:val="000000"/>
          <w:sz w:val="24"/>
          <w:u w:val="single"/>
        </w:rPr>
        <w:t>Event</w:t>
      </w:r>
      <w:r>
        <w:rPr>
          <w:color w:val="000000"/>
          <w:u w:val="single"/>
        </w:rPr>
        <w:t xml:space="preserve"> </w:t>
      </w:r>
      <w:r>
        <w:rPr>
          <w:rFonts w:ascii="Times New Roman" w:hAnsi="Times New Roman"/>
          <w:b/>
          <w:color w:val="000000"/>
          <w:sz w:val="24"/>
          <w:u w:val="single"/>
        </w:rPr>
        <w:t>Period</w:t>
      </w:r>
      <w:r>
        <w:rPr>
          <w:rFonts w:ascii="Times New Roman" w:hAnsi="Times New Roman"/>
          <w:color w:val="000000"/>
          <w:sz w:val="24"/>
        </w:rPr>
        <w: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Terminating</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Sale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subject to the Executive signing and complying with a separation agreement in a form and manner satisfactory to the Company containing, among other provisions, a general release of claims in favor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related</w:t>
      </w:r>
      <w:r>
        <w:rPr>
          <w:color w:val="000000"/>
        </w:rPr>
        <w:t xml:space="preserve"> </w:t>
      </w:r>
      <w:r>
        <w:rPr>
          <w:rFonts w:ascii="Times New Roman" w:hAnsi="Times New Roman"/>
          <w:color w:val="000000"/>
          <w:sz w:val="24"/>
        </w:rPr>
        <w:t>persons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entities,</w:t>
      </w:r>
      <w:r>
        <w:rPr>
          <w:color w:val="000000"/>
        </w:rPr>
        <w:t xml:space="preserve"> </w:t>
      </w:r>
      <w:r>
        <w:rPr>
          <w:rFonts w:ascii="Times New Roman" w:hAnsi="Times New Roman"/>
          <w:color w:val="000000"/>
          <w:sz w:val="24"/>
        </w:rPr>
        <w:t>covenants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return</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property</w:t>
      </w:r>
      <w:r>
        <w:rPr>
          <w:color w:val="000000"/>
        </w:rPr>
        <w:t xml:space="preserve"> </w:t>
      </w:r>
      <w:r>
        <w:rPr>
          <w:rFonts w:ascii="Times New Roman" w:hAnsi="Times New Roman"/>
          <w:color w:val="000000"/>
          <w:sz w:val="24"/>
        </w:rPr>
        <w:t>and to</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disparage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reaffirmation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Confidentiality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twelve</w:t>
      </w:r>
      <w:r>
        <w:rPr>
          <w:color w:val="000000"/>
        </w:rPr>
        <w:t xml:space="preserve"> </w:t>
      </w:r>
      <w:r>
        <w:rPr>
          <w:rFonts w:ascii="Times New Roman" w:hAnsi="Times New Roman"/>
          <w:color w:val="000000"/>
          <w:sz w:val="24"/>
        </w:rPr>
        <w:t>(12) month</w:t>
      </w:r>
      <w:r>
        <w:rPr>
          <w:color w:val="000000"/>
        </w:rPr>
        <w:t xml:space="preserve"> </w:t>
      </w:r>
      <w:r>
        <w:rPr>
          <w:rFonts w:ascii="Times New Roman" w:hAnsi="Times New Roman"/>
          <w:color w:val="000000"/>
          <w:sz w:val="24"/>
        </w:rPr>
        <w:t>post-employment</w:t>
      </w:r>
      <w:r>
        <w:rPr>
          <w:color w:val="000000"/>
        </w:rPr>
        <w:t xml:space="preserve"> </w:t>
      </w:r>
      <w:r>
        <w:rPr>
          <w:rFonts w:ascii="Times New Roman" w:hAnsi="Times New Roman"/>
          <w:color w:val="000000"/>
          <w:sz w:val="24"/>
        </w:rPr>
        <w:t>non-competition</w:t>
      </w:r>
      <w:r>
        <w:rPr>
          <w:color w:val="000000"/>
        </w:rPr>
        <w:t xml:space="preserve"> </w:t>
      </w:r>
      <w:r>
        <w:rPr>
          <w:rFonts w:ascii="Times New Roman" w:hAnsi="Times New Roman"/>
          <w:color w:val="000000"/>
          <w:sz w:val="24"/>
        </w:rPr>
        <w:t>restriction</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scope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prohibited</w:t>
      </w:r>
      <w:r>
        <w:rPr>
          <w:color w:val="000000"/>
        </w:rPr>
        <w:t xml:space="preserve"> </w:t>
      </w:r>
      <w:r>
        <w:rPr>
          <w:rFonts w:ascii="Times New Roman" w:hAnsi="Times New Roman"/>
          <w:color w:val="000000"/>
          <w:sz w:val="24"/>
        </w:rPr>
        <w:t>competitive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9" w:hanging="0"/>
        <w:jc w:val="both"/>
        <w:rPr>
          <w:rFonts w:ascii="Times New Roman" w:hAnsi="Times New Roman"/>
          <w:sz w:val="20"/>
        </w:rPr>
      </w:pPr>
      <w:r>
        <w:rPr>
          <w:rFonts w:ascii="Times New Roman" w:hAnsi="Times New Roman"/>
          <w:color w:val="000000"/>
          <w:sz w:val="24"/>
        </w:rPr>
        <w:t>activity no greater than that described in the Confidentiality Agreement (the “</w:t>
      </w:r>
      <w:r>
        <w:rPr>
          <w:rFonts w:ascii="Times New Roman" w:hAnsi="Times New Roman"/>
          <w:color w:val="000000"/>
          <w:sz w:val="24"/>
          <w:u w:val="single"/>
        </w:rPr>
        <w:t>Separation</w:t>
      </w:r>
      <w:r>
        <w:rPr>
          <w:rFonts w:ascii="Times New Roman" w:hAnsi="Times New Roman"/>
          <w:color w:val="000000"/>
          <w:sz w:val="20"/>
        </w:rPr>
        <w:t xml:space="preserve"> </w:t>
      </w:r>
      <w:r>
        <w:rPr>
          <w:rFonts w:ascii="Times New Roman" w:hAnsi="Times New Roman"/>
          <w:color w:val="000000"/>
          <w:sz w:val="24"/>
          <w:u w:val="single"/>
        </w:rPr>
        <w:t>Agreement and Release</w:t>
      </w:r>
      <w:r>
        <w:rPr>
          <w:rFonts w:ascii="Times New Roman" w:hAnsi="Times New Roman"/>
          <w:color w:val="000000"/>
          <w:sz w:val="20"/>
        </w:rPr>
        <w:t>”</w:t>
      </w:r>
      <w:r>
        <w:rPr>
          <w:rFonts w:ascii="Times New Roman" w:hAnsi="Times New Roman"/>
          <w:color w:val="000000"/>
          <w:sz w:val="24"/>
        </w:rPr>
        <w:t>), and the Separation Agreement and Release becoming irrevocable (the date</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Separation</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Release</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irrevocable,</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Release</w:t>
      </w:r>
      <w:r>
        <w:rPr>
          <w:rFonts w:ascii="Times New Roman" w:hAnsi="Times New Roman"/>
          <w:color w:val="000000"/>
          <w:sz w:val="20"/>
          <w:u w:val="single"/>
        </w:rPr>
        <w:t xml:space="preserve"> </w:t>
      </w:r>
      <w:r>
        <w:rPr>
          <w:rFonts w:ascii="Times New Roman" w:hAnsi="Times New Roman"/>
          <w:color w:val="000000"/>
          <w:sz w:val="24"/>
          <w:u w:val="single"/>
        </w:rPr>
        <w:t>Effective</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 all within sixty (60)</w:t>
      </w:r>
      <w:r>
        <w:rPr>
          <w:rFonts w:ascii="Times New Roman" w:hAnsi="Times New Roman"/>
          <w:color w:val="000000"/>
          <w:sz w:val="20"/>
        </w:rPr>
        <w:t xml:space="preserve"> </w:t>
      </w:r>
      <w:r>
        <w:rPr>
          <w:rFonts w:ascii="Times New Roman" w:hAnsi="Times New Roman"/>
          <w:color w:val="000000"/>
          <w:sz w:val="24"/>
        </w:rPr>
        <w:t>days after the Date</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Termination or</w:t>
      </w:r>
      <w:r>
        <w:rPr>
          <w:rFonts w:ascii="Times New Roman" w:hAnsi="Times New Roman"/>
          <w:color w:val="000000"/>
          <w:sz w:val="20"/>
        </w:rPr>
        <w:t xml:space="preserve"> </w:t>
      </w:r>
      <w:r>
        <w:rPr>
          <w:rFonts w:ascii="Times New Roman" w:hAnsi="Times New Roman"/>
          <w:color w:val="000000"/>
          <w:sz w:val="24"/>
        </w:rPr>
        <w:t>by an earlier date</w:t>
      </w:r>
      <w:r>
        <w:rPr>
          <w:rFonts w:ascii="Times New Roman" w:hAnsi="Times New Roman"/>
          <w:color w:val="000000"/>
          <w:sz w:val="20"/>
        </w:rPr>
        <w:t xml:space="preserve"> </w:t>
      </w:r>
      <w:r>
        <w:rPr>
          <w:rFonts w:ascii="Times New Roman" w:hAnsi="Times New Roman"/>
          <w:color w:val="000000"/>
          <w:sz w:val="24"/>
        </w:rPr>
        <w:t>as determined by the Company, the following shall occur:</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Company shall pay to the Executive an amount equal to six (6) months of the Executive’s Base</w:t>
      </w:r>
      <w:r>
        <w:rPr>
          <w:color w:val="000000"/>
        </w:rPr>
        <w:t xml:space="preserve"> </w:t>
      </w:r>
      <w:r>
        <w:rPr>
          <w:rFonts w:ascii="Times New Roman" w:hAnsi="Times New Roman"/>
          <w:color w:val="000000"/>
          <w:sz w:val="24"/>
        </w:rPr>
        <w:t>Salary in effect immediately prior</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Terminating Event (or</w:t>
      </w:r>
      <w:r>
        <w:rPr>
          <w:color w:val="000000"/>
        </w:rPr>
        <w:t xml:space="preserve"> </w:t>
      </w:r>
      <w:r>
        <w:rPr>
          <w:rFonts w:ascii="Times New Roman" w:hAnsi="Times New Roman"/>
          <w:color w:val="000000"/>
          <w:sz w:val="24"/>
        </w:rPr>
        <w:t>the Executive’s Base Salary in effect immediately prior to the Sale Event, if higher), determined in each case immediately before any event that constitutes Good Reason (if applicable);</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the Company shall pay to the Executive a pro-rated portion of the Executive’s annual</w:t>
      </w:r>
      <w:r>
        <w:rPr>
          <w:color w:val="000000"/>
        </w:rPr>
        <w:t xml:space="preserve"> </w:t>
      </w:r>
      <w:r>
        <w:rPr>
          <w:rFonts w:ascii="Times New Roman" w:hAnsi="Times New Roman"/>
          <w:color w:val="000000"/>
          <w:sz w:val="24"/>
        </w:rPr>
        <w:t>bonus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target</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proration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based</w:t>
      </w:r>
      <w:r>
        <w:rPr>
          <w:color w:val="000000"/>
        </w:rPr>
        <w:t xml:space="preserve"> </w:t>
      </w:r>
      <w:r>
        <w:rPr>
          <w:rFonts w:ascii="Times New Roman" w:hAnsi="Times New Roman"/>
          <w:color w:val="000000"/>
          <w:sz w:val="24"/>
        </w:rPr>
        <w:t>on the Date of Termination;</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if the Executive timely elects and is eligible to continue receiving group health insurance</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until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earlier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(x)</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 six</w:t>
      </w:r>
      <w:r>
        <w:rPr>
          <w:color w:val="000000"/>
        </w:rPr>
        <w:t xml:space="preserve"> </w:t>
      </w:r>
      <w:r>
        <w:rPr>
          <w:rFonts w:ascii="Times New Roman" w:hAnsi="Times New Roman"/>
          <w:color w:val="000000"/>
          <w:sz w:val="24"/>
        </w:rPr>
        <w:t>(6)</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obtains alternative coverage (as applicable, the “</w:t>
      </w:r>
      <w:r>
        <w:rPr>
          <w:rFonts w:ascii="Times New Roman" w:hAnsi="Times New Roman"/>
          <w:color w:val="000000"/>
          <w:sz w:val="24"/>
          <w:u w:val="single"/>
        </w:rPr>
        <w:t>Sale Event COBRA Contribution Period</w:t>
      </w:r>
      <w:r>
        <w:rPr>
          <w:color w:val="000000"/>
        </w:rPr>
        <w:t>”</w:t>
      </w:r>
      <w:r>
        <w:rPr>
          <w:rFonts w:ascii="Times New Roman" w:hAnsi="Times New Roman"/>
          <w:color w:val="000000"/>
          <w:sz w:val="24"/>
        </w:rPr>
        <w:t>), continue to pay the</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premiums for</w:t>
      </w:r>
      <w:r>
        <w:rPr>
          <w:color w:val="000000"/>
        </w:rPr>
        <w:t xml:space="preserve"> </w:t>
      </w:r>
      <w:r>
        <w:rPr>
          <w:rFonts w:ascii="Times New Roman" w:hAnsi="Times New Roman"/>
          <w:color w:val="000000"/>
          <w:sz w:val="24"/>
        </w:rPr>
        <w:t>such coverage</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extent it was paying such premiums on the Executive’s behalf immediately prior to the Date of Termination.</w:t>
      </w:r>
      <w:r>
        <w:rPr>
          <w:color w:val="000000"/>
        </w:rPr>
        <w:t xml:space="preserve"> </w:t>
      </w:r>
      <w:r>
        <w:rPr>
          <w:rFonts w:ascii="Times New Roman" w:hAnsi="Times New Roman"/>
          <w:color w:val="000000"/>
          <w:sz w:val="24"/>
        </w:rPr>
        <w:t>The remaining balance of any premium costs during the Sale Event COBRA Contribution Period, and all premium costs thereafter, shall be paid by the Executive monthly for as long as, and to the extent that, the Executive remains eligible for COBRA continuation.</w:t>
      </w:r>
      <w:r>
        <w:rPr>
          <w:color w:val="000000"/>
        </w:rPr>
        <w:t xml:space="preserve"> </w:t>
      </w:r>
      <w:r>
        <w:rPr>
          <w:rFonts w:ascii="Times New Roman" w:hAnsi="Times New Roman"/>
          <w:color w:val="000000"/>
          <w:sz w:val="24"/>
        </w:rPr>
        <w:t>The Executive agrees that, should the Executive obtain alternative medical and/or dental insurance coverage prior to the date that is</w:t>
      </w:r>
      <w:r>
        <w:rPr>
          <w:color w:val="000000"/>
        </w:rPr>
        <w:t xml:space="preserve"> </w:t>
      </w:r>
      <w:r>
        <w:rPr>
          <w:rFonts w:ascii="Times New Roman" w:hAnsi="Times New Roman"/>
          <w:color w:val="000000"/>
          <w:sz w:val="24"/>
        </w:rPr>
        <w:t>six</w:t>
      </w:r>
    </w:p>
    <w:p>
      <w:pPr>
        <w:pStyle w:val="TextBody"/>
        <w:bidi w:val="0"/>
        <w:spacing w:before="1" w:after="283"/>
        <w:ind w:left="360" w:right="354" w:hanging="0"/>
        <w:jc w:val="both"/>
        <w:rPr>
          <w:rFonts w:ascii="Times New Roman" w:hAnsi="Times New Roman"/>
          <w:sz w:val="20"/>
        </w:rPr>
      </w:pPr>
      <w:r>
        <w:rPr>
          <w:rFonts w:ascii="Times New Roman" w:hAnsi="Times New Roman"/>
          <w:color w:val="000000"/>
          <w:sz w:val="24"/>
        </w:rPr>
        <w:t>(6) months following the Date of Termination, the Executive will so inform the Company in writing</w:t>
      </w:r>
      <w:r>
        <w:rPr>
          <w:rFonts w:ascii="Times New Roman" w:hAnsi="Times New Roman"/>
          <w:color w:val="000000"/>
          <w:sz w:val="20"/>
        </w:rPr>
        <w:t xml:space="preserve"> </w:t>
      </w:r>
      <w:r>
        <w:rPr>
          <w:rFonts w:ascii="Times New Roman" w:hAnsi="Times New Roman"/>
          <w:color w:val="000000"/>
          <w:sz w:val="24"/>
        </w:rPr>
        <w:t>within</w:t>
      </w:r>
      <w:r>
        <w:rPr>
          <w:rFonts w:ascii="Times New Roman" w:hAnsi="Times New Roman"/>
          <w:color w:val="000000"/>
          <w:sz w:val="20"/>
        </w:rPr>
        <w:t xml:space="preserve"> </w:t>
      </w:r>
      <w:r>
        <w:rPr>
          <w:rFonts w:ascii="Times New Roman" w:hAnsi="Times New Roman"/>
          <w:color w:val="000000"/>
          <w:sz w:val="24"/>
        </w:rPr>
        <w:t>five</w:t>
      </w:r>
      <w:r>
        <w:rPr>
          <w:rFonts w:ascii="Times New Roman" w:hAnsi="Times New Roman"/>
          <w:color w:val="000000"/>
          <w:sz w:val="20"/>
        </w:rPr>
        <w:t xml:space="preserve"> </w:t>
      </w: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days</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obtaining</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coverage.</w:t>
      </w:r>
      <w:r>
        <w:rPr>
          <w:rFonts w:ascii="Times New Roman" w:hAnsi="Times New Roman"/>
          <w:color w:val="000000"/>
          <w:sz w:val="20"/>
        </w:rPr>
        <w:t xml:space="preserve"> </w:t>
      </w:r>
      <w:r>
        <w:rPr>
          <w:rFonts w:ascii="Times New Roman" w:hAnsi="Times New Roman"/>
          <w:color w:val="000000"/>
          <w:sz w:val="24"/>
        </w:rPr>
        <w:t>Notwithstanding</w:t>
      </w:r>
      <w:r>
        <w:rPr>
          <w:rFonts w:ascii="Times New Roman" w:hAnsi="Times New Roman"/>
          <w:color w:val="000000"/>
          <w:sz w:val="20"/>
        </w:rPr>
        <w:t xml:space="preserve"> </w:t>
      </w:r>
      <w:r>
        <w:rPr>
          <w:rFonts w:ascii="Times New Roman" w:hAnsi="Times New Roman"/>
          <w:color w:val="000000"/>
          <w:sz w:val="24"/>
        </w:rPr>
        <w:t>anything</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 contrary</w:t>
      </w:r>
      <w:r>
        <w:rPr>
          <w:rFonts w:ascii="Times New Roman" w:hAnsi="Times New Roman"/>
          <w:color w:val="000000"/>
          <w:sz w:val="20"/>
        </w:rPr>
        <w:t xml:space="preserve"> </w:t>
      </w:r>
      <w:r>
        <w:rPr>
          <w:rFonts w:ascii="Times New Roman" w:hAnsi="Times New Roman"/>
          <w:color w:val="000000"/>
          <w:sz w:val="24"/>
        </w:rPr>
        <w:t>herein,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payment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described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Section</w:t>
      </w:r>
      <w:r>
        <w:rPr>
          <w:rFonts w:ascii="Times New Roman" w:hAnsi="Times New Roman"/>
          <w:color w:val="000000"/>
          <w:sz w:val="20"/>
        </w:rPr>
        <w:t xml:space="preserve"> </w:t>
      </w:r>
      <w:r>
        <w:rPr>
          <w:rFonts w:ascii="Times New Roman" w:hAnsi="Times New Roman"/>
          <w:color w:val="000000"/>
          <w:sz w:val="24"/>
        </w:rPr>
        <w:t>6(c) would</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tax</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penalty</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Patient</w:t>
      </w:r>
      <w:r>
        <w:rPr>
          <w:rFonts w:ascii="Times New Roman" w:hAnsi="Times New Roman"/>
          <w:color w:val="000000"/>
          <w:sz w:val="20"/>
        </w:rPr>
        <w:t xml:space="preserve"> </w:t>
      </w:r>
      <w:r>
        <w:rPr>
          <w:rFonts w:ascii="Times New Roman" w:hAnsi="Times New Roman"/>
          <w:color w:val="000000"/>
          <w:sz w:val="24"/>
        </w:rPr>
        <w:t>Protection</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Affordable</w:t>
      </w:r>
      <w:r>
        <w:rPr>
          <w:rFonts w:ascii="Times New Roman" w:hAnsi="Times New Roman"/>
          <w:color w:val="000000"/>
          <w:sz w:val="20"/>
        </w:rPr>
        <w:t xml:space="preserve"> </w:t>
      </w:r>
      <w:r>
        <w:rPr>
          <w:rFonts w:ascii="Times New Roman" w:hAnsi="Times New Roman"/>
          <w:color w:val="000000"/>
          <w:sz w:val="24"/>
        </w:rPr>
        <w:t>Care Act (as amended from time to time, the “</w:t>
      </w:r>
      <w:r>
        <w:rPr>
          <w:rFonts w:ascii="Times New Roman" w:hAnsi="Times New Roman"/>
          <w:color w:val="000000"/>
          <w:sz w:val="24"/>
          <w:u w:val="single"/>
        </w:rPr>
        <w:t>ACA</w:t>
      </w:r>
      <w:r>
        <w:rPr>
          <w:rFonts w:ascii="Times New Roman" w:hAnsi="Times New Roman"/>
          <w:color w:val="000000"/>
          <w:sz w:val="20"/>
        </w:rPr>
        <w:t>”</w:t>
      </w:r>
      <w:r>
        <w:rPr>
          <w:rFonts w:ascii="Times New Roman" w:hAnsi="Times New Roman"/>
          <w:color w:val="000000"/>
          <w:sz w:val="24"/>
        </w:rPr>
        <w:t>) or Section 105(h) of the Internal Revenue Code of 1986, as amended (“</w:t>
      </w:r>
      <w:r>
        <w:rPr>
          <w:rFonts w:ascii="Times New Roman" w:hAnsi="Times New Roman"/>
          <w:color w:val="000000"/>
          <w:sz w:val="24"/>
          <w:u w:val="single"/>
        </w:rPr>
        <w:t>Section 105(h)</w:t>
      </w:r>
      <w:r>
        <w:rPr>
          <w:rFonts w:ascii="Times New Roman" w:hAnsi="Times New Roman"/>
          <w:color w:val="000000"/>
          <w:sz w:val="20"/>
        </w:rPr>
        <w:t>”</w:t>
      </w:r>
      <w:r>
        <w:rPr>
          <w:rFonts w:ascii="Times New Roman" w:hAnsi="Times New Roman"/>
          <w:color w:val="000000"/>
          <w:sz w:val="24"/>
        </w:rPr>
        <w:t>), or applicable regulations or guidance issued under the ACA or Section 105(h), the Executive and the Company agree to work together in good faith to restructure such benefit; and</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one hundred percent (100%) of all equity awards held by the Executive that vest solely based on continued service shall immediately accelerate and become fully exercisable or nonforfeitable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6(d)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 to be incorporated by reference into the agreements governing all such awards.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720"/>
        <w:jc w:val="both"/>
        <w:rPr>
          <w:rFonts w:ascii="Times New Roman" w:hAnsi="Times New Roman"/>
          <w:sz w:val="20"/>
        </w:rPr>
      </w:pPr>
      <w:bookmarkStart w:id="29" w:name="for_avoidance_of_doubt__the_separation_a"/>
      <w:bookmarkEnd w:id="29"/>
      <w:r>
        <w:rPr>
          <w:rFonts w:ascii="Times New Roman" w:hAnsi="Times New Roman"/>
          <w:color w:val="000000"/>
          <w:sz w:val="24"/>
        </w:rPr>
        <w:t>For avoidance of doubt, the Separation Agreement and Release for purposes of this Agreement shall not require a waiver of any rights under the indemnification agreement between the Company and the Executive or any rights described in Section 5 above.</w:t>
      </w:r>
      <w:r>
        <w:rPr>
          <w:rFonts w:ascii="Times New Roman" w:hAnsi="Times New Roman"/>
          <w:color w:val="000000"/>
          <w:sz w:val="20"/>
        </w:rPr>
        <w:t xml:space="preserve"> </w:t>
      </w:r>
      <w:r>
        <w:rPr>
          <w:rFonts w:ascii="Times New Roman" w:hAnsi="Times New Roman"/>
          <w:color w:val="000000"/>
          <w:sz w:val="24"/>
        </w:rPr>
        <w:t>Notwithstanding the foregoing, if the Executive’s employment is terminated in connection with a Sale Event and the Executive</w:t>
      </w:r>
      <w:r>
        <w:rPr>
          <w:rFonts w:ascii="Times New Roman" w:hAnsi="Times New Roman"/>
          <w:color w:val="000000"/>
          <w:sz w:val="20"/>
        </w:rPr>
        <w:t xml:space="preserve"> </w:t>
      </w:r>
      <w:r>
        <w:rPr>
          <w:rFonts w:ascii="Times New Roman" w:hAnsi="Times New Roman"/>
          <w:color w:val="000000"/>
          <w:sz w:val="24"/>
        </w:rPr>
        <w:t>immediately</w:t>
      </w:r>
      <w:r>
        <w:rPr>
          <w:rFonts w:ascii="Times New Roman" w:hAnsi="Times New Roman"/>
          <w:color w:val="000000"/>
          <w:sz w:val="20"/>
        </w:rPr>
        <w:t xml:space="preserve"> </w:t>
      </w:r>
      <w:r>
        <w:rPr>
          <w:rFonts w:ascii="Times New Roman" w:hAnsi="Times New Roman"/>
          <w:color w:val="000000"/>
          <w:sz w:val="24"/>
        </w:rPr>
        <w:t>becomes</w:t>
      </w:r>
      <w:r>
        <w:rPr>
          <w:rFonts w:ascii="Times New Roman" w:hAnsi="Times New Roman"/>
          <w:color w:val="000000"/>
          <w:sz w:val="20"/>
        </w:rPr>
        <w:t xml:space="preserve"> </w:t>
      </w:r>
      <w:r>
        <w:rPr>
          <w:rFonts w:ascii="Times New Roman" w:hAnsi="Times New Roman"/>
          <w:color w:val="000000"/>
          <w:sz w:val="24"/>
        </w:rPr>
        <w:t>reemployed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any</w:t>
      </w:r>
      <w:r>
        <w:rPr>
          <w:rFonts w:ascii="Times New Roman" w:hAnsi="Times New Roman"/>
          <w:color w:val="000000"/>
          <w:sz w:val="20"/>
        </w:rPr>
        <w:t xml:space="preserve"> </w:t>
      </w:r>
      <w:r>
        <w:rPr>
          <w:rFonts w:ascii="Times New Roman" w:hAnsi="Times New Roman"/>
          <w:color w:val="000000"/>
          <w:sz w:val="24"/>
        </w:rPr>
        <w:t>direct</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indirect</w:t>
      </w:r>
      <w:r>
        <w:rPr>
          <w:rFonts w:ascii="Times New Roman" w:hAnsi="Times New Roman"/>
          <w:color w:val="000000"/>
          <w:sz w:val="20"/>
        </w:rPr>
        <w:t xml:space="preserve"> </w:t>
      </w:r>
      <w:r>
        <w:rPr>
          <w:rFonts w:ascii="Times New Roman" w:hAnsi="Times New Roman"/>
          <w:color w:val="000000"/>
          <w:sz w:val="24"/>
        </w:rPr>
        <w:t>successor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business</w:t>
      </w:r>
      <w:r>
        <w:rPr>
          <w:rFonts w:ascii="Times New Roman" w:hAnsi="Times New Roman"/>
          <w:color w:val="000000"/>
          <w:sz w:val="20"/>
        </w:rPr>
        <w:t xml:space="preserve"> </w:t>
      </w:r>
      <w:r>
        <w:rPr>
          <w:rFonts w:ascii="Times New Roman" w:hAnsi="Times New Roman"/>
          <w:color w:val="000000"/>
          <w:sz w:val="24"/>
        </w:rPr>
        <w:t>or assets of the</w:t>
      </w:r>
      <w:r>
        <w:rPr>
          <w:rFonts w:ascii="Times New Roman" w:hAnsi="Times New Roman"/>
          <w:color w:val="000000"/>
          <w:sz w:val="20"/>
        </w:rPr>
        <w:t xml:space="preserve"> </w:t>
      </w:r>
      <w:r>
        <w:rPr>
          <w:rFonts w:ascii="Times New Roman" w:hAnsi="Times New Roman"/>
          <w:color w:val="000000"/>
          <w:sz w:val="24"/>
        </w:rPr>
        <w:t>Company, the</w:t>
      </w:r>
      <w:r>
        <w:rPr>
          <w:rFonts w:ascii="Times New Roman" w:hAnsi="Times New Roman"/>
          <w:color w:val="000000"/>
          <w:sz w:val="20"/>
        </w:rPr>
        <w:t xml:space="preserve"> </w:t>
      </w:r>
      <w:r>
        <w:rPr>
          <w:rFonts w:ascii="Times New Roman" w:hAnsi="Times New Roman"/>
          <w:color w:val="000000"/>
          <w:sz w:val="24"/>
        </w:rPr>
        <w:t>termination of</w:t>
      </w:r>
      <w:r>
        <w:rPr>
          <w:rFonts w:ascii="Times New Roman" w:hAnsi="Times New Roman"/>
          <w:color w:val="000000"/>
          <w:sz w:val="20"/>
        </w:rPr>
        <w:t xml:space="preserve"> </w:t>
      </w:r>
      <w:r>
        <w:rPr>
          <w:rFonts w:ascii="Times New Roman" w:hAnsi="Times New Roman"/>
          <w:color w:val="000000"/>
          <w:sz w:val="24"/>
        </w:rPr>
        <w:t>the Executive’s employment upon the</w:t>
      </w:r>
      <w:r>
        <w:rPr>
          <w:rFonts w:ascii="Times New Roman" w:hAnsi="Times New Roman"/>
          <w:color w:val="000000"/>
          <w:sz w:val="20"/>
        </w:rPr>
        <w:t xml:space="preserve"> </w:t>
      </w:r>
      <w:r>
        <w:rPr>
          <w:rFonts w:ascii="Times New Roman" w:hAnsi="Times New Roman"/>
          <w:color w:val="000000"/>
          <w:sz w:val="24"/>
        </w:rPr>
        <w:t>Sale Event shall not be considered a termination without Cause for purposes of this Agreement.</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59" w:right="355" w:firstLine="720"/>
        <w:jc w:val="both"/>
        <w:rPr>
          <w:rFonts w:ascii="Times New Roman" w:hAnsi="Times New Roman"/>
          <w:sz w:val="20"/>
        </w:rPr>
      </w:pPr>
      <w:bookmarkStart w:id="30" w:name="the_amounts_payable_under_sections_6_a__"/>
      <w:bookmarkEnd w:id="30"/>
      <w:r>
        <w:rPr>
          <w:rFonts w:ascii="Times New Roman" w:hAnsi="Times New Roman"/>
          <w:color w:val="000000"/>
          <w:sz w:val="24"/>
        </w:rPr>
        <w:t>The amounts payable under Sections</w:t>
      </w:r>
      <w:r>
        <w:rPr>
          <w:rFonts w:ascii="Times New Roman" w:hAnsi="Times New Roman"/>
          <w:color w:val="000000"/>
          <w:sz w:val="20"/>
        </w:rPr>
        <w:t xml:space="preserve"> </w:t>
      </w:r>
      <w:r>
        <w:rPr>
          <w:rFonts w:ascii="Times New Roman" w:hAnsi="Times New Roman"/>
          <w:color w:val="000000"/>
          <w:sz w:val="24"/>
        </w:rPr>
        <w:t>6(a) and 6(b) shall be paid out in substantially equal installments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payroll</w:t>
      </w:r>
      <w:r>
        <w:rPr>
          <w:rFonts w:ascii="Times New Roman" w:hAnsi="Times New Roman"/>
          <w:color w:val="000000"/>
          <w:sz w:val="20"/>
        </w:rPr>
        <w:t xml:space="preserve"> </w:t>
      </w:r>
      <w:r>
        <w:rPr>
          <w:rFonts w:ascii="Times New Roman" w:hAnsi="Times New Roman"/>
          <w:color w:val="000000"/>
          <w:sz w:val="24"/>
        </w:rPr>
        <w:t>practice</w:t>
      </w:r>
      <w:r>
        <w:rPr>
          <w:rFonts w:ascii="Times New Roman" w:hAnsi="Times New Roman"/>
          <w:color w:val="000000"/>
          <w:sz w:val="20"/>
        </w:rPr>
        <w:t xml:space="preserve"> </w:t>
      </w:r>
      <w:r>
        <w:rPr>
          <w:rFonts w:ascii="Times New Roman" w:hAnsi="Times New Roman"/>
          <w:color w:val="000000"/>
          <w:sz w:val="24"/>
        </w:rPr>
        <w:t>over</w:t>
      </w:r>
      <w:r>
        <w:rPr>
          <w:rFonts w:ascii="Times New Roman" w:hAnsi="Times New Roman"/>
          <w:color w:val="000000"/>
          <w:sz w:val="20"/>
        </w:rPr>
        <w:t xml:space="preserve"> </w:t>
      </w:r>
      <w:r>
        <w:rPr>
          <w:rFonts w:ascii="Times New Roman" w:hAnsi="Times New Roman"/>
          <w:color w:val="000000"/>
          <w:sz w:val="24"/>
        </w:rPr>
        <w:t>six</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rPr>
        <w:t>commencing within sixty (60) days after the Date of Termination (but no sooner than the Release Effective Date);</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sixty</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begins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ends</w:t>
      </w:r>
      <w:r>
        <w:rPr>
          <w:rFonts w:ascii="Times New Roman" w:hAnsi="Times New Roman"/>
          <w:color w:val="000000"/>
          <w:sz w:val="20"/>
        </w:rPr>
        <w:t xml:space="preserve"> </w:t>
      </w:r>
      <w:r>
        <w:rPr>
          <w:rFonts w:ascii="Times New Roman" w:hAnsi="Times New Roman"/>
          <w:color w:val="000000"/>
          <w:sz w:val="24"/>
        </w:rPr>
        <w:t>in a</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severance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begin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calendar year by the last day of such sixty (60) day period.</w:t>
      </w:r>
      <w:r>
        <w:rPr>
          <w:rFonts w:ascii="Times New Roman" w:hAnsi="Times New Roman"/>
          <w:color w:val="000000"/>
          <w:sz w:val="20"/>
        </w:rPr>
        <w:t xml:space="preserve"> </w:t>
      </w:r>
      <w:r>
        <w:rPr>
          <w:rFonts w:ascii="Times New Roman" w:hAnsi="Times New Roman"/>
          <w:color w:val="000000"/>
          <w:sz w:val="24"/>
        </w:rPr>
        <w:t>Each payment pursuant to this Agreement is intended to constitute a separate payment for purposes of Treasury Regulation Section 1.409A-2(b)(2).</w:t>
      </w: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Severance if a Terminating Event Occurs Outside the Sale Event Period</w:t>
      </w:r>
      <w:r>
        <w:rPr>
          <w:rFonts w:ascii="Times New Roman" w:hAnsi="Times New Roman"/>
          <w:color w:val="000000"/>
          <w:sz w:val="24"/>
        </w:rPr>
        <w:t>.</w:t>
      </w:r>
      <w:r>
        <w:rPr>
          <w:color w:val="000000"/>
        </w:rPr>
        <w:t xml:space="preserve"> </w:t>
      </w:r>
      <w:r>
        <w:rPr>
          <w:rFonts w:ascii="Times New Roman" w:hAnsi="Times New Roman"/>
          <w:color w:val="000000"/>
          <w:sz w:val="24"/>
        </w:rPr>
        <w:t>In 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Terminating</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occurs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Sale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Period,</w:t>
      </w:r>
      <w:r>
        <w:rPr>
          <w:color w:val="000000"/>
        </w:rPr>
        <w:t xml:space="preserve"> </w:t>
      </w:r>
      <w:r>
        <w:rPr>
          <w:rFonts w:ascii="Times New Roman" w:hAnsi="Times New Roman"/>
          <w:color w:val="000000"/>
          <w:sz w:val="24"/>
        </w:rPr>
        <w:t>subject 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signing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Separation</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Release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Separation</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 Release becoming irrevocable, all within sixty (60) days after the Date of Termination or by an earlier date as determined by the Company, the following shall occur: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shall pay to the Executive an amount equal to six (6) months of the Executive’s Base Salary in effect immediately prior to the Terminating Event (but only after disregarding any event that constitutes Good Reason);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shall pay to the Executive a pro-rated portion of the Executive’s annual bonus target for the year in which termination occurs, with such proration to be based on the Date of Termination;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if the Executive timely elects and is eligible to continue receiving group health insurance</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COBRA”</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will,</w:t>
      </w:r>
      <w:r>
        <w:rPr>
          <w:color w:val="000000"/>
        </w:rPr>
        <w:t xml:space="preserve"> </w:t>
      </w:r>
      <w:r>
        <w:rPr>
          <w:rFonts w:ascii="Times New Roman" w:hAnsi="Times New Roman"/>
          <w:color w:val="000000"/>
          <w:sz w:val="24"/>
        </w:rPr>
        <w:t>until</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earlier</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(x)</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is six</w:t>
      </w:r>
      <w:r>
        <w:rPr>
          <w:color w:val="000000"/>
        </w:rPr>
        <w:t xml:space="preserve"> </w:t>
      </w:r>
      <w:r>
        <w:rPr>
          <w:rFonts w:ascii="Times New Roman" w:hAnsi="Times New Roman"/>
          <w:color w:val="000000"/>
          <w:sz w:val="24"/>
        </w:rPr>
        <w:t>(6)</w:t>
      </w:r>
      <w:r>
        <w:rPr>
          <w:color w:val="000000"/>
        </w:rPr>
        <w:t xml:space="preserve"> </w:t>
      </w:r>
      <w:r>
        <w:rPr>
          <w:rFonts w:ascii="Times New Roman" w:hAnsi="Times New Roman"/>
          <w:color w:val="000000"/>
          <w:sz w:val="24"/>
        </w:rPr>
        <w:t>months</w:t>
      </w:r>
      <w:r>
        <w:rPr>
          <w:color w:val="000000"/>
        </w:rPr>
        <w:t xml:space="preserve"> </w:t>
      </w:r>
      <w:r>
        <w:rPr>
          <w:rFonts w:ascii="Times New Roman" w:hAnsi="Times New Roman"/>
          <w:color w:val="000000"/>
          <w:sz w:val="24"/>
        </w:rPr>
        <w:t>following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obtains alternative</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Non-Sale</w:t>
      </w:r>
      <w:r>
        <w:rPr>
          <w:color w:val="000000"/>
          <w:u w:val="single"/>
        </w:rPr>
        <w:t xml:space="preserve"> </w:t>
      </w:r>
      <w:r>
        <w:rPr>
          <w:rFonts w:ascii="Times New Roman" w:hAnsi="Times New Roman"/>
          <w:color w:val="000000"/>
          <w:sz w:val="24"/>
          <w:u w:val="single"/>
        </w:rPr>
        <w:t>Event</w:t>
      </w:r>
      <w:r>
        <w:rPr>
          <w:color w:val="000000"/>
          <w:u w:val="single"/>
        </w:rPr>
        <w:t xml:space="preserve"> </w:t>
      </w:r>
      <w:r>
        <w:rPr>
          <w:rFonts w:ascii="Times New Roman" w:hAnsi="Times New Roman"/>
          <w:color w:val="000000"/>
          <w:sz w:val="24"/>
          <w:u w:val="single"/>
        </w:rPr>
        <w:t>COBRA</w:t>
      </w:r>
      <w:r>
        <w:rPr>
          <w:color w:val="000000"/>
          <w:u w:val="single"/>
        </w:rPr>
        <w:t xml:space="preserve"> </w:t>
      </w:r>
      <w:r>
        <w:rPr>
          <w:rFonts w:ascii="Times New Roman" w:hAnsi="Times New Roman"/>
          <w:color w:val="000000"/>
          <w:sz w:val="24"/>
          <w:u w:val="single"/>
        </w:rPr>
        <w:t>Contribution</w:t>
      </w:r>
      <w:r>
        <w:rPr>
          <w:color w:val="000000"/>
          <w:u w:val="single"/>
        </w:rPr>
        <w:t xml:space="preserve"> </w:t>
      </w:r>
      <w:r>
        <w:rPr>
          <w:rFonts w:ascii="Times New Roman" w:hAnsi="Times New Roman"/>
          <w:color w:val="000000"/>
          <w:sz w:val="24"/>
          <w:u w:val="single"/>
        </w:rPr>
        <w:t>Period</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continue to</w:t>
      </w:r>
      <w:r>
        <w:rPr>
          <w:color w:val="000000"/>
        </w:rPr>
        <w:t xml:space="preserve"> </w:t>
      </w:r>
      <w:r>
        <w:rPr>
          <w:rFonts w:ascii="Times New Roman" w:hAnsi="Times New Roman"/>
          <w:color w:val="000000"/>
          <w:sz w:val="24"/>
        </w:rPr>
        <w:t>pay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share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premiums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same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it</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paying</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premiums on the Executive’s behalf immediately prior to the Date of Termination.</w:t>
      </w:r>
      <w:r>
        <w:rPr>
          <w:color w:val="000000"/>
        </w:rPr>
        <w:t xml:space="preserve"> </w:t>
      </w:r>
      <w:r>
        <w:rPr>
          <w:rFonts w:ascii="Times New Roman" w:hAnsi="Times New Roman"/>
          <w:color w:val="000000"/>
          <w:sz w:val="24"/>
        </w:rPr>
        <w:t>The remaining balance of any premium costs during the Non-Sale Event COBRA Contribution Period, and all premium costs</w:t>
      </w:r>
      <w:r>
        <w:rPr>
          <w:color w:val="000000"/>
        </w:rPr>
        <w:t xml:space="preserve"> </w:t>
      </w:r>
      <w:r>
        <w:rPr>
          <w:rFonts w:ascii="Times New Roman" w:hAnsi="Times New Roman"/>
          <w:color w:val="000000"/>
          <w:sz w:val="24"/>
        </w:rPr>
        <w:t>thereafter,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paid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monthly</w:t>
      </w:r>
      <w:r>
        <w:rPr>
          <w:color w:val="000000"/>
        </w:rPr>
        <w:t xml:space="preserve"> </w:t>
      </w:r>
      <w:r>
        <w:rPr>
          <w:rFonts w:ascii="Times New Roman" w:hAnsi="Times New Roman"/>
          <w:color w:val="000000"/>
          <w:sz w:val="24"/>
        </w:rPr>
        <w:t>basis</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long</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 that, the Executive remains eligible for COBRA continuation.</w:t>
      </w:r>
      <w:r>
        <w:rPr>
          <w:color w:val="000000"/>
        </w:rPr>
        <w:t xml:space="preserve"> </w:t>
      </w:r>
      <w:r>
        <w:rPr>
          <w:rFonts w:ascii="Times New Roman" w:hAnsi="Times New Roman"/>
          <w:color w:val="000000"/>
          <w:sz w:val="24"/>
        </w:rPr>
        <w:t>The Executive agrees that, should the</w:t>
      </w:r>
      <w:r>
        <w:rPr>
          <w:color w:val="000000"/>
        </w:rPr>
        <w:t xml:space="preserve"> </w:t>
      </w:r>
      <w:r>
        <w:rPr>
          <w:rFonts w:ascii="Times New Roman" w:hAnsi="Times New Roman"/>
          <w:color w:val="000000"/>
          <w:sz w:val="24"/>
        </w:rPr>
        <w:t>Executive obtain alternative</w:t>
      </w:r>
      <w:r>
        <w:rPr>
          <w:color w:val="000000"/>
        </w:rPr>
        <w:t xml:space="preserve"> </w:t>
      </w:r>
      <w:r>
        <w:rPr>
          <w:rFonts w:ascii="Times New Roman" w:hAnsi="Times New Roman"/>
          <w:color w:val="000000"/>
          <w:sz w:val="24"/>
        </w:rPr>
        <w:t>medical and/or dental insurance coverage</w:t>
      </w:r>
      <w:r>
        <w:rPr>
          <w:color w:val="000000"/>
        </w:rPr>
        <w:t xml:space="preserve"> </w:t>
      </w:r>
      <w:r>
        <w:rPr>
          <w:rFonts w:ascii="Times New Roman" w:hAnsi="Times New Roman"/>
          <w:color w:val="000000"/>
          <w:sz w:val="24"/>
        </w:rPr>
        <w:t>prior</w:t>
      </w:r>
      <w:r>
        <w:rPr>
          <w:color w:val="000000"/>
        </w:rPr>
        <w:t xml:space="preserve"> </w:t>
      </w:r>
      <w:r>
        <w:rPr>
          <w:rFonts w:ascii="Times New Roman" w:hAnsi="Times New Roman"/>
          <w:color w:val="000000"/>
          <w:sz w:val="24"/>
        </w:rPr>
        <w:t>to 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that is six (6) months following the Date of Termination, the Executive will so inform the Company in writing</w:t>
      </w:r>
      <w:r>
        <w:rPr>
          <w:color w:val="000000"/>
        </w:rPr>
        <w:t xml:space="preserve"> </w:t>
      </w:r>
      <w:r>
        <w:rPr>
          <w:rFonts w:ascii="Times New Roman" w:hAnsi="Times New Roman"/>
          <w:color w:val="000000"/>
          <w:sz w:val="24"/>
        </w:rPr>
        <w:t>within</w:t>
      </w:r>
      <w:r>
        <w:rPr>
          <w:color w:val="000000"/>
        </w:rPr>
        <w:t xml:space="preserve"> </w:t>
      </w:r>
      <w:r>
        <w:rPr>
          <w:rFonts w:ascii="Times New Roman" w:hAnsi="Times New Roman"/>
          <w:color w:val="000000"/>
          <w:sz w:val="24"/>
        </w:rPr>
        <w:t>five</w:t>
      </w:r>
      <w:r>
        <w:rPr>
          <w:color w:val="000000"/>
        </w:rPr>
        <w:t xml:space="preserve"> </w:t>
      </w:r>
      <w:r>
        <w:rPr>
          <w:rFonts w:ascii="Times New Roman" w:hAnsi="Times New Roman"/>
          <w:color w:val="000000"/>
          <w:sz w:val="24"/>
        </w:rPr>
        <w:t>(5)</w:t>
      </w:r>
      <w:r>
        <w:rPr>
          <w:color w:val="000000"/>
        </w:rPr>
        <w:t xml:space="preserve"> </w:t>
      </w:r>
      <w:r>
        <w:rPr>
          <w:rFonts w:ascii="Times New Roman" w:hAnsi="Times New Roman"/>
          <w:color w:val="000000"/>
          <w:sz w:val="24"/>
        </w:rPr>
        <w:t>business</w:t>
      </w:r>
      <w:r>
        <w:rPr>
          <w:color w:val="000000"/>
        </w:rPr>
        <w:t xml:space="preserve"> </w:t>
      </w:r>
      <w:r>
        <w:rPr>
          <w:rFonts w:ascii="Times New Roman" w:hAnsi="Times New Roman"/>
          <w:color w:val="000000"/>
          <w:sz w:val="24"/>
        </w:rPr>
        <w:t>days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obtaining</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coverage.</w:t>
      </w:r>
      <w:r>
        <w:rPr>
          <w:color w:val="000000"/>
        </w:rPr>
        <w:t xml:space="preserve"> </w:t>
      </w:r>
      <w:r>
        <w:rPr>
          <w:rFonts w:ascii="Times New Roman" w:hAnsi="Times New Roman"/>
          <w:color w:val="000000"/>
          <w:sz w:val="24"/>
        </w:rPr>
        <w:t>Notwithstanding</w:t>
      </w:r>
      <w:r>
        <w:rPr>
          <w:color w:val="000000"/>
        </w:rPr>
        <w:t xml:space="preserve"> </w:t>
      </w:r>
      <w:r>
        <w:rPr>
          <w:rFonts w:ascii="Times New Roman" w:hAnsi="Times New Roman"/>
          <w:color w:val="000000"/>
          <w:sz w:val="24"/>
        </w:rPr>
        <w:t>anything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contrary</w:t>
      </w:r>
      <w:r>
        <w:rPr>
          <w:color w:val="000000"/>
        </w:rPr>
        <w:t xml:space="preserve"> </w:t>
      </w:r>
      <w:r>
        <w:rPr>
          <w:rFonts w:ascii="Times New Roman" w:hAnsi="Times New Roman"/>
          <w:color w:val="000000"/>
          <w:sz w:val="24"/>
        </w:rPr>
        <w:t>herein,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amounts</w:t>
      </w:r>
      <w:r>
        <w:rPr>
          <w:color w:val="000000"/>
        </w:rPr>
        <w:t xml:space="preserve"> </w:t>
      </w:r>
      <w:r>
        <w:rPr>
          <w:rFonts w:ascii="Times New Roman" w:hAnsi="Times New Roman"/>
          <w:color w:val="000000"/>
          <w:sz w:val="24"/>
        </w:rPr>
        <w:t>described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7(c) would</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penalty</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ACA</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105(h),</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applicable regulations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guidance</w:t>
      </w:r>
      <w:r>
        <w:rPr>
          <w:color w:val="000000"/>
        </w:rPr>
        <w:t xml:space="preserve"> </w:t>
      </w:r>
      <w:r>
        <w:rPr>
          <w:rFonts w:ascii="Times New Roman" w:hAnsi="Times New Roman"/>
          <w:color w:val="000000"/>
          <w:sz w:val="24"/>
        </w:rPr>
        <w:t>issued</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ACA</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105(h),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 agree to work together in good faith to restructure such benefit.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720"/>
        <w:jc w:val="both"/>
        <w:rPr>
          <w:rFonts w:ascii="Times New Roman" w:hAnsi="Times New Roman"/>
          <w:sz w:val="20"/>
        </w:rPr>
      </w:pPr>
      <w:bookmarkStart w:id="31" w:name="the_amounts_payable_under_section_7_a__a"/>
      <w:bookmarkEnd w:id="31"/>
      <w:r>
        <w:rPr>
          <w:rFonts w:ascii="Times New Roman" w:hAnsi="Times New Roman"/>
          <w:color w:val="000000"/>
          <w:sz w:val="24"/>
        </w:rPr>
        <w:t>The amounts payable under Section</w:t>
      </w:r>
      <w:r>
        <w:rPr>
          <w:rFonts w:ascii="Times New Roman" w:hAnsi="Times New Roman"/>
          <w:color w:val="000000"/>
          <w:sz w:val="20"/>
        </w:rPr>
        <w:t xml:space="preserve"> </w:t>
      </w:r>
      <w:r>
        <w:rPr>
          <w:rFonts w:ascii="Times New Roman" w:hAnsi="Times New Roman"/>
          <w:color w:val="000000"/>
          <w:sz w:val="24"/>
        </w:rPr>
        <w:t>7(a) and 7(b) shall be paid out in substantially equal installments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accordance</w:t>
      </w:r>
      <w:r>
        <w:rPr>
          <w:rFonts w:ascii="Times New Roman" w:hAnsi="Times New Roman"/>
          <w:color w:val="000000"/>
          <w:sz w:val="20"/>
        </w:rPr>
        <w:t xml:space="preserve"> </w:t>
      </w:r>
      <w:r>
        <w:rPr>
          <w:rFonts w:ascii="Times New Roman" w:hAnsi="Times New Roman"/>
          <w:color w:val="000000"/>
          <w:sz w:val="24"/>
        </w:rPr>
        <w:t>with</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payroll</w:t>
      </w:r>
      <w:r>
        <w:rPr>
          <w:rFonts w:ascii="Times New Roman" w:hAnsi="Times New Roman"/>
          <w:color w:val="000000"/>
          <w:sz w:val="20"/>
        </w:rPr>
        <w:t xml:space="preserve"> </w:t>
      </w:r>
      <w:r>
        <w:rPr>
          <w:rFonts w:ascii="Times New Roman" w:hAnsi="Times New Roman"/>
          <w:color w:val="000000"/>
          <w:sz w:val="24"/>
        </w:rPr>
        <w:t>practice</w:t>
      </w:r>
      <w:r>
        <w:rPr>
          <w:rFonts w:ascii="Times New Roman" w:hAnsi="Times New Roman"/>
          <w:color w:val="000000"/>
          <w:sz w:val="20"/>
        </w:rPr>
        <w:t xml:space="preserve"> </w:t>
      </w:r>
      <w:r>
        <w:rPr>
          <w:rFonts w:ascii="Times New Roman" w:hAnsi="Times New Roman"/>
          <w:color w:val="000000"/>
          <w:sz w:val="24"/>
        </w:rPr>
        <w:t>over</w:t>
      </w:r>
      <w:r>
        <w:rPr>
          <w:rFonts w:ascii="Times New Roman" w:hAnsi="Times New Roman"/>
          <w:color w:val="000000"/>
          <w:sz w:val="20"/>
        </w:rPr>
        <w:t xml:space="preserve"> </w:t>
      </w:r>
      <w:r>
        <w:rPr>
          <w:rFonts w:ascii="Times New Roman" w:hAnsi="Times New Roman"/>
          <w:color w:val="000000"/>
          <w:sz w:val="24"/>
        </w:rPr>
        <w:t>six</w:t>
      </w:r>
      <w:r>
        <w:rPr>
          <w:rFonts w:ascii="Times New Roman" w:hAnsi="Times New Roman"/>
          <w:color w:val="000000"/>
          <w:sz w:val="20"/>
        </w:rPr>
        <w:t xml:space="preserve"> </w:t>
      </w: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months</w:t>
      </w:r>
      <w:r>
        <w:rPr>
          <w:rFonts w:ascii="Times New Roman" w:hAnsi="Times New Roman"/>
          <w:color w:val="000000"/>
          <w:sz w:val="20"/>
        </w:rPr>
        <w:t xml:space="preserve"> </w:t>
      </w:r>
      <w:r>
        <w:rPr>
          <w:rFonts w:ascii="Times New Roman" w:hAnsi="Times New Roman"/>
          <w:color w:val="000000"/>
          <w:sz w:val="24"/>
        </w:rPr>
        <w:t>commencing within sixty (60) days after the Date of Termination (but no sooner than the Release Effective Date);</w:t>
      </w:r>
      <w:r>
        <w:rPr>
          <w:rFonts w:ascii="Times New Roman" w:hAnsi="Times New Roman"/>
          <w:color w:val="000000"/>
          <w:sz w:val="20"/>
        </w:rPr>
        <w:t xml:space="preserve"> </w:t>
      </w:r>
      <w:r>
        <w:rPr>
          <w:rFonts w:ascii="Times New Roman" w:hAnsi="Times New Roman"/>
          <w:color w:val="000000"/>
          <w:sz w:val="24"/>
        </w:rPr>
        <w:t>provided,</w:t>
      </w:r>
      <w:r>
        <w:rPr>
          <w:rFonts w:ascii="Times New Roman" w:hAnsi="Times New Roman"/>
          <w:color w:val="000000"/>
          <w:sz w:val="20"/>
        </w:rPr>
        <w:t xml:space="preserve"> </w:t>
      </w:r>
      <w:r>
        <w:rPr>
          <w:rFonts w:ascii="Times New Roman" w:hAnsi="Times New Roman"/>
          <w:color w:val="000000"/>
          <w:sz w:val="24"/>
        </w:rPr>
        <w:t>however,</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sixty</w:t>
      </w:r>
      <w:r>
        <w:rPr>
          <w:rFonts w:ascii="Times New Roman" w:hAnsi="Times New Roman"/>
          <w:color w:val="000000"/>
          <w:sz w:val="20"/>
        </w:rPr>
        <w:t xml:space="preserve"> </w:t>
      </w:r>
      <w:r>
        <w:rPr>
          <w:rFonts w:ascii="Times New Roman" w:hAnsi="Times New Roman"/>
          <w:color w:val="000000"/>
          <w:sz w:val="24"/>
        </w:rPr>
        <w:t>(60)</w:t>
      </w:r>
      <w:r>
        <w:rPr>
          <w:rFonts w:ascii="Times New Roman" w:hAnsi="Times New Roman"/>
          <w:color w:val="000000"/>
          <w:sz w:val="20"/>
        </w:rPr>
        <w:t xml:space="preserve"> </w:t>
      </w:r>
      <w:r>
        <w:rPr>
          <w:rFonts w:ascii="Times New Roman" w:hAnsi="Times New Roman"/>
          <w:color w:val="000000"/>
          <w:sz w:val="24"/>
        </w:rPr>
        <w:t>day</w:t>
      </w:r>
      <w:r>
        <w:rPr>
          <w:rFonts w:ascii="Times New Roman" w:hAnsi="Times New Roman"/>
          <w:color w:val="000000"/>
          <w:sz w:val="20"/>
        </w:rPr>
        <w:t xml:space="preserve"> </w:t>
      </w:r>
      <w:r>
        <w:rPr>
          <w:rFonts w:ascii="Times New Roman" w:hAnsi="Times New Roman"/>
          <w:color w:val="000000"/>
          <w:sz w:val="24"/>
        </w:rPr>
        <w:t>period</w:t>
      </w:r>
      <w:r>
        <w:rPr>
          <w:rFonts w:ascii="Times New Roman" w:hAnsi="Times New Roman"/>
          <w:color w:val="000000"/>
          <w:sz w:val="20"/>
        </w:rPr>
        <w:t xml:space="preserve"> </w:t>
      </w:r>
      <w:r>
        <w:rPr>
          <w:rFonts w:ascii="Times New Roman" w:hAnsi="Times New Roman"/>
          <w:color w:val="000000"/>
          <w:sz w:val="24"/>
        </w:rPr>
        <w:t>begins</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one</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ends</w:t>
      </w:r>
      <w:r>
        <w:rPr>
          <w:rFonts w:ascii="Times New Roman" w:hAnsi="Times New Roman"/>
          <w:color w:val="000000"/>
          <w:sz w:val="20"/>
        </w:rPr>
        <w:t xml:space="preserve"> </w:t>
      </w:r>
      <w:r>
        <w:rPr>
          <w:rFonts w:ascii="Times New Roman" w:hAnsi="Times New Roman"/>
          <w:color w:val="000000"/>
          <w:sz w:val="24"/>
        </w:rPr>
        <w:t>in a</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severance</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begin</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paid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second</w:t>
      </w:r>
      <w:r>
        <w:rPr>
          <w:rFonts w:ascii="Times New Roman" w:hAnsi="Times New Roman"/>
          <w:color w:val="000000"/>
          <w:sz w:val="20"/>
        </w:rPr>
        <w:t xml:space="preserve"> </w:t>
      </w:r>
      <w:r>
        <w:rPr>
          <w:rFonts w:ascii="Times New Roman" w:hAnsi="Times New Roman"/>
          <w:color w:val="000000"/>
          <w:sz w:val="24"/>
        </w:rPr>
        <w:t>calendar</w:t>
      </w:r>
      <w:r>
        <w:rPr>
          <w:rFonts w:ascii="Times New Roman" w:hAnsi="Times New Roman"/>
          <w:color w:val="000000"/>
          <w:sz w:val="20"/>
        </w:rPr>
        <w:t xml:space="preserve"> </w:t>
      </w:r>
      <w:r>
        <w:rPr>
          <w:rFonts w:ascii="Times New Roman" w:hAnsi="Times New Roman"/>
          <w:color w:val="000000"/>
          <w:sz w:val="24"/>
        </w:rPr>
        <w:t>year</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last day of such sixty (60) day period.</w:t>
      </w:r>
      <w:r>
        <w:rPr>
          <w:rFonts w:ascii="Times New Roman" w:hAnsi="Times New Roman"/>
          <w:color w:val="000000"/>
          <w:sz w:val="20"/>
        </w:rPr>
        <w:t xml:space="preserve"> </w:t>
      </w:r>
      <w:r>
        <w:rPr>
          <w:rFonts w:ascii="Times New Roman" w:hAnsi="Times New Roman"/>
          <w:color w:val="000000"/>
          <w:sz w:val="24"/>
        </w:rPr>
        <w:t>Each payment pursuant to this Agreement is intended to constitute a separate payment for purposes of Treasury Regulation Section 1.409A-2(b)(2).</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60" w:firstLine="720"/>
        <w:jc w:val="both"/>
        <w:rPr>
          <w:rFonts w:ascii="Times New Roman" w:hAnsi="Times New Roman"/>
          <w:b/>
          <w:color w:val="000000"/>
          <w:sz w:val="24"/>
        </w:rPr>
      </w:pPr>
      <w:r>
        <w:rPr>
          <w:rFonts w:ascii="Times New Roman" w:hAnsi="Times New Roman"/>
          <w:b/>
          <w:color w:val="000000"/>
          <w:sz w:val="24"/>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4"/>
          <w:u w:val="single"/>
        </w:rPr>
        <w:t>Confidentiality, Non-Solicitation, Non-Competition and Invention Assignment</w:t>
      </w:r>
      <w:r>
        <w:rPr>
          <w:color w:val="000000"/>
        </w:rPr>
        <w:t xml:space="preserve"> </w:t>
      </w:r>
      <w:r>
        <w:rPr>
          <w:rFonts w:ascii="Times New Roman" w:hAnsi="Times New Roman"/>
          <w:b/>
          <w:color w:val="000000"/>
          <w:sz w:val="24"/>
          <w:u w:val="single"/>
        </w:rPr>
        <w:t>Agreement</w:t>
      </w:r>
      <w:r>
        <w:rPr>
          <w:rFonts w:ascii="Times New Roman" w:hAnsi="Times New Roman"/>
          <w:color w:val="000000"/>
          <w:sz w:val="24"/>
        </w:rPr>
        <w:t>.</w:t>
      </w:r>
      <w:r>
        <w:rPr>
          <w:color w:val="000000"/>
        </w:rPr>
        <w:t xml:space="preserve"> </w:t>
      </w:r>
      <w:r>
        <w:rPr>
          <w:rFonts w:ascii="Times New Roman" w:hAnsi="Times New Roman"/>
          <w:color w:val="000000"/>
          <w:sz w:val="24"/>
        </w:rPr>
        <w:t>The Executive acknowledges and agrees that the Executive must, as a condition of 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execute,</w:t>
      </w:r>
      <w:r>
        <w:rPr>
          <w:color w:val="000000"/>
        </w:rPr>
        <w:t xml:space="preserve"> </w:t>
      </w:r>
      <w:r>
        <w:rPr>
          <w:rFonts w:ascii="Times New Roman" w:hAnsi="Times New Roman"/>
          <w:color w:val="000000"/>
          <w:sz w:val="24"/>
        </w:rPr>
        <w:t>no</w:t>
      </w:r>
      <w:r>
        <w:rPr>
          <w:color w:val="000000"/>
        </w:rPr>
        <w:t xml:space="preserve"> </w:t>
      </w:r>
      <w:r>
        <w:rPr>
          <w:rFonts w:ascii="Times New Roman" w:hAnsi="Times New Roman"/>
          <w:color w:val="000000"/>
          <w:sz w:val="24"/>
        </w:rPr>
        <w:t>later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Commencement</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 xml:space="preserve">Confidentiality Agreement attached hereto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indicating the Executive’s agreement to all of the Executive’s obligations thereunder. The Executive further acknowledges that the Executive’s receipt of the grant of the Option Award and RSU Award as set forth in Section 3(c) above and the Signing Bonus as set forth in 3(e) above is contingent on the Executive’s agreement to the post-employment non-competition provisions set forth in the Confidentiality Agreement. The Executive further acknowledges that such consideration was mutually agreed upon by the Executive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fair</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exchange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compliance with such non-competition obligations.</w:t>
      </w:r>
      <w:r>
        <w:rPr>
          <w:color w:val="000000"/>
        </w:rPr>
        <w:t xml:space="preserve"> </w:t>
      </w:r>
      <w:r>
        <w:rPr>
          <w:rFonts w:ascii="Times New Roman" w:hAnsi="Times New Roman"/>
          <w:color w:val="000000"/>
          <w:sz w:val="24"/>
        </w:rPr>
        <w:t>The terms of the Confidentiality Agreement are incorporated by reference in this Agreement and the Executive hereby reaffirms the terms of the Confidentiality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material</w:t>
      </w:r>
      <w:r>
        <w:rPr>
          <w:color w:val="000000"/>
        </w:rPr>
        <w:t xml:space="preserve"> </w:t>
      </w:r>
      <w:r>
        <w:rPr>
          <w:rFonts w:ascii="Times New Roman" w:hAnsi="Times New Roman"/>
          <w:color w:val="000000"/>
          <w:sz w:val="24"/>
        </w:rPr>
        <w:t>term</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further</w:t>
      </w:r>
      <w:r>
        <w:rPr>
          <w:color w:val="000000"/>
        </w:rPr>
        <w:t xml:space="preserve"> </w:t>
      </w:r>
      <w:r>
        <w:rPr>
          <w:rFonts w:ascii="Times New Roman" w:hAnsi="Times New Roman"/>
          <w:color w:val="000000"/>
          <w:sz w:val="24"/>
        </w:rPr>
        <w:t>represents 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obligation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former</w:t>
      </w:r>
      <w:r>
        <w:rPr>
          <w:color w:val="000000"/>
        </w:rPr>
        <w:t xml:space="preserve"> </w:t>
      </w:r>
      <w:r>
        <w:rPr>
          <w:rFonts w:ascii="Times New Roman" w:hAnsi="Times New Roman"/>
          <w:color w:val="000000"/>
          <w:sz w:val="24"/>
        </w:rPr>
        <w:t>employer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entity which</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does</w:t>
      </w:r>
      <w:r>
        <w:rPr>
          <w:color w:val="000000"/>
        </w:rPr>
        <w:t xml:space="preserve"> </w:t>
      </w:r>
      <w:r>
        <w:rPr>
          <w:rFonts w:ascii="Times New Roman" w:hAnsi="Times New Roman"/>
          <w:color w:val="000000"/>
          <w:sz w:val="24"/>
        </w:rPr>
        <w:t>prevent,</w:t>
      </w:r>
      <w:r>
        <w:rPr>
          <w:color w:val="000000"/>
        </w:rPr>
        <w:t xml:space="preserve"> </w:t>
      </w:r>
      <w:r>
        <w:rPr>
          <w:rFonts w:ascii="Times New Roman" w:hAnsi="Times New Roman"/>
          <w:color w:val="000000"/>
          <w:sz w:val="24"/>
        </w:rPr>
        <w:t>limit,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impair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way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performance</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Executive’s duties pursuant to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0" w:hanging="0"/>
        <w:jc w:val="left"/>
        <w:rPr>
          <w:rFonts w:ascii="Times New Roman" w:hAnsi="Times New Roman"/>
          <w:b/>
          <w:color w:val="000000"/>
          <w:sz w:val="24"/>
        </w:rPr>
      </w:pPr>
      <w:r>
        <w:rPr>
          <w:rFonts w:ascii="Times New Roman" w:hAnsi="Times New Roman"/>
          <w:b/>
          <w:color w:val="000000"/>
          <w:sz w:val="24"/>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Additional</w:t>
      </w:r>
      <w:r>
        <w:rPr>
          <w:color w:val="000000"/>
          <w:u w:val="single"/>
        </w:rPr>
        <w:t xml:space="preserve"> </w:t>
      </w:r>
      <w:r>
        <w:rPr>
          <w:rFonts w:ascii="Times New Roman" w:hAnsi="Times New Roman"/>
          <w:b/>
          <w:color w:val="000000"/>
          <w:sz w:val="24"/>
          <w:u w:val="single"/>
        </w:rPr>
        <w:t>Limitation.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241" w:after="283"/>
        <w:jc w:val="both"/>
        <w:rPr/>
      </w:pPr>
      <w:r>
        <w:rPr>
          <w:rFonts w:ascii="Times New Roman" w:hAnsi="Times New Roman"/>
          <w:color w:val="000000"/>
          <w:sz w:val="24"/>
        </w:rPr>
        <w:t>Anything in this Agreement to the contrary notwithstanding, in the event that the amount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distribution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benefit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 Executive, whether paid or payable or distributed or distributable pursuant to the terms of this 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calculated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consistent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280G</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applicable</w:t>
      </w:r>
      <w:r>
        <w:rPr>
          <w:color w:val="000000"/>
        </w:rPr>
        <w:t xml:space="preserve"> </w:t>
      </w:r>
      <w:r>
        <w:rPr>
          <w:rFonts w:ascii="Times New Roman" w:hAnsi="Times New Roman"/>
          <w:color w:val="000000"/>
          <w:sz w:val="24"/>
        </w:rPr>
        <w:t>regulations</w:t>
      </w:r>
      <w:r>
        <w:rPr>
          <w:color w:val="000000"/>
        </w:rPr>
        <w:t xml:space="preserve"> </w:t>
      </w:r>
      <w:r>
        <w:rPr>
          <w:rFonts w:ascii="Times New Roman" w:hAnsi="Times New Roman"/>
          <w:color w:val="000000"/>
          <w:sz w:val="24"/>
        </w:rPr>
        <w:t>thereunder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Aggregate Payments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excise</w:t>
      </w:r>
      <w:r>
        <w:rPr>
          <w:color w:val="000000"/>
        </w:rPr>
        <w:t xml:space="preserve"> </w:t>
      </w:r>
      <w:r>
        <w:rPr>
          <w:rFonts w:ascii="Times New Roman" w:hAnsi="Times New Roman"/>
          <w:color w:val="000000"/>
          <w:sz w:val="24"/>
        </w:rPr>
        <w:t>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only</w:t>
      </w:r>
      <w:r>
        <w:rPr>
          <w:color w:val="000000"/>
        </w:rPr>
        <w:t xml:space="preserve"> </w:t>
      </w:r>
      <w:r>
        <w:rPr>
          <w:rFonts w:ascii="Times New Roman" w:hAnsi="Times New Roman"/>
          <w:color w:val="000000"/>
          <w:sz w:val="24"/>
        </w:rPr>
        <w:t>occur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it</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result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receiving</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higher After</w:t>
      </w:r>
      <w:r>
        <w:rPr>
          <w:color w:val="000000"/>
        </w:rPr>
        <w:t xml:space="preserve"> </w:t>
      </w:r>
      <w:r>
        <w:rPr>
          <w:rFonts w:ascii="Times New Roman" w:hAnsi="Times New Roman"/>
          <w:color w:val="000000"/>
          <w:sz w:val="24"/>
        </w:rPr>
        <w:t>Tax</w:t>
      </w:r>
      <w:r>
        <w:rPr>
          <w:color w:val="000000"/>
        </w:rPr>
        <w:t xml:space="preserve"> </w:t>
      </w:r>
      <w:r>
        <w:rPr>
          <w:rFonts w:ascii="Times New Roman" w:hAnsi="Times New Roman"/>
          <w:color w:val="000000"/>
          <w:sz w:val="24"/>
        </w:rPr>
        <w:t>Amount</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defined</w:t>
      </w:r>
      <w:r>
        <w:rPr>
          <w:color w:val="000000"/>
        </w:rPr>
        <w:t xml:space="preserve"> </w:t>
      </w:r>
      <w:r>
        <w:rPr>
          <w:rFonts w:ascii="Times New Roman" w:hAnsi="Times New Roman"/>
          <w:color w:val="000000"/>
          <w:sz w:val="24"/>
        </w:rPr>
        <w:t>below)</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would</w:t>
      </w:r>
      <w:r>
        <w:rPr>
          <w:color w:val="000000"/>
        </w:rPr>
        <w:t xml:space="preserve"> </w:t>
      </w:r>
      <w:r>
        <w:rPr>
          <w:rFonts w:ascii="Times New Roman" w:hAnsi="Times New Roman"/>
          <w:color w:val="000000"/>
          <w:sz w:val="24"/>
        </w:rPr>
        <w:t>receive</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Aggregate</w:t>
      </w:r>
      <w:r>
        <w:rPr>
          <w:color w:val="000000"/>
        </w:rPr>
        <w:t xml:space="preserve"> </w:t>
      </w:r>
      <w:r>
        <w:rPr>
          <w:rFonts w:ascii="Times New Roman" w:hAnsi="Times New Roman"/>
          <w:color w:val="000000"/>
          <w:sz w:val="24"/>
        </w:rPr>
        <w:t>Payments were</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reduction.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event,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Aggregate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reduced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 following order, in each case, in reverse chronological order beginning with the Aggregate Payments that are to be paid the furthest in time from consummation of the transaction that is 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280G</w:t>
      </w:r>
      <w:r>
        <w:rPr>
          <w:color w:val="000000"/>
        </w:rPr>
        <w:t xml:space="preserve"> </w:t>
      </w:r>
      <w:r>
        <w:rPr>
          <w:rFonts w:ascii="Times New Roman" w:hAnsi="Times New Roman"/>
          <w:color w:val="000000"/>
          <w:sz w:val="24"/>
        </w:rPr>
        <w:t>of the Code:</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cash payments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 of the Code;</w:t>
      </w:r>
    </w:p>
    <w:p>
      <w:pPr>
        <w:pStyle w:val="TextBody"/>
        <w:bidi w:val="0"/>
        <w:ind w:left="359" w:right="359" w:hanging="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cash payments subject to Section 409A of the Code; (iii)</w:t>
      </w:r>
      <w:r>
        <w:rPr>
          <w:rFonts w:ascii="Times New Roman" w:hAnsi="Times New Roman"/>
          <w:color w:val="000000"/>
          <w:sz w:val="20"/>
        </w:rPr>
        <w:t xml:space="preserve"> </w:t>
      </w:r>
      <w:r>
        <w:rPr>
          <w:rFonts w:ascii="Times New Roman" w:hAnsi="Times New Roman"/>
          <w:color w:val="000000"/>
          <w:sz w:val="24"/>
        </w:rPr>
        <w:t>equity-based payments and acceleration; and (iv)</w:t>
      </w:r>
      <w:r>
        <w:rPr>
          <w:rFonts w:ascii="Times New Roman" w:hAnsi="Times New Roman"/>
          <w:color w:val="000000"/>
          <w:sz w:val="20"/>
        </w:rPr>
        <w:t xml:space="preserve"> </w:t>
      </w:r>
      <w:r>
        <w:rPr>
          <w:rFonts w:ascii="Times New Roman" w:hAnsi="Times New Roman"/>
          <w:color w:val="000000"/>
          <w:sz w:val="24"/>
        </w:rPr>
        <w:t>non-cash forms of benefits; provided that in the case of all the foregoing Aggregate</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all</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payments</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not</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calculation</w:t>
      </w:r>
      <w:r>
        <w:rPr>
          <w:rFonts w:ascii="Times New Roman" w:hAnsi="Times New Roman"/>
          <w:color w:val="000000"/>
          <w:sz w:val="20"/>
        </w:rPr>
        <w:t xml:space="preserve"> </w:t>
      </w:r>
      <w:r>
        <w:rPr>
          <w:rFonts w:ascii="Times New Roman" w:hAnsi="Times New Roman"/>
          <w:color w:val="000000"/>
          <w:sz w:val="24"/>
        </w:rPr>
        <w:t>under</w:t>
      </w:r>
      <w:r>
        <w:rPr>
          <w:rFonts w:ascii="Times New Roman" w:hAnsi="Times New Roman"/>
          <w:color w:val="000000"/>
          <w:sz w:val="20"/>
        </w:rPr>
        <w:t xml:space="preserve"> </w:t>
      </w:r>
      <w:r>
        <w:rPr>
          <w:rFonts w:ascii="Times New Roman" w:hAnsi="Times New Roman"/>
          <w:color w:val="000000"/>
          <w:sz w:val="24"/>
        </w:rPr>
        <w:t>Treas.</w:t>
      </w:r>
      <w:r>
        <w:rPr>
          <w:rFonts w:ascii="Times New Roman" w:hAnsi="Times New Roman"/>
          <w:color w:val="000000"/>
          <w:sz w:val="20"/>
        </w:rPr>
        <w:t xml:space="preserve"> </w:t>
      </w:r>
      <w:r>
        <w:rPr>
          <w:rFonts w:ascii="Times New Roman" w:hAnsi="Times New Roman"/>
          <w:color w:val="000000"/>
          <w:sz w:val="24"/>
        </w:rPr>
        <w:t>Reg.</w:t>
      </w:r>
    </w:p>
    <w:p>
      <w:pPr>
        <w:pStyle w:val="TextBody"/>
        <w:bidi w:val="0"/>
        <w:ind w:left="359" w:right="360" w:hanging="0"/>
        <w:jc w:val="both"/>
        <w:rPr>
          <w:rFonts w:ascii="Times New Roman" w:hAnsi="Times New Roman"/>
          <w:sz w:val="20"/>
        </w:rPr>
      </w:pPr>
      <w:r>
        <w:rPr>
          <w:rFonts w:ascii="Times New Roman" w:hAnsi="Times New Roman"/>
          <w:color w:val="000000"/>
          <w:sz w:val="24"/>
        </w:rPr>
        <w:t>§1.280G-1,</w:t>
      </w:r>
      <w:r>
        <w:rPr>
          <w:rFonts w:ascii="Times New Roman" w:hAnsi="Times New Roman"/>
          <w:color w:val="000000"/>
          <w:sz w:val="20"/>
        </w:rPr>
        <w:t xml:space="preserve"> </w:t>
      </w:r>
      <w:r>
        <w:rPr>
          <w:rFonts w:ascii="Times New Roman" w:hAnsi="Times New Roman"/>
          <w:color w:val="000000"/>
          <w:sz w:val="24"/>
        </w:rPr>
        <w:t>Q&amp;A-24(b) or</w:t>
      </w:r>
      <w:r>
        <w:rPr>
          <w:rFonts w:ascii="Times New Roman" w:hAnsi="Times New Roman"/>
          <w:color w:val="000000"/>
          <w:sz w:val="20"/>
        </w:rPr>
        <w:t xml:space="preserve"> </w:t>
      </w: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 reduced before any</w:t>
      </w:r>
      <w:r>
        <w:rPr>
          <w:rFonts w:ascii="Times New Roman" w:hAnsi="Times New Roman"/>
          <w:color w:val="000000"/>
          <w:sz w:val="20"/>
        </w:rPr>
        <w:t xml:space="preserve"> </w:t>
      </w:r>
      <w:r>
        <w:rPr>
          <w:rFonts w:ascii="Times New Roman" w:hAnsi="Times New Roman"/>
          <w:color w:val="000000"/>
          <w:sz w:val="24"/>
        </w:rPr>
        <w:t>amounts</w:t>
      </w:r>
      <w:r>
        <w:rPr>
          <w:rFonts w:ascii="Times New Roman" w:hAnsi="Times New Roman"/>
          <w:color w:val="000000"/>
          <w:sz w:val="20"/>
        </w:rPr>
        <w:t xml:space="preserve"> </w:t>
      </w:r>
      <w:r>
        <w:rPr>
          <w:rFonts w:ascii="Times New Roman" w:hAnsi="Times New Roman"/>
          <w:color w:val="000000"/>
          <w:sz w:val="24"/>
        </w:rPr>
        <w:t>that are 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calculation under Treas. Reg. §1.280G-1, Q&amp;A-24(b) or (c).</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For purposes of this Section, the “</w:t>
      </w:r>
      <w:r>
        <w:rPr>
          <w:rFonts w:ascii="Times New Roman" w:hAnsi="Times New Roman"/>
          <w:color w:val="000000"/>
          <w:sz w:val="24"/>
          <w:u w:val="single"/>
        </w:rPr>
        <w:t>After Tax Amount</w:t>
      </w:r>
      <w:r>
        <w:rPr>
          <w:color w:val="000000"/>
        </w:rPr>
        <w:t xml:space="preserve">” </w:t>
      </w:r>
      <w:r>
        <w:rPr>
          <w:rFonts w:ascii="Times New Roman" w:hAnsi="Times New Roman"/>
          <w:color w:val="000000"/>
          <w:sz w:val="24"/>
        </w:rPr>
        <w:t>means the amount of the Aggregate Payments less all federal, state, and local income, excise and employment taxes imposed on the Executive as a result of the Executive’s receipt of the Aggregate Payments.</w:t>
      </w:r>
      <w:r>
        <w:rPr>
          <w:color w:val="000000"/>
        </w:rPr>
        <w:t xml:space="preserve"> </w:t>
      </w:r>
      <w:r>
        <w:rPr>
          <w:rFonts w:ascii="Times New Roman" w:hAnsi="Times New Roman"/>
          <w:color w:val="000000"/>
          <w:sz w:val="24"/>
        </w:rPr>
        <w:t>For purposes of determining the After Tax Amount, the Executive shall be deemed to pay federal income taxes at the highest marginal rate of federal income taxation applicable to individuals for the</w:t>
      </w:r>
      <w:r>
        <w:rPr>
          <w:color w:val="000000"/>
        </w:rPr>
        <w:t xml:space="preserve"> </w:t>
      </w:r>
      <w:r>
        <w:rPr>
          <w:rFonts w:ascii="Times New Roman" w:hAnsi="Times New Roman"/>
          <w:color w:val="000000"/>
          <w:sz w:val="24"/>
        </w:rPr>
        <w:t>calendar</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determination</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made,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w:t>
      </w:r>
      <w:r>
        <w:rPr>
          <w:color w:val="000000"/>
        </w:rPr>
        <w:t xml:space="preserve"> </w:t>
      </w:r>
      <w:r>
        <w:rPr>
          <w:rFonts w:ascii="Times New Roman" w:hAnsi="Times New Roman"/>
          <w:color w:val="000000"/>
          <w:sz w:val="24"/>
        </w:rPr>
        <w:t>income</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 highest</w:t>
      </w:r>
      <w:r>
        <w:rPr>
          <w:color w:val="000000"/>
        </w:rPr>
        <w:t xml:space="preserve"> </w:t>
      </w:r>
      <w:r>
        <w:rPr>
          <w:rFonts w:ascii="Times New Roman" w:hAnsi="Times New Roman"/>
          <w:color w:val="000000"/>
          <w:sz w:val="24"/>
        </w:rPr>
        <w:t>marginal</w:t>
      </w:r>
      <w:r>
        <w:rPr>
          <w:color w:val="000000"/>
        </w:rPr>
        <w:t xml:space="preserve"> </w:t>
      </w:r>
      <w:r>
        <w:rPr>
          <w:rFonts w:ascii="Times New Roman" w:hAnsi="Times New Roman"/>
          <w:color w:val="000000"/>
          <w:sz w:val="24"/>
        </w:rPr>
        <w:t>rates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individual</w:t>
      </w:r>
      <w:r>
        <w:rPr>
          <w:color w:val="000000"/>
        </w:rPr>
        <w:t xml:space="preserve"> </w:t>
      </w:r>
      <w:r>
        <w:rPr>
          <w:rFonts w:ascii="Times New Roman" w:hAnsi="Times New Roman"/>
          <w:color w:val="000000"/>
          <w:sz w:val="24"/>
        </w:rPr>
        <w:t>taxation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state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locality,</w:t>
      </w:r>
      <w:r>
        <w:rPr>
          <w:color w:val="000000"/>
        </w:rPr>
        <w:t xml:space="preserve"> </w:t>
      </w:r>
      <w:r>
        <w:rPr>
          <w:rFonts w:ascii="Times New Roman" w:hAnsi="Times New Roman"/>
          <w:color w:val="000000"/>
          <w:sz w:val="24"/>
        </w:rPr>
        <w:t>net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9" w:hanging="0"/>
        <w:jc w:val="left"/>
        <w:rPr>
          <w:rFonts w:ascii="Times New Roman" w:hAnsi="Times New Roman"/>
          <w:sz w:val="20"/>
        </w:rPr>
      </w:pPr>
      <w:r>
        <w:rPr>
          <w:rFonts w:ascii="Times New Roman" w:hAnsi="Times New Roman"/>
          <w:color w:val="000000"/>
          <w:sz w:val="24"/>
        </w:rPr>
        <w:t>maximum</w:t>
      </w:r>
      <w:r>
        <w:rPr>
          <w:rFonts w:ascii="Times New Roman" w:hAnsi="Times New Roman"/>
          <w:color w:val="000000"/>
          <w:sz w:val="20"/>
        </w:rPr>
        <w:t xml:space="preserve"> </w:t>
      </w:r>
      <w:r>
        <w:rPr>
          <w:rFonts w:ascii="Times New Roman" w:hAnsi="Times New Roman"/>
          <w:color w:val="000000"/>
          <w:sz w:val="24"/>
        </w:rPr>
        <w:t>reduction</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federal</w:t>
      </w:r>
      <w:r>
        <w:rPr>
          <w:rFonts w:ascii="Times New Roman" w:hAnsi="Times New Roman"/>
          <w:color w:val="000000"/>
          <w:sz w:val="20"/>
        </w:rPr>
        <w:t xml:space="preserve"> </w:t>
      </w:r>
      <w:r>
        <w:rPr>
          <w:rFonts w:ascii="Times New Roman" w:hAnsi="Times New Roman"/>
          <w:color w:val="000000"/>
          <w:sz w:val="24"/>
        </w:rPr>
        <w:t>income</w:t>
      </w:r>
      <w:r>
        <w:rPr>
          <w:rFonts w:ascii="Times New Roman" w:hAnsi="Times New Roman"/>
          <w:color w:val="000000"/>
          <w:sz w:val="20"/>
        </w:rPr>
        <w:t xml:space="preserve"> </w:t>
      </w:r>
      <w:r>
        <w:rPr>
          <w:rFonts w:ascii="Times New Roman" w:hAnsi="Times New Roman"/>
          <w:color w:val="000000"/>
          <w:sz w:val="24"/>
        </w:rPr>
        <w:t>taxes</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could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obtained</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deduction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state and local taxes.</w:t>
      </w:r>
    </w:p>
    <w:p>
      <w:pPr>
        <w:pStyle w:val="TextBody"/>
        <w:bidi w:val="0"/>
        <w:spacing w:before="240" w:after="283"/>
        <w:ind w:left="359" w:right="357" w:firstLine="720"/>
        <w:jc w:val="both"/>
        <w:rPr>
          <w:rFonts w:ascii="Times New Roman" w:hAnsi="Times New Roman"/>
          <w:sz w:val="20"/>
        </w:rPr>
      </w:pPr>
      <w:bookmarkStart w:id="32" w:name="the_determination_as_to_whether_a_reduct"/>
      <w:bookmarkEnd w:id="32"/>
      <w:r>
        <w:rPr>
          <w:rFonts w:ascii="Times New Roman" w:hAnsi="Times New Roman"/>
          <w:color w:val="000000"/>
          <w:sz w:val="24"/>
        </w:rPr>
        <w:t>The determination as to whether a reduction in the Aggregate Payments shall be made pursuant to this Section shall 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by a</w:t>
      </w:r>
      <w:r>
        <w:rPr>
          <w:rFonts w:ascii="Times New Roman" w:hAnsi="Times New Roman"/>
          <w:color w:val="000000"/>
          <w:sz w:val="20"/>
        </w:rPr>
        <w:t xml:space="preserve"> </w:t>
      </w:r>
      <w:r>
        <w:rPr>
          <w:rFonts w:ascii="Times New Roman" w:hAnsi="Times New Roman"/>
          <w:color w:val="000000"/>
          <w:sz w:val="24"/>
        </w:rPr>
        <w:t>nationally recognized accounting firm selected by the Company</w:t>
      </w:r>
      <w:r>
        <w:rPr>
          <w:rFonts w:ascii="Times New Roman" w:hAnsi="Times New Roman"/>
          <w:color w:val="000000"/>
          <w:sz w:val="20"/>
        </w:rPr>
        <w:t xml:space="preserve"> </w:t>
      </w:r>
      <w:r>
        <w:rPr>
          <w:rFonts w:ascii="Times New Roman" w:hAnsi="Times New Roman"/>
          <w:color w:val="000000"/>
          <w:sz w:val="24"/>
        </w:rPr>
        <w:t>prior</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Sale</w:t>
      </w:r>
      <w:r>
        <w:rPr>
          <w:rFonts w:ascii="Times New Roman" w:hAnsi="Times New Roman"/>
          <w:color w:val="000000"/>
          <w:sz w:val="20"/>
        </w:rPr>
        <w:t xml:space="preserve"> </w:t>
      </w:r>
      <w:r>
        <w:rPr>
          <w:rFonts w:ascii="Times New Roman" w:hAnsi="Times New Roman"/>
          <w:color w:val="000000"/>
          <w:sz w:val="24"/>
        </w:rPr>
        <w:t>Event</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u w:val="single"/>
        </w:rPr>
        <w:t>Accounting</w:t>
      </w:r>
      <w:r>
        <w:rPr>
          <w:rFonts w:ascii="Times New Roman" w:hAnsi="Times New Roman"/>
          <w:color w:val="000000"/>
          <w:sz w:val="20"/>
          <w:u w:val="single"/>
        </w:rPr>
        <w:t xml:space="preserve"> </w:t>
      </w:r>
      <w:r>
        <w:rPr>
          <w:rFonts w:ascii="Times New Roman" w:hAnsi="Times New Roman"/>
          <w:color w:val="000000"/>
          <w:sz w:val="24"/>
          <w:u w:val="single"/>
        </w:rPr>
        <w:t>Firm</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which</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provide</w:t>
      </w:r>
      <w:r>
        <w:rPr>
          <w:rFonts w:ascii="Times New Roman" w:hAnsi="Times New Roman"/>
          <w:color w:val="000000"/>
          <w:sz w:val="20"/>
        </w:rPr>
        <w:t xml:space="preserve"> </w:t>
      </w:r>
      <w:r>
        <w:rPr>
          <w:rFonts w:ascii="Times New Roman" w:hAnsi="Times New Roman"/>
          <w:color w:val="000000"/>
          <w:sz w:val="24"/>
        </w:rPr>
        <w:t>detailed</w:t>
      </w:r>
      <w:r>
        <w:rPr>
          <w:rFonts w:ascii="Times New Roman" w:hAnsi="Times New Roman"/>
          <w:color w:val="000000"/>
          <w:sz w:val="20"/>
        </w:rPr>
        <w:t xml:space="preserve"> </w:t>
      </w:r>
      <w:r>
        <w:rPr>
          <w:rFonts w:ascii="Times New Roman" w:hAnsi="Times New Roman"/>
          <w:color w:val="000000"/>
          <w:sz w:val="24"/>
        </w:rPr>
        <w:t>supporting calculations both to the</w:t>
      </w:r>
      <w:r>
        <w:rPr>
          <w:rFonts w:ascii="Times New Roman" w:hAnsi="Times New Roman"/>
          <w:color w:val="000000"/>
          <w:sz w:val="20"/>
        </w:rPr>
        <w:t xml:space="preserve"> </w:t>
      </w:r>
      <w:r>
        <w:rPr>
          <w:rFonts w:ascii="Times New Roman" w:hAnsi="Times New Roman"/>
          <w:color w:val="000000"/>
          <w:sz w:val="24"/>
        </w:rPr>
        <w:t>Company and the</w:t>
      </w:r>
      <w:r>
        <w:rPr>
          <w:rFonts w:ascii="Times New Roman" w:hAnsi="Times New Roman"/>
          <w:color w:val="000000"/>
          <w:sz w:val="20"/>
        </w:rPr>
        <w:t xml:space="preserve"> </w:t>
      </w:r>
      <w:r>
        <w:rPr>
          <w:rFonts w:ascii="Times New Roman" w:hAnsi="Times New Roman"/>
          <w:color w:val="000000"/>
          <w:sz w:val="24"/>
        </w:rPr>
        <w:t>Executive</w:t>
      </w:r>
      <w:r>
        <w:rPr>
          <w:rFonts w:ascii="Times New Roman" w:hAnsi="Times New Roman"/>
          <w:color w:val="000000"/>
          <w:sz w:val="20"/>
        </w:rPr>
        <w:t xml:space="preserve"> </w:t>
      </w:r>
      <w:r>
        <w:rPr>
          <w:rFonts w:ascii="Times New Roman" w:hAnsi="Times New Roman"/>
          <w:color w:val="000000"/>
          <w:sz w:val="24"/>
        </w:rPr>
        <w:t>within fifteen (15)</w:t>
      </w:r>
      <w:r>
        <w:rPr>
          <w:rFonts w:ascii="Times New Roman" w:hAnsi="Times New Roman"/>
          <w:color w:val="000000"/>
          <w:sz w:val="20"/>
        </w:rPr>
        <w:t xml:space="preserve"> </w:t>
      </w:r>
      <w:r>
        <w:rPr>
          <w:rFonts w:ascii="Times New Roman" w:hAnsi="Times New Roman"/>
          <w:color w:val="000000"/>
          <w:sz w:val="24"/>
        </w:rPr>
        <w:t>business days 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Date of</w:t>
      </w:r>
      <w:r>
        <w:rPr>
          <w:rFonts w:ascii="Times New Roman" w:hAnsi="Times New Roman"/>
          <w:color w:val="000000"/>
          <w:sz w:val="20"/>
        </w:rPr>
        <w:t xml:space="preserve"> </w:t>
      </w:r>
      <w:r>
        <w:rPr>
          <w:rFonts w:ascii="Times New Roman" w:hAnsi="Times New Roman"/>
          <w:color w:val="000000"/>
          <w:sz w:val="24"/>
        </w:rPr>
        <w:t>Termination,</w:t>
      </w:r>
      <w:r>
        <w:rPr>
          <w:rFonts w:ascii="Times New Roman" w:hAnsi="Times New Roman"/>
          <w:color w:val="000000"/>
          <w:sz w:val="20"/>
        </w:rPr>
        <w:t xml:space="preserve">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applicable,</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color w:val="000000"/>
          <w:sz w:val="24"/>
        </w:rPr>
        <w:t>at</w:t>
      </w:r>
      <w:r>
        <w:rPr>
          <w:rFonts w:ascii="Times New Roman" w:hAnsi="Times New Roman"/>
          <w:color w:val="000000"/>
          <w:sz w:val="20"/>
        </w:rPr>
        <w:t xml:space="preserve"> </w:t>
      </w:r>
      <w:r>
        <w:rPr>
          <w:rFonts w:ascii="Times New Roman" w:hAnsi="Times New Roman"/>
          <w:color w:val="000000"/>
          <w:sz w:val="24"/>
        </w:rPr>
        <w:t>such</w:t>
      </w:r>
      <w:r>
        <w:rPr>
          <w:rFonts w:ascii="Times New Roman" w:hAnsi="Times New Roman"/>
          <w:color w:val="000000"/>
          <w:sz w:val="20"/>
        </w:rPr>
        <w:t xml:space="preserve"> </w:t>
      </w:r>
      <w:r>
        <w:rPr>
          <w:rFonts w:ascii="Times New Roman" w:hAnsi="Times New Roman"/>
          <w:color w:val="000000"/>
          <w:sz w:val="24"/>
        </w:rPr>
        <w:t>earlier</w:t>
      </w:r>
      <w:r>
        <w:rPr>
          <w:rFonts w:ascii="Times New Roman" w:hAnsi="Times New Roman"/>
          <w:color w:val="000000"/>
          <w:sz w:val="20"/>
        </w:rPr>
        <w:t xml:space="preserve"> </w:t>
      </w:r>
      <w:r>
        <w:rPr>
          <w:rFonts w:ascii="Times New Roman" w:hAnsi="Times New Roman"/>
          <w:color w:val="000000"/>
          <w:sz w:val="24"/>
        </w:rPr>
        <w:t>time</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is</w:t>
      </w:r>
      <w:r>
        <w:rPr>
          <w:rFonts w:ascii="Times New Roman" w:hAnsi="Times New Roman"/>
          <w:color w:val="000000"/>
          <w:sz w:val="20"/>
        </w:rPr>
        <w:t xml:space="preserve"> </w:t>
      </w:r>
      <w:r>
        <w:rPr>
          <w:rFonts w:ascii="Times New Roman" w:hAnsi="Times New Roman"/>
          <w:color w:val="000000"/>
          <w:sz w:val="24"/>
        </w:rPr>
        <w:t>reasonably</w:t>
      </w:r>
      <w:r>
        <w:rPr>
          <w:rFonts w:ascii="Times New Roman" w:hAnsi="Times New Roman"/>
          <w:color w:val="000000"/>
          <w:sz w:val="20"/>
        </w:rPr>
        <w:t xml:space="preserve"> </w:t>
      </w:r>
      <w:r>
        <w:rPr>
          <w:rFonts w:ascii="Times New Roman" w:hAnsi="Times New Roman"/>
          <w:color w:val="000000"/>
          <w:sz w:val="24"/>
        </w:rPr>
        <w:t>requested</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w:t>
      </w:r>
      <w:r>
        <w:rPr>
          <w:rFonts w:ascii="Times New Roman" w:hAnsi="Times New Roman"/>
          <w:color w:val="000000"/>
          <w:sz w:val="20"/>
        </w:rPr>
        <w:t xml:space="preserve"> </w:t>
      </w:r>
      <w:r>
        <w:rPr>
          <w:rFonts w:ascii="Times New Roman" w:hAnsi="Times New Roman"/>
          <w:color w:val="000000"/>
          <w:sz w:val="24"/>
        </w:rPr>
        <w:t>or the Executive.</w:t>
      </w:r>
      <w:r>
        <w:rPr>
          <w:rFonts w:ascii="Times New Roman" w:hAnsi="Times New Roman"/>
          <w:color w:val="000000"/>
          <w:sz w:val="20"/>
        </w:rPr>
        <w:t xml:space="preserve"> </w:t>
      </w:r>
      <w:r>
        <w:rPr>
          <w:rFonts w:ascii="Times New Roman" w:hAnsi="Times New Roman"/>
          <w:color w:val="000000"/>
          <w:sz w:val="24"/>
        </w:rPr>
        <w:t>Any determination by the Accounting Firm shall be binding upon the Company and the Executive.</w:t>
      </w:r>
    </w:p>
    <w:p>
      <w:pPr>
        <w:pStyle w:val="TextBody"/>
        <w:bidi w:val="0"/>
        <w:spacing w:before="240" w:after="283"/>
        <w:ind w:left="1080" w:right="0" w:hanging="0"/>
        <w:jc w:val="left"/>
        <w:rPr>
          <w:rFonts w:ascii="Times New Roman" w:hAnsi="Times New Roman"/>
          <w:b/>
          <w:color w:val="000000"/>
          <w:sz w:val="24"/>
        </w:rPr>
      </w:pPr>
      <w:r>
        <w:rPr>
          <w:rFonts w:ascii="Times New Roman" w:hAnsi="Times New Roman"/>
          <w:b/>
          <w:color w:val="000000"/>
          <w:sz w:val="24"/>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Section</w:t>
      </w:r>
      <w:r>
        <w:rPr>
          <w:color w:val="000000"/>
          <w:u w:val="single"/>
        </w:rPr>
        <w:t xml:space="preserve"> </w:t>
      </w:r>
      <w:r>
        <w:rPr>
          <w:rFonts w:ascii="Times New Roman" w:hAnsi="Times New Roman"/>
          <w:b/>
          <w:color w:val="000000"/>
          <w:sz w:val="24"/>
          <w:u w:val="single"/>
        </w:rPr>
        <w:t>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Anything in this Agreement to the contrary notwithstanding, if at the time of the Executive’s “separation from service” within the meaning of Section 409A of the Code, the Company determines that the Executive is a “specified employee” within the meaning of Section 409A(a)(2)(B)(i)</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then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benefit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becomes entitled to under this Agreement on account of the Executive’s separation from service would be considered deferred compensation subject to the twenty percent (20%) additional tax imposed 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result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409A(a)(2)(B)(i) of the Code, such payment shall not be payable and such benefit shall not be provided until the date that is the earlier of (i)</w:t>
      </w:r>
      <w:r>
        <w:rPr>
          <w:color w:val="000000"/>
        </w:rPr>
        <w:t xml:space="preserve"> </w:t>
      </w:r>
      <w:r>
        <w:rPr>
          <w:rFonts w:ascii="Times New Roman" w:hAnsi="Times New Roman"/>
          <w:color w:val="000000"/>
          <w:sz w:val="24"/>
        </w:rPr>
        <w:t>six (6) months and one (1) day after the Executive’s separation from service, or (ii) the Executive’s death.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The parties intend that this Agreement will be administered in accordance with 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extent</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ambiguous</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to its</w:t>
      </w:r>
      <w:r>
        <w:rPr>
          <w:color w:val="000000"/>
        </w:rPr>
        <w:t xml:space="preserve"> </w:t>
      </w:r>
      <w:r>
        <w:rPr>
          <w:rFonts w:ascii="Times New Roman" w:hAnsi="Times New Roman"/>
          <w:color w:val="000000"/>
          <w:sz w:val="24"/>
        </w:rPr>
        <w:t>compliance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read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manner</w:t>
      </w:r>
      <w:r>
        <w:rPr>
          <w:color w:val="000000"/>
        </w:rPr>
        <w:t xml:space="preserve"> </w:t>
      </w:r>
      <w:r>
        <w:rPr>
          <w:rFonts w:ascii="Times New Roman" w:hAnsi="Times New Roman"/>
          <w:color w:val="000000"/>
          <w:sz w:val="24"/>
        </w:rPr>
        <w:t>so</w:t>
      </w:r>
      <w:r>
        <w:rPr>
          <w:color w:val="000000"/>
        </w:rPr>
        <w:t xml:space="preserve"> </w:t>
      </w:r>
      <w:r>
        <w:rPr>
          <w:rFonts w:ascii="Times New Roman" w:hAnsi="Times New Roman"/>
          <w:color w:val="000000"/>
          <w:sz w:val="24"/>
        </w:rPr>
        <w:t>that all payments hereunder comply with Section 409A of the Code.</w:t>
      </w:r>
      <w:r>
        <w:rPr>
          <w:color w:val="000000"/>
        </w:rPr>
        <w:t xml:space="preserve"> </w:t>
      </w:r>
      <w:r>
        <w:rPr>
          <w:rFonts w:ascii="Times New Roman" w:hAnsi="Times New Roman"/>
          <w:color w:val="000000"/>
          <w:sz w:val="24"/>
        </w:rPr>
        <w:t>Each payment hereunder that is paid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instalment</w:t>
      </w:r>
      <w:r>
        <w:rPr>
          <w:color w:val="000000"/>
        </w:rPr>
        <w:t xml:space="preserve"> </w:t>
      </w:r>
      <w:r>
        <w:rPr>
          <w:rFonts w:ascii="Times New Roman" w:hAnsi="Times New Roman"/>
          <w:color w:val="000000"/>
          <w:sz w:val="24"/>
        </w:rPr>
        <w:t>(whether</w:t>
      </w:r>
      <w:r>
        <w:rPr>
          <w:color w:val="000000"/>
        </w:rPr>
        <w:t xml:space="preserve"> </w:t>
      </w:r>
      <w:r>
        <w:rPr>
          <w:rFonts w:ascii="Times New Roman" w:hAnsi="Times New Roman"/>
          <w:color w:val="000000"/>
          <w:sz w:val="24"/>
        </w:rPr>
        <w:t>severance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reimbursements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otherwise)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treated</w:t>
      </w:r>
      <w:r>
        <w:rPr>
          <w:color w:val="000000"/>
        </w:rPr>
        <w:t xml:space="preserve"> </w:t>
      </w:r>
      <w:r>
        <w:rPr>
          <w:rFonts w:ascii="Times New Roman" w:hAnsi="Times New Roman"/>
          <w:color w:val="000000"/>
          <w:sz w:val="24"/>
        </w:rPr>
        <w:t>as a right to receive a series of separate payments and, accordingly, each instalment payment hereunder shall at all times be considered a separate and distinct payment.</w:t>
      </w:r>
      <w:r>
        <w:rPr>
          <w:color w:val="000000"/>
        </w:rPr>
        <w:t xml:space="preserve"> </w:t>
      </w:r>
      <w:r>
        <w:rPr>
          <w:rFonts w:ascii="Times New Roman" w:hAnsi="Times New Roman"/>
          <w:color w:val="000000"/>
          <w:sz w:val="24"/>
        </w:rPr>
        <w:t>Neither the Company nor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accelerate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defer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payment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installment)</w:t>
      </w:r>
      <w:r>
        <w:rPr>
          <w:color w:val="000000"/>
        </w:rPr>
        <w:t xml:space="preserve"> </w:t>
      </w:r>
      <w:r>
        <w:rPr>
          <w:rFonts w:ascii="Times New Roman" w:hAnsi="Times New Roman"/>
          <w:color w:val="000000"/>
          <w:sz w:val="24"/>
        </w:rPr>
        <w:t>hereunder unless permitted or required by Code Section 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All in-kind benefits provided and expenses eligible for reimbursement under this Agreement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incurred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during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periods set forth in this Agreement.</w:t>
      </w:r>
      <w:r>
        <w:rPr>
          <w:color w:val="000000"/>
        </w:rPr>
        <w:t xml:space="preserve"> </w:t>
      </w:r>
      <w:r>
        <w:rPr>
          <w:rFonts w:ascii="Times New Roman" w:hAnsi="Times New Roman"/>
          <w:color w:val="000000"/>
          <w:sz w:val="24"/>
        </w:rPr>
        <w:t>All reimbursements shall be paid as soon as administratively practicable, but in no event shall any reimbursement be paid after the last day of the taxable year following the taxable year in which the expense was incurred.</w:t>
      </w:r>
      <w:r>
        <w:rPr>
          <w:color w:val="000000"/>
        </w:rPr>
        <w:t xml:space="preserve"> </w:t>
      </w:r>
      <w:r>
        <w:rPr>
          <w:rFonts w:ascii="Times New Roman" w:hAnsi="Times New Roman"/>
          <w:color w:val="000000"/>
          <w:sz w:val="24"/>
        </w:rPr>
        <w:t>The amount of in-kind benefits provided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reimbursable</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incurred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one</w:t>
      </w:r>
      <w:r>
        <w:rPr>
          <w:color w:val="000000"/>
        </w:rPr>
        <w:t xml:space="preserve"> </w:t>
      </w:r>
      <w:r>
        <w:rPr>
          <w:rFonts w:ascii="Times New Roman" w:hAnsi="Times New Roman"/>
          <w:color w:val="000000"/>
          <w:sz w:val="24"/>
        </w:rPr>
        <w:t>taxable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affect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in-kind</w:t>
      </w:r>
      <w:r>
        <w:rPr>
          <w:color w:val="000000"/>
        </w:rPr>
        <w:t xml:space="preserve"> </w:t>
      </w:r>
      <w:r>
        <w:rPr>
          <w:rFonts w:ascii="Times New Roman" w:hAnsi="Times New Roman"/>
          <w:color w:val="000000"/>
          <w:sz w:val="24"/>
        </w:rPr>
        <w:t>benefits to</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expenses</w:t>
      </w:r>
      <w:r>
        <w:rPr>
          <w:color w:val="000000"/>
        </w:rPr>
        <w:t xml:space="preserve"> </w:t>
      </w:r>
      <w:r>
        <w:rPr>
          <w:rFonts w:ascii="Times New Roman" w:hAnsi="Times New Roman"/>
          <w:color w:val="000000"/>
          <w:sz w:val="24"/>
        </w:rPr>
        <w:t>eligible</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reimbursement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taxable</w:t>
      </w:r>
      <w:r>
        <w:rPr>
          <w:color w:val="000000"/>
        </w:rPr>
        <w:t xml:space="preserve"> </w:t>
      </w:r>
      <w:r>
        <w:rPr>
          <w:rFonts w:ascii="Times New Roman" w:hAnsi="Times New Roman"/>
          <w:color w:val="000000"/>
          <w:sz w:val="24"/>
        </w:rPr>
        <w:t>year.</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 reimbursement or in-kind benefits is not subject to liquidation or exchange for another benefit.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w:t>
      </w:r>
      <w:r>
        <w:rPr>
          <w:color w:val="000000"/>
        </w:rPr>
        <w:t xml:space="preserve"> </w:t>
      </w:r>
      <w:r>
        <w:rPr>
          <w:rFonts w:ascii="Times New Roman" w:hAnsi="Times New Roman"/>
          <w:color w:val="000000"/>
          <w:sz w:val="24"/>
        </w:rPr>
        <w:t>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9" w:hanging="0"/>
        <w:jc w:val="left"/>
        <w:rPr>
          <w:rFonts w:ascii="Times New Roman" w:hAnsi="Times New Roman"/>
          <w:sz w:val="20"/>
        </w:rPr>
      </w:pPr>
      <w:r>
        <w:rPr>
          <w:rFonts w:ascii="Times New Roman" w:hAnsi="Times New Roman"/>
          <w:color w:val="000000"/>
          <w:sz w:val="24"/>
        </w:rPr>
        <w:t>determination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whether</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when</w:t>
      </w:r>
      <w:r>
        <w:rPr>
          <w:rFonts w:ascii="Times New Roman" w:hAnsi="Times New Roman"/>
          <w:color w:val="000000"/>
          <w:sz w:val="2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separation</w:t>
      </w:r>
      <w:r>
        <w:rPr>
          <w:rFonts w:ascii="Times New Roman" w:hAnsi="Times New Roman"/>
          <w:color w:val="000000"/>
          <w:sz w:val="20"/>
        </w:rPr>
        <w:t xml:space="preserve"> </w:t>
      </w:r>
      <w:r>
        <w:rPr>
          <w:rFonts w:ascii="Times New Roman" w:hAnsi="Times New Roman"/>
          <w:color w:val="000000"/>
          <w:sz w:val="24"/>
        </w:rPr>
        <w:t>from</w:t>
      </w:r>
      <w:r>
        <w:rPr>
          <w:rFonts w:ascii="Times New Roman" w:hAnsi="Times New Roman"/>
          <w:color w:val="000000"/>
          <w:sz w:val="20"/>
        </w:rPr>
        <w:t xml:space="preserve"> </w:t>
      </w:r>
      <w:r>
        <w:rPr>
          <w:rFonts w:ascii="Times New Roman" w:hAnsi="Times New Roman"/>
          <w:color w:val="000000"/>
          <w:sz w:val="24"/>
        </w:rPr>
        <w:t>service</w:t>
      </w:r>
      <w:r>
        <w:rPr>
          <w:rFonts w:ascii="Times New Roman" w:hAnsi="Times New Roman"/>
          <w:color w:val="000000"/>
          <w:sz w:val="20"/>
        </w:rPr>
        <w:t xml:space="preserve"> </w:t>
      </w:r>
      <w:r>
        <w:rPr>
          <w:rFonts w:ascii="Times New Roman" w:hAnsi="Times New Roman"/>
          <w:color w:val="000000"/>
          <w:sz w:val="24"/>
        </w:rPr>
        <w:t>has</w:t>
      </w:r>
      <w:r>
        <w:rPr>
          <w:rFonts w:ascii="Times New Roman" w:hAnsi="Times New Roman"/>
          <w:color w:val="000000"/>
          <w:sz w:val="20"/>
        </w:rPr>
        <w:t xml:space="preserve"> </w:t>
      </w:r>
      <w:r>
        <w:rPr>
          <w:rFonts w:ascii="Times New Roman" w:hAnsi="Times New Roman"/>
          <w:color w:val="000000"/>
          <w:sz w:val="24"/>
        </w:rPr>
        <w:t>occurred</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made</w:t>
      </w:r>
      <w:r>
        <w:rPr>
          <w:rFonts w:ascii="Times New Roman" w:hAnsi="Times New Roman"/>
          <w:color w:val="000000"/>
          <w:sz w:val="20"/>
        </w:rPr>
        <w:t xml:space="preserve"> </w:t>
      </w:r>
      <w:r>
        <w:rPr>
          <w:rFonts w:ascii="Times New Roman" w:hAnsi="Times New Roman"/>
          <w:color w:val="000000"/>
          <w:sz w:val="24"/>
        </w:rPr>
        <w:t>in accordance with the presumptions set forth in Treasury Regulation Section 1.409A-1(h).</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The Company makes no representation or warranty and shall have no liability to 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provisions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are</w:t>
      </w:r>
      <w:r>
        <w:rPr>
          <w:color w:val="000000"/>
        </w:rPr>
        <w:t xml:space="preserve"> </w:t>
      </w:r>
      <w:r>
        <w:rPr>
          <w:rFonts w:ascii="Times New Roman" w:hAnsi="Times New Roman"/>
          <w:color w:val="000000"/>
          <w:sz w:val="24"/>
        </w:rPr>
        <w:t>determined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constitute deferred</w:t>
      </w:r>
      <w:r>
        <w:rPr>
          <w:color w:val="000000"/>
        </w:rPr>
        <w:t xml:space="preserve"> </w:t>
      </w:r>
      <w:r>
        <w:rPr>
          <w:rFonts w:ascii="Times New Roman" w:hAnsi="Times New Roman"/>
          <w:color w:val="000000"/>
          <w:sz w:val="24"/>
        </w:rPr>
        <w:t>compensation</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409A</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Code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do</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satisfy</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exemption</w:t>
      </w:r>
      <w:r>
        <w:rPr>
          <w:color w:val="000000"/>
        </w:rPr>
        <w:t xml:space="preserve"> </w:t>
      </w:r>
      <w:r>
        <w:rPr>
          <w:rFonts w:ascii="Times New Roman" w:hAnsi="Times New Roman"/>
          <w:color w:val="000000"/>
          <w:sz w:val="24"/>
        </w:rPr>
        <w:t>from, or the conditions of, such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Taxes</w:t>
      </w:r>
      <w:r>
        <w:rPr>
          <w:rFonts w:ascii="Times New Roman" w:hAnsi="Times New Roman"/>
          <w:color w:val="000000"/>
          <w:sz w:val="24"/>
        </w:rPr>
        <w:t>.</w:t>
      </w:r>
      <w:r>
        <w:rPr>
          <w:color w:val="000000"/>
        </w:rPr>
        <w:t xml:space="preserve"> </w:t>
      </w:r>
      <w:r>
        <w:rPr>
          <w:rFonts w:ascii="Times New Roman" w:hAnsi="Times New Roman"/>
          <w:color w:val="000000"/>
          <w:sz w:val="24"/>
        </w:rPr>
        <w:t>All forms of compensation referred to in this Agreement are subject to reduction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reflect</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withholding</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payroll</w:t>
      </w:r>
      <w:r>
        <w:rPr>
          <w:color w:val="000000"/>
        </w:rPr>
        <w:t xml:space="preserve"> </w:t>
      </w:r>
      <w:r>
        <w:rPr>
          <w:rFonts w:ascii="Times New Roman" w:hAnsi="Times New Roman"/>
          <w:color w:val="000000"/>
          <w:sz w:val="24"/>
        </w:rPr>
        <w:t>taxes</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deductions</w:t>
      </w:r>
      <w:r>
        <w:rPr>
          <w:color w:val="000000"/>
        </w:rPr>
        <w:t xml:space="preserve"> </w:t>
      </w:r>
      <w:r>
        <w:rPr>
          <w:rFonts w:ascii="Times New Roman" w:hAnsi="Times New Roman"/>
          <w:color w:val="000000"/>
          <w:sz w:val="24"/>
        </w:rPr>
        <w:t>required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law. The Executive hereby acknowledges that the Company does not have a duty to design its compensation policies in a manner that minimizes tax liabilities.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0" w:hanging="0"/>
        <w:jc w:val="left"/>
        <w:rPr>
          <w:rFonts w:ascii="Times New Roman" w:hAnsi="Times New Roman"/>
          <w:b/>
          <w:color w:val="000000"/>
          <w:sz w:val="24"/>
        </w:rPr>
      </w:pPr>
      <w:r>
        <w:rPr>
          <w:rFonts w:ascii="Times New Roman" w:hAnsi="Times New Roman"/>
          <w:b/>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Notice</w:t>
      </w:r>
      <w:r>
        <w:rPr>
          <w:color w:val="000000"/>
          <w:u w:val="single"/>
        </w:rPr>
        <w:t xml:space="preserve"> </w:t>
      </w:r>
      <w:r>
        <w:rPr>
          <w:rFonts w:ascii="Times New Roman" w:hAnsi="Times New Roman"/>
          <w:b/>
          <w:color w:val="000000"/>
          <w:sz w:val="24"/>
          <w:u w:val="single"/>
        </w:rPr>
        <w:t>and</w:t>
      </w:r>
      <w:r>
        <w:rPr>
          <w:color w:val="000000"/>
          <w:u w:val="single"/>
        </w:rPr>
        <w:t xml:space="preserve"> </w:t>
      </w:r>
      <w:r>
        <w:rPr>
          <w:rFonts w:ascii="Times New Roman" w:hAnsi="Times New Roman"/>
          <w:b/>
          <w:color w:val="000000"/>
          <w:sz w:val="24"/>
          <w:u w:val="single"/>
        </w:rPr>
        <w:t>Date</w:t>
      </w:r>
      <w:r>
        <w:rPr>
          <w:color w:val="000000"/>
          <w:u w:val="single"/>
        </w:rPr>
        <w:t xml:space="preserve"> </w:t>
      </w:r>
      <w:r>
        <w:rPr>
          <w:rFonts w:ascii="Times New Roman" w:hAnsi="Times New Roman"/>
          <w:b/>
          <w:color w:val="000000"/>
          <w:sz w:val="24"/>
          <w:u w:val="single"/>
        </w:rPr>
        <w:t>of</w:t>
      </w:r>
      <w:r>
        <w:rPr>
          <w:color w:val="000000"/>
          <w:u w:val="single"/>
        </w:rPr>
        <w:t xml:space="preserve"> </w:t>
      </w:r>
      <w:r>
        <w:rPr>
          <w:rFonts w:ascii="Times New Roman" w:hAnsi="Times New Roman"/>
          <w:b/>
          <w:color w:val="000000"/>
          <w:sz w:val="24"/>
          <w:u w:val="single"/>
        </w:rPr>
        <w:t>Termination.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of Termination</w:t>
      </w:r>
      <w:r>
        <w:rPr>
          <w:rFonts w:ascii="Times New Roman" w:hAnsi="Times New Roman"/>
          <w:color w:val="000000"/>
          <w:sz w:val="24"/>
        </w:rPr>
        <w:t>.</w:t>
      </w:r>
      <w:r>
        <w:rPr>
          <w:color w:val="000000"/>
        </w:rPr>
        <w:t xml:space="preserve"> </w:t>
      </w:r>
      <w:r>
        <w:rPr>
          <w:rFonts w:ascii="Times New Roman" w:hAnsi="Times New Roman"/>
          <w:color w:val="000000"/>
          <w:sz w:val="24"/>
        </w:rPr>
        <w:t>The Executive’s employment with the Company may be terminated by the Company or the Executive at any time and for any reason, subject to the terms 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death) shall be</w:t>
      </w:r>
      <w:r>
        <w:rPr>
          <w:color w:val="000000"/>
        </w:rPr>
        <w:t xml:space="preserve"> </w:t>
      </w:r>
      <w:r>
        <w:rPr>
          <w:rFonts w:ascii="Times New Roman" w:hAnsi="Times New Roman"/>
          <w:color w:val="000000"/>
          <w:sz w:val="24"/>
        </w:rPr>
        <w:t>communicated by written Notice</w:t>
      </w:r>
      <w:r>
        <w:rPr>
          <w:color w:val="000000"/>
        </w:rPr>
        <w:t xml:space="preserve"> </w:t>
      </w:r>
      <w:r>
        <w:rPr>
          <w:rFonts w:ascii="Times New Roman" w:hAnsi="Times New Roman"/>
          <w:color w:val="000000"/>
          <w:sz w:val="24"/>
        </w:rPr>
        <w:t>of Termination from one party hereto to the other</w:t>
      </w:r>
      <w:r>
        <w:rPr>
          <w:color w:val="000000"/>
        </w:rPr>
        <w:t xml:space="preserve"> </w:t>
      </w:r>
      <w:r>
        <w:rPr>
          <w:rFonts w:ascii="Times New Roman" w:hAnsi="Times New Roman"/>
          <w:color w:val="000000"/>
          <w:sz w:val="24"/>
        </w:rPr>
        <w:t>party hereto</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accordance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Section.</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u w:val="single"/>
        </w:rPr>
        <w:t>Notice</w:t>
      </w:r>
      <w:r>
        <w:rPr>
          <w:color w:val="000000"/>
          <w:u w:val="single"/>
        </w:rPr>
        <w:t xml:space="preserve"> </w:t>
      </w:r>
      <w:r>
        <w:rPr>
          <w:rFonts w:ascii="Times New Roman" w:hAnsi="Times New Roman"/>
          <w:color w:val="000000"/>
          <w:sz w:val="24"/>
          <w:u w:val="single"/>
        </w:rPr>
        <w:t>of</w:t>
      </w:r>
      <w:r>
        <w:rPr>
          <w:color w:val="000000"/>
          <w:u w:val="single"/>
        </w:rPr>
        <w:t xml:space="preserve"> </w:t>
      </w:r>
      <w:r>
        <w:rPr>
          <w:rFonts w:ascii="Times New Roman" w:hAnsi="Times New Roman"/>
          <w:color w:val="000000"/>
          <w:sz w:val="24"/>
          <w:u w:val="single"/>
        </w:rPr>
        <w:t>Termination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mean</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indicate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specific</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relied upon.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Date of Termination</w:t>
      </w:r>
      <w:r>
        <w:rPr>
          <w:rFonts w:ascii="Times New Roman" w:hAnsi="Times New Roman"/>
          <w:color w:val="000000"/>
          <w:sz w:val="24"/>
        </w:rPr>
        <w:t>.</w:t>
      </w:r>
      <w:r>
        <w:rPr>
          <w:color w:val="000000"/>
        </w:rPr>
        <w:t xml:space="preserve"> “</w:t>
      </w:r>
      <w:r>
        <w:rPr>
          <w:rFonts w:ascii="Times New Roman" w:hAnsi="Times New Roman"/>
          <w:color w:val="000000"/>
          <w:sz w:val="24"/>
          <w:u w:val="single"/>
        </w:rPr>
        <w:t>Date of Termination</w:t>
      </w:r>
      <w:r>
        <w:rPr>
          <w:color w:val="000000"/>
        </w:rPr>
        <w:t xml:space="preserve">” </w:t>
      </w:r>
      <w:r>
        <w:rPr>
          <w:rFonts w:ascii="Times New Roman" w:hAnsi="Times New Roman"/>
          <w:color w:val="000000"/>
          <w:sz w:val="24"/>
        </w:rPr>
        <w:t>shall mean: (i) if the Executive’s employment is terminated by the Executive’s death, the date of the Executive’s death; (ii)</w:t>
      </w:r>
      <w:r>
        <w:rPr>
          <w:color w:val="000000"/>
        </w:rPr>
        <w:t xml:space="preserve"> </w:t>
      </w:r>
      <w:r>
        <w:rPr>
          <w:rFonts w:ascii="Times New Roman" w:hAnsi="Times New Roman"/>
          <w:color w:val="000000"/>
          <w:sz w:val="24"/>
        </w:rPr>
        <w:t>if the Executive’s employment is terminated on account of Executive’s Disability or by the Company for</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Cause,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 employment is terminated by the Executive for any reason except for Good Reason, thirty (30) days</w:t>
      </w:r>
      <w:r>
        <w:rPr>
          <w:color w:val="000000"/>
        </w:rPr>
        <w:t xml:space="preserve"> </w:t>
      </w:r>
      <w:r>
        <w:rPr>
          <w:rFonts w:ascii="Times New Roman" w:hAnsi="Times New Roman"/>
          <w:color w:val="000000"/>
          <w:sz w:val="24"/>
        </w:rPr>
        <w:t>after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employment is</w:t>
      </w:r>
      <w:r>
        <w:rPr>
          <w:color w:val="000000"/>
        </w:rPr>
        <w:t xml:space="preserve"> </w:t>
      </w:r>
      <w:r>
        <w:rPr>
          <w:rFonts w:ascii="Times New Roman" w:hAnsi="Times New Roman"/>
          <w:color w:val="000000"/>
          <w:sz w:val="24"/>
        </w:rPr>
        <w:t>terminated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Good</w:t>
      </w:r>
      <w:r>
        <w:rPr>
          <w:color w:val="000000"/>
        </w:rPr>
        <w:t xml:space="preserve"> </w:t>
      </w:r>
      <w:r>
        <w:rPr>
          <w:rFonts w:ascii="Times New Roman" w:hAnsi="Times New Roman"/>
          <w:color w:val="000000"/>
          <w:sz w:val="24"/>
        </w:rPr>
        <w:t>Reason,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date</w:t>
      </w:r>
      <w:r>
        <w:rPr>
          <w:color w:val="000000"/>
        </w:rPr>
        <w:t xml:space="preserve"> </w:t>
      </w:r>
      <w:r>
        <w:rPr>
          <w:rFonts w:ascii="Times New Roman" w:hAnsi="Times New Roman"/>
          <w:color w:val="000000"/>
          <w:sz w:val="24"/>
        </w:rPr>
        <w:t>specified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 given after the end of the Cure Period.</w:t>
      </w:r>
      <w:r>
        <w:rPr>
          <w:color w:val="000000"/>
        </w:rPr>
        <w:t xml:space="preserve"> </w:t>
      </w:r>
      <w:r>
        <w:rPr>
          <w:rFonts w:ascii="Times New Roman" w:hAnsi="Times New Roman"/>
          <w:color w:val="000000"/>
          <w:sz w:val="24"/>
        </w:rPr>
        <w:t>Notwithstanding the foregoing, in the event that the Executive</w:t>
      </w:r>
      <w:r>
        <w:rPr>
          <w:color w:val="000000"/>
        </w:rPr>
        <w:t xml:space="preserve"> </w:t>
      </w:r>
      <w:r>
        <w:rPr>
          <w:rFonts w:ascii="Times New Roman" w:hAnsi="Times New Roman"/>
          <w:color w:val="000000"/>
          <w:sz w:val="24"/>
        </w:rPr>
        <w:t>gives</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unilaterally</w:t>
      </w:r>
      <w:r>
        <w:rPr>
          <w:color w:val="000000"/>
        </w:rPr>
        <w:t xml:space="preserve"> </w:t>
      </w:r>
      <w:r>
        <w:rPr>
          <w:rFonts w:ascii="Times New Roman" w:hAnsi="Times New Roman"/>
          <w:color w:val="000000"/>
          <w:sz w:val="24"/>
        </w:rPr>
        <w:t>accelerate the Date of Termination and such acceleration shall not result in the termination being deemed a termination by the Company for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Litigation and Regulatory Cooperation</w:t>
      </w:r>
      <w:r>
        <w:rPr>
          <w:rFonts w:ascii="Times New Roman" w:hAnsi="Times New Roman"/>
          <w:color w:val="000000"/>
          <w:sz w:val="24"/>
        </w:rPr>
        <w:t>.</w:t>
      </w:r>
      <w:r>
        <w:rPr>
          <w:color w:val="000000"/>
        </w:rPr>
        <w:t xml:space="preserve"> </w:t>
      </w:r>
      <w:r>
        <w:rPr>
          <w:rFonts w:ascii="Times New Roman" w:hAnsi="Times New Roman"/>
          <w:color w:val="000000"/>
          <w:sz w:val="24"/>
        </w:rPr>
        <w:t>During and after the Executive’s employment, and at all times, so long as there is not a significant conflict with the Executive’s then employment, the Executive shall cooperate reasonably with the Company in the defense or prosecution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claims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actions</w:t>
      </w:r>
      <w:r>
        <w:rPr>
          <w:color w:val="000000"/>
        </w:rPr>
        <w:t xml:space="preserve"> </w:t>
      </w:r>
      <w:r>
        <w:rPr>
          <w:rFonts w:ascii="Times New Roman" w:hAnsi="Times New Roman"/>
          <w:color w:val="000000"/>
          <w:sz w:val="24"/>
        </w:rPr>
        <w:t>now</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existence</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which</w:t>
      </w:r>
      <w:r>
        <w:rPr>
          <w:color w:val="000000"/>
        </w:rPr>
        <w:t xml:space="preserve"> </w:t>
      </w:r>
      <w:r>
        <w:rPr>
          <w:rFonts w:ascii="Times New Roman" w:hAnsi="Times New Roman"/>
          <w:color w:val="000000"/>
          <w:sz w:val="24"/>
        </w:rPr>
        <w:t>may</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brought</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future</w:t>
      </w:r>
      <w:r>
        <w:rPr>
          <w:color w:val="000000"/>
        </w:rPr>
        <w:t xml:space="preserve"> </w:t>
      </w:r>
      <w:r>
        <w:rPr>
          <w:rFonts w:ascii="Times New Roman" w:hAnsi="Times New Roman"/>
          <w:color w:val="000000"/>
          <w:sz w:val="24"/>
        </w:rPr>
        <w:t>against or on behalf of the Company which relate to events or occurrences that transpired while the Executive</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reasonable</w:t>
      </w:r>
      <w:r>
        <w:rPr>
          <w:color w:val="000000"/>
        </w:rPr>
        <w:t xml:space="preserve"> </w:t>
      </w:r>
      <w:r>
        <w:rPr>
          <w:rFonts w:ascii="Times New Roman" w:hAnsi="Times New Roman"/>
          <w:color w:val="000000"/>
          <w:sz w:val="24"/>
        </w:rPr>
        <w:t>cooperation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connection with</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claims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actions</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include,</w:t>
      </w:r>
      <w:r>
        <w:rPr>
          <w:color w:val="000000"/>
        </w:rPr>
        <w:t xml:space="preserve"> </w:t>
      </w:r>
      <w:r>
        <w:rPr>
          <w:rFonts w:ascii="Times New Roman" w:hAnsi="Times New Roman"/>
          <w:color w:val="000000"/>
          <w:sz w:val="24"/>
        </w:rPr>
        <w:t>but</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limited</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being</w:t>
      </w:r>
      <w:r>
        <w:rPr>
          <w:color w:val="000000"/>
        </w:rPr>
        <w:t xml:space="preserve"> </w:t>
      </w:r>
      <w:r>
        <w:rPr>
          <w:rFonts w:ascii="Times New Roman" w:hAnsi="Times New Roman"/>
          <w:color w:val="000000"/>
          <w:sz w:val="24"/>
        </w:rPr>
        <w:t>available</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meet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counsel to prepare for discovery or trial and to act as a witness on behalf of the Company at mutually convenient times.</w:t>
      </w:r>
      <w:r>
        <w:rPr>
          <w:color w:val="000000"/>
        </w:rPr>
        <w:t xml:space="preserve"> </w:t>
      </w:r>
      <w:r>
        <w:rPr>
          <w:rFonts w:ascii="Times New Roman" w:hAnsi="Times New Roman"/>
          <w:color w:val="000000"/>
          <w:sz w:val="24"/>
        </w:rPr>
        <w:t>During and after the Executive’s employment, the Executive also shall cooperate reasonably with the Company in connection with any investigation or review of the Company by any federal, state or local regulatory authority as any such investigation or review relates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events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occurrences</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transpired</w:t>
      </w:r>
      <w:r>
        <w:rPr>
          <w:color w:val="000000"/>
        </w:rPr>
        <w:t xml:space="preserve"> </w:t>
      </w:r>
      <w:r>
        <w:rPr>
          <w:rFonts w:ascii="Times New Roman" w:hAnsi="Times New Roman"/>
          <w:color w:val="000000"/>
          <w:sz w:val="24"/>
        </w:rPr>
        <w:t>while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employed</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59" w:right="355" w:hanging="0"/>
        <w:jc w:val="both"/>
        <w:rPr>
          <w:rFonts w:ascii="Times New Roman" w:hAnsi="Times New Roman"/>
          <w:color w:val="000000"/>
          <w:sz w:val="24"/>
        </w:rPr>
      </w:pPr>
      <w:r>
        <w:rPr>
          <w:rFonts w:ascii="Times New Roman" w:hAnsi="Times New Roman"/>
          <w:color w:val="000000"/>
          <w:sz w:val="24"/>
        </w:rPr>
        <w:t>The Company shall reasonably compensate the Executive for the time dedicated to, and shall reimburse the Executive for any reasonable out of pocket expenses incurred in connection with, the Executive’s performance of the obligations set forth in this Section; provided, however, that the Company will not pay the Executive any fee or amount for time spent providing testimony in any arbitration, trial, administrative hearing or other proceeding.</w:t>
      </w:r>
    </w:p>
    <w:p>
      <w:pPr>
        <w:pStyle w:val="TextBody"/>
        <w:bidi w:val="0"/>
        <w:spacing w:before="240" w:after="283"/>
        <w:ind w:left="360" w:right="504" w:firstLine="720"/>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left"/>
        <w:rPr/>
      </w:pPr>
      <w:r>
        <w:rPr>
          <w:rFonts w:ascii="Times New Roman" w:hAnsi="Times New Roman"/>
          <w:b/>
          <w:color w:val="000000"/>
          <w:sz w:val="24"/>
          <w:u w:val="single"/>
        </w:rPr>
        <w:t>Other Conditions to Employment</w:t>
      </w:r>
      <w:r>
        <w:rPr>
          <w:rFonts w:ascii="Times New Roman" w:hAnsi="Times New Roman"/>
          <w:b/>
          <w:color w:val="000000"/>
          <w:sz w:val="24"/>
        </w:rPr>
        <w:t>.</w:t>
      </w:r>
      <w:r>
        <w:rPr>
          <w:color w:val="000000"/>
        </w:rPr>
        <w:t xml:space="preserve"> </w:t>
      </w:r>
      <w:r>
        <w:rPr>
          <w:rFonts w:ascii="Times New Roman" w:hAnsi="Times New Roman"/>
          <w:color w:val="000000"/>
          <w:sz w:val="24"/>
        </w:rPr>
        <w:t>The Executive’s employment is contingent upon reference and background checks satisfactory to the Company. The Executive shall, prior to commencing employment, make himself available for and cooperate with the Company in obtaining such checks on the Executive, including providing any and all consents necessary to the</w:t>
      </w:r>
      <w:r>
        <w:rPr>
          <w:color w:val="000000"/>
        </w:rPr>
        <w:t xml:space="preserve"> </w:t>
      </w:r>
      <w:r>
        <w:rPr>
          <w:rFonts w:ascii="Times New Roman" w:hAnsi="Times New Roman"/>
          <w:color w:val="000000"/>
          <w:sz w:val="24"/>
        </w:rPr>
        <w:t>accomplishment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foregoing.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also</w:t>
      </w:r>
      <w:r>
        <w:rPr>
          <w:color w:val="000000"/>
        </w:rPr>
        <w:t xml:space="preserve"> </w:t>
      </w:r>
      <w:r>
        <w:rPr>
          <w:rFonts w:ascii="Times New Roman" w:hAnsi="Times New Roman"/>
          <w:color w:val="000000"/>
          <w:sz w:val="24"/>
        </w:rPr>
        <w:t>provide</w:t>
      </w:r>
      <w:r>
        <w:rPr>
          <w:color w:val="000000"/>
        </w:rPr>
        <w:t xml:space="preserve"> </w:t>
      </w:r>
      <w:r>
        <w:rPr>
          <w:rFonts w:ascii="Times New Roman" w:hAnsi="Times New Roman"/>
          <w:color w:val="000000"/>
          <w:sz w:val="24"/>
        </w:rPr>
        <w:t>timely</w:t>
      </w:r>
      <w:r>
        <w:rPr>
          <w:color w:val="000000"/>
        </w:rPr>
        <w:t xml:space="preserve"> </w:t>
      </w:r>
      <w:r>
        <w:rPr>
          <w:rFonts w:ascii="Times New Roman" w:hAnsi="Times New Roman"/>
          <w:color w:val="000000"/>
          <w:sz w:val="24"/>
        </w:rPr>
        <w:t>documentation</w:t>
      </w:r>
      <w:r>
        <w:rPr>
          <w:color w:val="000000"/>
        </w:rPr>
        <w:t xml:space="preserve"> </w:t>
      </w:r>
      <w:r>
        <w:rPr>
          <w:rFonts w:ascii="Times New Roman" w:hAnsi="Times New Roman"/>
          <w:color w:val="000000"/>
          <w:sz w:val="24"/>
        </w:rPr>
        <w:t>of his identity and eligibility to work in the United States, as required by federal law.</w:t>
      </w:r>
    </w:p>
    <w:p>
      <w:pPr>
        <w:pStyle w:val="TextBody"/>
        <w:bidi w:val="0"/>
        <w:jc w:val="left"/>
        <w:rPr/>
      </w:pPr>
      <w:r>
        <w:rPr/>
        <w:t> </w:t>
      </w:r>
    </w:p>
    <w:p>
      <w:pPr>
        <w:pStyle w:val="TextBody"/>
        <w:bidi w:val="0"/>
        <w:ind w:left="360" w:right="360" w:firstLine="720"/>
        <w:jc w:val="both"/>
        <w:rPr>
          <w:rFonts w:ascii="Times New Roman" w:hAnsi="Times New Roman"/>
          <w:b/>
          <w:color w:val="000000"/>
          <w:sz w:val="24"/>
        </w:rPr>
      </w:pPr>
      <w:r>
        <w:rPr>
          <w:rFonts w:ascii="Times New Roman" w:hAnsi="Times New Roman"/>
          <w:b/>
          <w:color w:val="000000"/>
          <w:sz w:val="24"/>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4"/>
          <w:u w:val="single"/>
        </w:rPr>
        <w:t>Relief</w:t>
      </w:r>
      <w:r>
        <w:rPr>
          <w:rFonts w:ascii="Times New Roman" w:hAnsi="Times New Roman"/>
          <w:color w:val="000000"/>
          <w:sz w:val="24"/>
        </w:rPr>
        <w:t>.</w:t>
      </w:r>
      <w:r>
        <w:rPr>
          <w:color w:val="000000"/>
        </w:rPr>
        <w:t xml:space="preserve"> </w:t>
      </w:r>
      <w:r>
        <w:rPr>
          <w:rFonts w:ascii="Times New Roman" w:hAnsi="Times New Roman"/>
          <w:color w:val="000000"/>
          <w:sz w:val="24"/>
        </w:rPr>
        <w:t>If the Executive breaches, or proposes to breach, any portion of this Agreement,</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Confidentiality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Separation</w:t>
      </w:r>
      <w:r>
        <w:rPr>
          <w:color w:val="000000"/>
        </w:rPr>
        <w:t xml:space="preserve"> </w:t>
      </w:r>
      <w:r>
        <w:rPr>
          <w:rFonts w:ascii="Times New Roman" w:hAnsi="Times New Roman"/>
          <w:color w:val="000000"/>
          <w:sz w:val="24"/>
        </w:rPr>
        <w:t>Agreement and Release, the Company shall be entitled, in addition to all other remedies that it may have, to an injunction or other appropriate equitable relief to restrain any such breach, and, if applicable, 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right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suspend</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terminate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payments,</w:t>
      </w:r>
      <w:r>
        <w:rPr>
          <w:color w:val="000000"/>
        </w:rPr>
        <w:t xml:space="preserve"> </w:t>
      </w:r>
      <w:r>
        <w:rPr>
          <w:rFonts w:ascii="Times New Roman" w:hAnsi="Times New Roman"/>
          <w:color w:val="000000"/>
          <w:sz w:val="24"/>
        </w:rPr>
        <w:t>benefits</w:t>
      </w:r>
      <w:r>
        <w:rPr>
          <w:color w:val="000000"/>
        </w:rPr>
        <w:t xml:space="preserve"> </w:t>
      </w:r>
      <w:r>
        <w:rPr>
          <w:rFonts w:ascii="Times New Roman" w:hAnsi="Times New Roman"/>
          <w:color w:val="000000"/>
          <w:sz w:val="24"/>
        </w:rPr>
        <w:t>and/or</w:t>
      </w:r>
      <w:r>
        <w:rPr>
          <w:color w:val="000000"/>
        </w:rPr>
        <w:t xml:space="preserve"> </w:t>
      </w:r>
      <w:r>
        <w:rPr>
          <w:rFonts w:ascii="Times New Roman" w:hAnsi="Times New Roman"/>
          <w:color w:val="000000"/>
          <w:sz w:val="24"/>
        </w:rPr>
        <w:t>accelerated vesting,</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applicable.</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suspension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termination</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limit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options with</w:t>
      </w:r>
      <w:r>
        <w:rPr>
          <w:color w:val="000000"/>
        </w:rPr>
        <w:t xml:space="preserve"> </w:t>
      </w:r>
      <w:r>
        <w:rPr>
          <w:rFonts w:ascii="Times New Roman" w:hAnsi="Times New Roman"/>
          <w:color w:val="000000"/>
          <w:sz w:val="24"/>
        </w:rPr>
        <w:t>respect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relief</w:t>
      </w:r>
      <w:r>
        <w:rPr>
          <w:color w:val="000000"/>
        </w:rPr>
        <w:t xml:space="preserve"> </w:t>
      </w:r>
      <w:r>
        <w:rPr>
          <w:rFonts w:ascii="Times New Roman" w:hAnsi="Times New Roman"/>
          <w:color w:val="000000"/>
          <w:sz w:val="24"/>
        </w:rPr>
        <w:t>for such</w:t>
      </w:r>
      <w:r>
        <w:rPr>
          <w:color w:val="000000"/>
        </w:rPr>
        <w:t xml:space="preserve"> </w:t>
      </w:r>
      <w:r>
        <w:rPr>
          <w:rFonts w:ascii="Times New Roman" w:hAnsi="Times New Roman"/>
          <w:color w:val="000000"/>
          <w:sz w:val="24"/>
        </w:rPr>
        <w:t>breach</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relieve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Executive’s</w:t>
      </w:r>
      <w:r>
        <w:rPr>
          <w:color w:val="000000"/>
        </w:rPr>
        <w:t xml:space="preserve"> </w:t>
      </w:r>
      <w:r>
        <w:rPr>
          <w:rFonts w:ascii="Times New Roman" w:hAnsi="Times New Roman"/>
          <w:color w:val="000000"/>
          <w:sz w:val="24"/>
        </w:rPr>
        <w:t>duties under this Agreement, the Confidentiality Agreement or the Separation Agreement and Release.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4"/>
          <w:u w:val="single"/>
        </w:rPr>
        <w:t>Scope of Disclosure Restrictions</w:t>
      </w:r>
      <w:r>
        <w:rPr>
          <w:rFonts w:ascii="Times New Roman" w:hAnsi="Times New Roman"/>
          <w:color w:val="000000"/>
          <w:sz w:val="24"/>
        </w:rPr>
        <w:t>. Nothing in this Agreement or the Confidentiality Agreement prohibits the Executive from communicating with government agencies about possible violations of federal, state, or local laws or otherwise providing information</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government</w:t>
      </w:r>
      <w:r>
        <w:rPr>
          <w:color w:val="000000"/>
        </w:rPr>
        <w:t xml:space="preserve"> </w:t>
      </w:r>
      <w:r>
        <w:rPr>
          <w:rFonts w:ascii="Times New Roman" w:hAnsi="Times New Roman"/>
          <w:color w:val="000000"/>
          <w:sz w:val="24"/>
        </w:rPr>
        <w:t>agencies,</w:t>
      </w:r>
      <w:r>
        <w:rPr>
          <w:color w:val="000000"/>
        </w:rPr>
        <w:t xml:space="preserve"> </w:t>
      </w:r>
      <w:r>
        <w:rPr>
          <w:rFonts w:ascii="Times New Roman" w:hAnsi="Times New Roman"/>
          <w:color w:val="000000"/>
          <w:sz w:val="24"/>
        </w:rPr>
        <w:t>filing</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complaint</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government</w:t>
      </w:r>
      <w:r>
        <w:rPr>
          <w:color w:val="000000"/>
        </w:rPr>
        <w:t xml:space="preserve"> </w:t>
      </w:r>
      <w:r>
        <w:rPr>
          <w:rFonts w:ascii="Times New Roman" w:hAnsi="Times New Roman"/>
          <w:color w:val="000000"/>
          <w:sz w:val="24"/>
        </w:rPr>
        <w:t>agencies,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participating in government agency investigations or proceedings.</w:t>
      </w:r>
      <w:r>
        <w:rPr>
          <w:color w:val="000000"/>
        </w:rPr>
        <w:t xml:space="preserve"> </w:t>
      </w:r>
      <w:r>
        <w:rPr>
          <w:rFonts w:ascii="Times New Roman" w:hAnsi="Times New Roman"/>
          <w:color w:val="000000"/>
          <w:sz w:val="24"/>
        </w:rPr>
        <w:t>The Executive is not required to notify the Company of any such communications; provided, however, that nothing herein authorizes the disclosure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information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obtained</w:t>
      </w:r>
      <w:r>
        <w:rPr>
          <w:color w:val="000000"/>
        </w:rPr>
        <w:t xml:space="preserve"> </w:t>
      </w:r>
      <w:r>
        <w:rPr>
          <w:rFonts w:ascii="Times New Roman" w:hAnsi="Times New Roman"/>
          <w:color w:val="000000"/>
          <w:sz w:val="24"/>
        </w:rPr>
        <w:t>through</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communication</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was</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 attorney-client privilege. Further, notwithstanding the Executive’s confidentiality and nondisclosure</w:t>
      </w:r>
      <w:r>
        <w:rPr>
          <w:color w:val="000000"/>
        </w:rPr>
        <w:t xml:space="preserve"> </w:t>
      </w:r>
      <w:r>
        <w:rPr>
          <w:rFonts w:ascii="Times New Roman" w:hAnsi="Times New Roman"/>
          <w:color w:val="000000"/>
          <w:sz w:val="24"/>
        </w:rPr>
        <w:t>obligations,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advised</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follows</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Defend</w:t>
      </w:r>
      <w:r>
        <w:rPr>
          <w:color w:val="000000"/>
        </w:rPr>
        <w:t xml:space="preserve"> </w:t>
      </w:r>
      <w:r>
        <w:rPr>
          <w:rFonts w:ascii="Times New Roman" w:hAnsi="Times New Roman"/>
          <w:color w:val="000000"/>
          <w:sz w:val="24"/>
        </w:rPr>
        <w:t>Trade Secrets</w:t>
      </w:r>
      <w:r>
        <w:rPr>
          <w:color w:val="000000"/>
        </w:rPr>
        <w:t xml:space="preserve"> </w:t>
      </w:r>
      <w:r>
        <w:rPr>
          <w:rFonts w:ascii="Times New Roman" w:hAnsi="Times New Roman"/>
          <w:color w:val="000000"/>
          <w:sz w:val="24"/>
        </w:rPr>
        <w:t>Act:</w:t>
      </w:r>
      <w:r>
        <w:rPr>
          <w:color w:val="000000"/>
        </w:rPr>
        <w:t xml:space="preserve"> “</w:t>
      </w:r>
      <w:r>
        <w:rPr>
          <w:rFonts w:ascii="Times New Roman" w:hAnsi="Times New Roman"/>
          <w:color w:val="000000"/>
          <w:sz w:val="24"/>
        </w:rPr>
        <w:t>An</w:t>
      </w:r>
      <w:r>
        <w:rPr>
          <w:color w:val="000000"/>
        </w:rPr>
        <w:t xml:space="preserve"> </w:t>
      </w:r>
      <w:r>
        <w:rPr>
          <w:rFonts w:ascii="Times New Roman" w:hAnsi="Times New Roman"/>
          <w:color w:val="000000"/>
          <w:sz w:val="24"/>
        </w:rPr>
        <w:t>individual</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held</w:t>
      </w:r>
      <w:r>
        <w:rPr>
          <w:color w:val="000000"/>
        </w:rPr>
        <w:t xml:space="preserve"> </w:t>
      </w:r>
      <w:r>
        <w:rPr>
          <w:rFonts w:ascii="Times New Roman" w:hAnsi="Times New Roman"/>
          <w:color w:val="000000"/>
          <w:sz w:val="24"/>
        </w:rPr>
        <w:t>criminally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civilly</w:t>
      </w:r>
      <w:r>
        <w:rPr>
          <w:color w:val="000000"/>
        </w:rPr>
        <w:t xml:space="preserve"> </w:t>
      </w:r>
      <w:r>
        <w:rPr>
          <w:rFonts w:ascii="Times New Roman" w:hAnsi="Times New Roman"/>
          <w:color w:val="000000"/>
          <w:sz w:val="24"/>
        </w:rPr>
        <w:t>liable</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Federal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State trade</w:t>
      </w:r>
      <w:r>
        <w:rPr>
          <w:color w:val="000000"/>
        </w:rPr>
        <w:t xml:space="preserve"> </w:t>
      </w:r>
      <w:r>
        <w:rPr>
          <w:rFonts w:ascii="Times New Roman" w:hAnsi="Times New Roman"/>
          <w:color w:val="000000"/>
          <w:sz w:val="24"/>
        </w:rPr>
        <w:t>secret law</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disclosure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trade</w:t>
      </w:r>
      <w:r>
        <w:rPr>
          <w:color w:val="000000"/>
        </w:rPr>
        <w:t xml:space="preserve"> </w:t>
      </w:r>
      <w:r>
        <w:rPr>
          <w:rFonts w:ascii="Times New Roman" w:hAnsi="Times New Roman"/>
          <w:color w:val="000000"/>
          <w:sz w:val="24"/>
        </w:rPr>
        <w:t>secret that (A)</w:t>
      </w:r>
      <w:r>
        <w:rPr>
          <w:color w:val="000000"/>
        </w:rPr>
        <w:t xml:space="preserve"> </w:t>
      </w:r>
      <w:r>
        <w:rPr>
          <w:rFonts w:ascii="Times New Roman" w:hAnsi="Times New Roman"/>
          <w:color w:val="000000"/>
          <w:sz w:val="24"/>
        </w:rPr>
        <w:t>is made</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in confidence</w:t>
      </w:r>
      <w:r>
        <w:rPr>
          <w:color w:val="000000"/>
        </w:rPr>
        <w:t xml:space="preserve"> </w:t>
      </w:r>
      <w:r>
        <w:rPr>
          <w:rFonts w:ascii="Times New Roman" w:hAnsi="Times New Roman"/>
          <w:color w:val="000000"/>
          <w:sz w:val="24"/>
        </w:rPr>
        <w:t>to a</w:t>
      </w:r>
      <w:r>
        <w:rPr>
          <w:color w:val="000000"/>
        </w:rPr>
        <w:t xml:space="preserve"> </w:t>
      </w:r>
      <w:r>
        <w:rPr>
          <w:rFonts w:ascii="Times New Roman" w:hAnsi="Times New Roman"/>
          <w:color w:val="000000"/>
          <w:sz w:val="24"/>
        </w:rPr>
        <w:t>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r>
        <w:rPr>
          <w:color w:val="000000"/>
        </w:rPr>
        <w:t xml:space="preserve"> </w:t>
      </w:r>
      <w:r>
        <w:rPr>
          <w:rFonts w:ascii="Times New Roman" w:hAnsi="Times New Roman"/>
          <w:color w:val="000000"/>
          <w:sz w:val="24"/>
        </w:rPr>
        <w:t>An individual who files a lawsuit for retaliation by an employer for reporting a suspected violation of law may disclose the trade secret to the attorney of the individual and use the trade secret</w:t>
      </w:r>
      <w:r>
        <w:rPr>
          <w:color w:val="000000"/>
        </w:rPr>
        <w:t xml:space="preserve"> </w:t>
      </w:r>
      <w:r>
        <w:rPr>
          <w:rFonts w:ascii="Times New Roman" w:hAnsi="Times New Roman"/>
          <w:color w:val="000000"/>
          <w:sz w:val="24"/>
        </w:rPr>
        <w:t>information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court</w:t>
      </w:r>
      <w:r>
        <w:rPr>
          <w:color w:val="000000"/>
        </w:rPr>
        <w:t xml:space="preserve"> </w:t>
      </w:r>
      <w:r>
        <w:rPr>
          <w:rFonts w:ascii="Times New Roman" w:hAnsi="Times New Roman"/>
          <w:color w:val="000000"/>
          <w:sz w:val="24"/>
        </w:rPr>
        <w:t>proceeding,</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individual</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files</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document</w:t>
      </w:r>
      <w:r>
        <w:rPr>
          <w:color w:val="000000"/>
        </w:rPr>
        <w:t xml:space="preserve"> </w:t>
      </w:r>
      <w:r>
        <w:rPr>
          <w:rFonts w:ascii="Times New Roman" w:hAnsi="Times New Roman"/>
          <w:color w:val="000000"/>
          <w:sz w:val="24"/>
        </w:rPr>
        <w:t>containing</w:t>
      </w:r>
      <w:r>
        <w:rPr>
          <w:color w:val="000000"/>
        </w:rPr>
        <w:t xml:space="preserve"> </w:t>
      </w:r>
      <w:r>
        <w:rPr>
          <w:rFonts w:ascii="Times New Roman" w:hAnsi="Times New Roman"/>
          <w:color w:val="000000"/>
          <w:sz w:val="24"/>
        </w:rPr>
        <w:t>the trade</w:t>
      </w:r>
      <w:r>
        <w:rPr>
          <w:color w:val="000000"/>
        </w:rPr>
        <w:t xml:space="preserve"> </w:t>
      </w:r>
      <w:r>
        <w:rPr>
          <w:rFonts w:ascii="Times New Roman" w:hAnsi="Times New Roman"/>
          <w:color w:val="000000"/>
          <w:sz w:val="24"/>
        </w:rPr>
        <w:t>secret</w:t>
      </w:r>
      <w:r>
        <w:rPr>
          <w:color w:val="000000"/>
        </w:rPr>
        <w:t xml:space="preserve"> </w:t>
      </w:r>
      <w:r>
        <w:rPr>
          <w:rFonts w:ascii="Times New Roman" w:hAnsi="Times New Roman"/>
          <w:color w:val="000000"/>
          <w:sz w:val="24"/>
        </w:rPr>
        <w:t>under</w:t>
      </w:r>
      <w:r>
        <w:rPr>
          <w:color w:val="000000"/>
        </w:rPr>
        <w:t xml:space="preserve"> </w:t>
      </w:r>
      <w:r>
        <w:rPr>
          <w:rFonts w:ascii="Times New Roman" w:hAnsi="Times New Roman"/>
          <w:color w:val="000000"/>
          <w:sz w:val="24"/>
        </w:rPr>
        <w:t>seal;</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(B)</w:t>
      </w:r>
      <w:r>
        <w:rPr>
          <w:color w:val="000000"/>
        </w:rPr>
        <w:t xml:space="preserve"> </w:t>
      </w:r>
      <w:r>
        <w:rPr>
          <w:rFonts w:ascii="Times New Roman" w:hAnsi="Times New Roman"/>
          <w:color w:val="000000"/>
          <w:sz w:val="24"/>
        </w:rPr>
        <w:t>does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disclose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trade</w:t>
      </w:r>
      <w:r>
        <w:rPr>
          <w:color w:val="000000"/>
        </w:rPr>
        <w:t xml:space="preserve"> </w:t>
      </w:r>
      <w:r>
        <w:rPr>
          <w:rFonts w:ascii="Times New Roman" w:hAnsi="Times New Roman"/>
          <w:color w:val="000000"/>
          <w:sz w:val="24"/>
        </w:rPr>
        <w:t>secret,</w:t>
      </w:r>
      <w:r>
        <w:rPr>
          <w:color w:val="000000"/>
        </w:rPr>
        <w:t xml:space="preserve"> </w:t>
      </w:r>
      <w:r>
        <w:rPr>
          <w:rFonts w:ascii="Times New Roman" w:hAnsi="Times New Roman"/>
          <w:color w:val="000000"/>
          <w:sz w:val="24"/>
        </w:rPr>
        <w:t>except</w:t>
      </w:r>
      <w:r>
        <w:rPr>
          <w:color w:val="000000"/>
        </w:rPr>
        <w:t xml:space="preserve"> </w:t>
      </w:r>
      <w:r>
        <w:rPr>
          <w:rFonts w:ascii="Times New Roman" w:hAnsi="Times New Roman"/>
          <w:color w:val="000000"/>
          <w:sz w:val="24"/>
        </w:rPr>
        <w:t>pursuant</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court</w:t>
      </w:r>
      <w:r>
        <w:rPr>
          <w:color w:val="000000"/>
        </w:rPr>
        <w:t xml:space="preserve"> </w:t>
      </w:r>
      <w:r>
        <w:rPr>
          <w:rFonts w:ascii="Times New Roman" w:hAnsi="Times New Roman"/>
          <w:color w:val="000000"/>
          <w:sz w:val="24"/>
        </w:rPr>
        <w:t>order.”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Governing Law; Consent to Jurisdiction; Forum Selection</w:t>
      </w:r>
      <w:r>
        <w:rPr>
          <w:rFonts w:ascii="Times New Roman" w:hAnsi="Times New Roman"/>
          <w:color w:val="000000"/>
          <w:sz w:val="24"/>
        </w:rPr>
        <w:t>.</w:t>
      </w:r>
      <w:r>
        <w:rPr>
          <w:color w:val="000000"/>
        </w:rPr>
        <w:t xml:space="preserve"> </w:t>
      </w:r>
      <w:r>
        <w:rPr>
          <w:rFonts w:ascii="Times New Roman" w:hAnsi="Times New Roman"/>
          <w:color w:val="000000"/>
          <w:sz w:val="24"/>
        </w:rPr>
        <w:t>The resolution of any disputes as to the meaning, effect, performance or validity of this Agreement or the Confidentiality Agreement, or arising out of, related to, or in any way connected with the Executive’s employment with the Company or any other relationship between the Executive and the Company (“</w:t>
      </w:r>
      <w:r>
        <w:rPr>
          <w:rFonts w:ascii="Times New Roman" w:hAnsi="Times New Roman"/>
          <w:color w:val="000000"/>
          <w:sz w:val="24"/>
          <w:u w:val="single"/>
        </w:rPr>
        <w:t>Disputes</w:t>
      </w:r>
      <w:r>
        <w:rPr>
          <w:color w:val="000000"/>
        </w:rPr>
        <w:t>”</w:t>
      </w:r>
      <w:r>
        <w:rPr>
          <w:rFonts w:ascii="Times New Roman" w:hAnsi="Times New Roman"/>
          <w:color w:val="000000"/>
          <w:sz w:val="24"/>
        </w:rPr>
        <w:t>) will be governed by the law of the Commonwealth of Massachusetts, excluding</w:t>
      </w:r>
      <w:r>
        <w:rPr>
          <w:color w:val="000000"/>
        </w:rPr>
        <w:t xml:space="preserve"> </w:t>
      </w:r>
      <w:r>
        <w:rPr>
          <w:rFonts w:ascii="Times New Roman" w:hAnsi="Times New Roman"/>
          <w:color w:val="000000"/>
          <w:sz w:val="24"/>
        </w:rPr>
        <w:t>laws</w:t>
      </w:r>
      <w:r>
        <w:rPr>
          <w:color w:val="000000"/>
        </w:rPr>
        <w:t xml:space="preserve"> </w:t>
      </w:r>
      <w:r>
        <w:rPr>
          <w:rFonts w:ascii="Times New Roman" w:hAnsi="Times New Roman"/>
          <w:color w:val="000000"/>
          <w:sz w:val="24"/>
        </w:rPr>
        <w:t>relating</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conflicts</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choice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law.</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submit</w:t>
      </w:r>
      <w:r>
        <w:rPr>
          <w:color w:val="000000"/>
        </w:rPr>
        <w:t xml:space="preserve"> </w:t>
      </w:r>
      <w:r>
        <w:rPr>
          <w:rFonts w:ascii="Times New Roman" w:hAnsi="Times New Roman"/>
          <w:color w:val="000000"/>
          <w:sz w:val="24"/>
        </w:rPr>
        <w:t>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8" w:hanging="0"/>
        <w:jc w:val="both"/>
        <w:rPr>
          <w:rFonts w:ascii="Times New Roman" w:hAnsi="Times New Roman"/>
          <w:sz w:val="20"/>
        </w:rPr>
      </w:pP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exclusive</w:t>
      </w:r>
      <w:r>
        <w:rPr>
          <w:rFonts w:ascii="Times New Roman" w:hAnsi="Times New Roman"/>
          <w:color w:val="000000"/>
          <w:sz w:val="20"/>
        </w:rPr>
        <w:t xml:space="preserve"> </w:t>
      </w:r>
      <w:r>
        <w:rPr>
          <w:rFonts w:ascii="Times New Roman" w:hAnsi="Times New Roman"/>
          <w:color w:val="000000"/>
          <w:sz w:val="24"/>
        </w:rPr>
        <w:t>personal</w:t>
      </w:r>
      <w:r>
        <w:rPr>
          <w:rFonts w:ascii="Times New Roman" w:hAnsi="Times New Roman"/>
          <w:color w:val="000000"/>
          <w:sz w:val="20"/>
        </w:rPr>
        <w:t xml:space="preserve"> </w:t>
      </w:r>
      <w:r>
        <w:rPr>
          <w:rFonts w:ascii="Times New Roman" w:hAnsi="Times New Roman"/>
          <w:color w:val="000000"/>
          <w:sz w:val="24"/>
        </w:rPr>
        <w:t>jurisdiction</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federal</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state</w:t>
      </w:r>
      <w:r>
        <w:rPr>
          <w:rFonts w:ascii="Times New Roman" w:hAnsi="Times New Roman"/>
          <w:color w:val="000000"/>
          <w:sz w:val="20"/>
        </w:rPr>
        <w:t xml:space="preserve"> </w:t>
      </w:r>
      <w:r>
        <w:rPr>
          <w:rFonts w:ascii="Times New Roman" w:hAnsi="Times New Roman"/>
          <w:color w:val="000000"/>
          <w:sz w:val="24"/>
        </w:rPr>
        <w:t>courts</w:t>
      </w:r>
      <w:r>
        <w:rPr>
          <w:rFonts w:ascii="Times New Roman" w:hAnsi="Times New Roman"/>
          <w:color w:val="000000"/>
          <w:sz w:val="20"/>
        </w:rPr>
        <w:t xml:space="preserve"> </w:t>
      </w:r>
      <w:r>
        <w:rPr>
          <w:rFonts w:ascii="Times New Roman" w:hAnsi="Times New Roman"/>
          <w:color w:val="000000"/>
          <w:sz w:val="24"/>
        </w:rPr>
        <w:t>located</w:t>
      </w:r>
      <w:r>
        <w:rPr>
          <w:rFonts w:ascii="Times New Roman" w:hAnsi="Times New Roman"/>
          <w:color w:val="000000"/>
          <w:sz w:val="20"/>
        </w:rPr>
        <w:t xml:space="preserve"> </w:t>
      </w: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Commonwealth</w:t>
      </w:r>
      <w:r>
        <w:rPr>
          <w:rFonts w:ascii="Times New Roman" w:hAnsi="Times New Roman"/>
          <w:color w:val="000000"/>
          <w:sz w:val="20"/>
        </w:rPr>
        <w:t xml:space="preserve"> </w:t>
      </w:r>
      <w:r>
        <w:rPr>
          <w:rFonts w:ascii="Times New Roman" w:hAnsi="Times New Roman"/>
          <w:color w:val="000000"/>
          <w:sz w:val="24"/>
        </w:rPr>
        <w:t>of Massachusetts in connection with any Dispute or any claim related to any Dispute and agree that any claims or legal action shall be commenced and maintained solely in a state or federal court located in the Commonwealth of Massachusetts.</w:t>
      </w: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Integration</w:t>
      </w:r>
      <w:r>
        <w:rPr>
          <w:rFonts w:ascii="Times New Roman" w:hAnsi="Times New Roman"/>
          <w:color w:val="000000"/>
          <w:sz w:val="24"/>
        </w:rPr>
        <w:t>.</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together</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Confidentiality</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the Equity Documents, constitutes the entire agreement between the parties with respect to compensation, severance pay, benefits, and accelerated vesting and supersedes in all respects all prior</w:t>
      </w:r>
      <w:r>
        <w:rPr>
          <w:color w:val="000000"/>
        </w:rPr>
        <w:t xml:space="preserve"> </w:t>
      </w:r>
      <w:r>
        <w:rPr>
          <w:rFonts w:ascii="Times New Roman" w:hAnsi="Times New Roman"/>
          <w:color w:val="000000"/>
          <w:sz w:val="24"/>
        </w:rPr>
        <w:t>agreements</w:t>
      </w:r>
      <w:r>
        <w:rPr>
          <w:color w:val="000000"/>
        </w:rPr>
        <w:t xml:space="preserve"> </w:t>
      </w:r>
      <w:r>
        <w:rPr>
          <w:rFonts w:ascii="Times New Roman" w:hAnsi="Times New Roman"/>
          <w:color w:val="000000"/>
          <w:sz w:val="24"/>
        </w:rPr>
        <w:t>between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parties</w:t>
      </w:r>
      <w:r>
        <w:rPr>
          <w:color w:val="000000"/>
        </w:rPr>
        <w:t xml:space="preserve"> </w:t>
      </w:r>
      <w:r>
        <w:rPr>
          <w:rFonts w:ascii="Times New Roman" w:hAnsi="Times New Roman"/>
          <w:color w:val="000000"/>
          <w:sz w:val="24"/>
        </w:rPr>
        <w:t>concerning</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subject</w:t>
      </w:r>
      <w:r>
        <w:rPr>
          <w:color w:val="000000"/>
        </w:rPr>
        <w:t xml:space="preserve"> </w:t>
      </w:r>
      <w:r>
        <w:rPr>
          <w:rFonts w:ascii="Times New Roman" w:hAnsi="Times New Roman"/>
          <w:color w:val="000000"/>
          <w:sz w:val="24"/>
        </w:rPr>
        <w:t>matter,</w:t>
      </w:r>
      <w:r>
        <w:rPr>
          <w:color w:val="000000"/>
        </w:rPr>
        <w:t xml:space="preserve"> </w:t>
      </w:r>
      <w:r>
        <w:rPr>
          <w:rFonts w:ascii="Times New Roman" w:hAnsi="Times New Roman"/>
          <w:color w:val="000000"/>
          <w:sz w:val="24"/>
        </w:rPr>
        <w:t>including</w:t>
      </w:r>
      <w:r>
        <w:rPr>
          <w:color w:val="000000"/>
        </w:rPr>
        <w:t xml:space="preserve"> </w:t>
      </w:r>
      <w:r>
        <w:rPr>
          <w:rFonts w:ascii="Times New Roman" w:hAnsi="Times New Roman"/>
          <w:color w:val="000000"/>
          <w:sz w:val="24"/>
        </w:rPr>
        <w:t>without</w:t>
      </w:r>
      <w:r>
        <w:rPr>
          <w:color w:val="000000"/>
        </w:rPr>
        <w:t xml:space="preserve"> </w:t>
      </w:r>
      <w:r>
        <w:rPr>
          <w:rFonts w:ascii="Times New Roman" w:hAnsi="Times New Roman"/>
          <w:color w:val="000000"/>
          <w:sz w:val="24"/>
        </w:rPr>
        <w:t>limitation any prior offer letter, draft employment agreement, or discussions relating to the Executive’s employment</w:t>
      </w:r>
      <w:r>
        <w:rPr>
          <w:color w:val="000000"/>
        </w:rPr>
        <w:t xml:space="preserve"> </w:t>
      </w:r>
      <w:r>
        <w:rPr>
          <w:rFonts w:ascii="Times New Roman" w:hAnsi="Times New Roman"/>
          <w:color w:val="000000"/>
          <w:sz w:val="24"/>
        </w:rPr>
        <w:t>relationship</w:t>
      </w:r>
      <w:r>
        <w:rPr>
          <w:color w:val="000000"/>
        </w:rPr>
        <w:t xml:space="preserve"> </w:t>
      </w:r>
      <w:r>
        <w:rPr>
          <w:rFonts w:ascii="Times New Roman" w:hAnsi="Times New Roman"/>
          <w:color w:val="000000"/>
          <w:sz w:val="24"/>
        </w:rPr>
        <w:t>with</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For</w:t>
      </w:r>
      <w:r>
        <w:rPr>
          <w:color w:val="000000"/>
        </w:rPr>
        <w:t xml:space="preserve"> </w:t>
      </w:r>
      <w:r>
        <w:rPr>
          <w:rFonts w:ascii="Times New Roman" w:hAnsi="Times New Roman"/>
          <w:color w:val="000000"/>
          <w:sz w:val="24"/>
        </w:rPr>
        <w:t>purposes</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shall include affiliates and subsidiaries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Enforceability</w:t>
      </w:r>
      <w:r>
        <w:rPr>
          <w:rFonts w:ascii="Times New Roman" w:hAnsi="Times New Roman"/>
          <w:color w:val="000000"/>
          <w:sz w:val="24"/>
        </w:rPr>
        <w:t>.</w:t>
      </w:r>
      <w:r>
        <w:rPr>
          <w:color w:val="000000"/>
        </w:rPr>
        <w:t xml:space="preserve"> </w:t>
      </w:r>
      <w:r>
        <w:rPr>
          <w:rFonts w:ascii="Times New Roman" w:hAnsi="Times New Roman"/>
          <w:color w:val="000000"/>
          <w:sz w:val="24"/>
        </w:rPr>
        <w:t>If any</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of 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(including, without limitation, any portion or provision of any Section of this Agreement) shall to any extent be declared illegal or unenforceable by a court of competent jurisdiction, then the remainder of this Agreement,</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application</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provision</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circumstances</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than</w:t>
      </w:r>
      <w:r>
        <w:rPr>
          <w:color w:val="000000"/>
        </w:rPr>
        <w:t xml:space="preserve"> </w:t>
      </w:r>
      <w:r>
        <w:rPr>
          <w:rFonts w:ascii="Times New Roman" w:hAnsi="Times New Roman"/>
          <w:color w:val="000000"/>
          <w:sz w:val="24"/>
        </w:rPr>
        <w:t>those</w:t>
      </w:r>
      <w:r>
        <w:rPr>
          <w:color w:val="000000"/>
        </w:rPr>
        <w:t xml:space="preserve"> </w:t>
      </w:r>
      <w:r>
        <w:rPr>
          <w:rFonts w:ascii="Times New Roman" w:hAnsi="Times New Roman"/>
          <w:color w:val="000000"/>
          <w:sz w:val="24"/>
        </w:rPr>
        <w:t>as</w:t>
      </w:r>
      <w:r>
        <w:rPr>
          <w:color w:val="000000"/>
        </w:rPr>
        <w:t xml:space="preserve"> </w:t>
      </w:r>
      <w:r>
        <w:rPr>
          <w:rFonts w:ascii="Times New Roman" w:hAnsi="Times New Roman"/>
          <w:color w:val="000000"/>
          <w:sz w:val="24"/>
        </w:rPr>
        <w:t>to which</w:t>
      </w:r>
      <w:r>
        <w:rPr>
          <w:color w:val="000000"/>
        </w:rPr>
        <w:t xml:space="preserve"> </w:t>
      </w:r>
      <w:r>
        <w:rPr>
          <w:rFonts w:ascii="Times New Roman" w:hAnsi="Times New Roman"/>
          <w:color w:val="000000"/>
          <w:sz w:val="24"/>
        </w:rPr>
        <w:t>it</w:t>
      </w:r>
      <w:r>
        <w:rPr>
          <w:color w:val="000000"/>
        </w:rPr>
        <w:t xml:space="preserve"> </w:t>
      </w:r>
      <w:r>
        <w:rPr>
          <w:rFonts w:ascii="Times New Roman" w:hAnsi="Times New Roman"/>
          <w:color w:val="000000"/>
          <w:sz w:val="24"/>
        </w:rPr>
        <w:t>is</w:t>
      </w:r>
      <w:r>
        <w:rPr>
          <w:color w:val="000000"/>
        </w:rPr>
        <w:t xml:space="preserve"> </w:t>
      </w:r>
      <w:r>
        <w:rPr>
          <w:rFonts w:ascii="Times New Roman" w:hAnsi="Times New Roman"/>
          <w:color w:val="000000"/>
          <w:sz w:val="24"/>
        </w:rPr>
        <w:t>so</w:t>
      </w:r>
      <w:r>
        <w:rPr>
          <w:color w:val="000000"/>
        </w:rPr>
        <w:t xml:space="preserve"> </w:t>
      </w:r>
      <w:r>
        <w:rPr>
          <w:rFonts w:ascii="Times New Roman" w:hAnsi="Times New Roman"/>
          <w:color w:val="000000"/>
          <w:sz w:val="24"/>
        </w:rPr>
        <w:t>declared</w:t>
      </w:r>
      <w:r>
        <w:rPr>
          <w:color w:val="000000"/>
        </w:rPr>
        <w:t xml:space="preserve"> </w:t>
      </w:r>
      <w:r>
        <w:rPr>
          <w:rFonts w:ascii="Times New Roman" w:hAnsi="Times New Roman"/>
          <w:color w:val="000000"/>
          <w:sz w:val="24"/>
        </w:rPr>
        <w:t>illegal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unenforceable,</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affected</w:t>
      </w:r>
      <w:r>
        <w:rPr>
          <w:color w:val="000000"/>
        </w:rPr>
        <w:t xml:space="preserve"> </w:t>
      </w:r>
      <w:r>
        <w:rPr>
          <w:rFonts w:ascii="Times New Roman" w:hAnsi="Times New Roman"/>
          <w:color w:val="000000"/>
          <w:sz w:val="24"/>
        </w:rPr>
        <w:t>thereby,</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portion</w:t>
      </w:r>
      <w:r>
        <w:rPr>
          <w:color w:val="000000"/>
        </w:rPr>
        <w:t xml:space="preserve"> </w:t>
      </w:r>
      <w:r>
        <w:rPr>
          <w:rFonts w:ascii="Times New Roman" w:hAnsi="Times New Roman"/>
          <w:color w:val="000000"/>
          <w:sz w:val="24"/>
        </w:rPr>
        <w:t>and provision of this Agreement shall be valid and enforceable to the fullest extent permitted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720"/>
        <w:jc w:val="both"/>
        <w:rPr>
          <w:rFonts w:ascii="Times New Roman" w:hAnsi="Times New Roman"/>
          <w:b/>
          <w:color w:val="000000"/>
          <w:sz w:val="24"/>
        </w:rPr>
      </w:pPr>
      <w:r>
        <w:rPr>
          <w:rFonts w:ascii="Times New Roman" w:hAnsi="Times New Roman"/>
          <w:b/>
          <w:color w:val="000000"/>
          <w:sz w:val="24"/>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b/>
          <w:color w:val="000000"/>
          <w:sz w:val="24"/>
          <w:u w:val="single"/>
        </w:rPr>
        <w:t>Waiver</w:t>
      </w:r>
      <w:r>
        <w:rPr>
          <w:rFonts w:ascii="Times New Roman" w:hAnsi="Times New Roman"/>
          <w:color w:val="000000"/>
          <w:sz w:val="24"/>
        </w:rPr>
        <w:t>.</w:t>
      </w:r>
      <w:r>
        <w:rPr>
          <w:color w:val="000000"/>
        </w:rPr>
        <w:t xml:space="preserve"> </w:t>
      </w:r>
      <w:r>
        <w:rPr>
          <w:rFonts w:ascii="Times New Roman" w:hAnsi="Times New Roman"/>
          <w:color w:val="000000"/>
          <w:sz w:val="24"/>
        </w:rPr>
        <w:t>No waiver of any provision hereof shall be effective unless made in writing and signed by the waiving party.</w:t>
      </w:r>
      <w:r>
        <w:rPr>
          <w:color w:val="000000"/>
        </w:rPr>
        <w:t xml:space="preserve"> </w:t>
      </w:r>
      <w:r>
        <w:rPr>
          <w:rFonts w:ascii="Times New Roman" w:hAnsi="Times New Roman"/>
          <w:color w:val="000000"/>
          <w:sz w:val="24"/>
        </w:rPr>
        <w:t>The failure of any party to require the performance of any term or obligation of this Agreement, or the waiver by any party of any breach of this Agreement,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prevent</w:t>
      </w:r>
      <w:r>
        <w:rPr>
          <w:color w:val="000000"/>
        </w:rPr>
        <w:t xml:space="preserve"> </w:t>
      </w:r>
      <w:r>
        <w:rPr>
          <w:rFonts w:ascii="Times New Roman" w:hAnsi="Times New Roman"/>
          <w:color w:val="000000"/>
          <w:sz w:val="24"/>
        </w:rPr>
        <w:t>any</w:t>
      </w:r>
      <w:r>
        <w:rPr>
          <w:color w:val="000000"/>
        </w:rPr>
        <w:t xml:space="preserve"> </w:t>
      </w:r>
      <w:r>
        <w:rPr>
          <w:rFonts w:ascii="Times New Roman" w:hAnsi="Times New Roman"/>
          <w:color w:val="000000"/>
          <w:sz w:val="24"/>
        </w:rPr>
        <w:t>subsequent</w:t>
      </w:r>
      <w:r>
        <w:rPr>
          <w:color w:val="000000"/>
        </w:rPr>
        <w:t xml:space="preserve"> </w:t>
      </w:r>
      <w:r>
        <w:rPr>
          <w:rFonts w:ascii="Times New Roman" w:hAnsi="Times New Roman"/>
          <w:color w:val="000000"/>
          <w:sz w:val="24"/>
        </w:rPr>
        <w:t>enforcement</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term</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obligation</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deemed a waiver of any subsequent breach.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Notices</w:t>
      </w:r>
      <w:r>
        <w:rPr>
          <w:rFonts w:ascii="Times New Roman" w:hAnsi="Times New Roman"/>
          <w:color w:val="000000"/>
          <w:sz w:val="24"/>
        </w:rPr>
        <w:t>.</w:t>
      </w:r>
      <w:r>
        <w:rPr>
          <w:color w:val="000000"/>
        </w:rPr>
        <w:t xml:space="preserve"> </w:t>
      </w:r>
      <w:r>
        <w:rPr>
          <w:rFonts w:ascii="Times New Roman" w:hAnsi="Times New Roman"/>
          <w:color w:val="000000"/>
          <w:sz w:val="24"/>
        </w:rPr>
        <w:t>Any notices, requests, demands and other communications provided for by</w:t>
      </w:r>
      <w:r>
        <w:rPr>
          <w:color w:val="000000"/>
        </w:rPr>
        <w:t xml:space="preserve"> </w:t>
      </w:r>
      <w:r>
        <w:rPr>
          <w:rFonts w:ascii="Times New Roman" w:hAnsi="Times New Roman"/>
          <w:color w:val="000000"/>
          <w:sz w:val="24"/>
        </w:rPr>
        <w:t>this</w:t>
      </w:r>
      <w:r>
        <w:rPr>
          <w:color w:val="000000"/>
        </w:rPr>
        <w:t xml:space="preserve"> </w:t>
      </w:r>
      <w:r>
        <w:rPr>
          <w:rFonts w:ascii="Times New Roman" w:hAnsi="Times New Roman"/>
          <w:color w:val="000000"/>
          <w:sz w:val="24"/>
        </w:rPr>
        <w:t>Agreement</w:t>
      </w:r>
      <w:r>
        <w:rPr>
          <w:color w:val="000000"/>
        </w:rPr>
        <w:t xml:space="preserve"> </w:t>
      </w:r>
      <w:r>
        <w:rPr>
          <w:rFonts w:ascii="Times New Roman" w:hAnsi="Times New Roman"/>
          <w:color w:val="000000"/>
          <w:sz w:val="24"/>
        </w:rPr>
        <w:t>shall</w:t>
      </w:r>
      <w:r>
        <w:rPr>
          <w:color w:val="000000"/>
        </w:rPr>
        <w:t xml:space="preserve"> </w:t>
      </w:r>
      <w:r>
        <w:rPr>
          <w:rFonts w:ascii="Times New Roman" w:hAnsi="Times New Roman"/>
          <w:color w:val="000000"/>
          <w:sz w:val="24"/>
        </w:rPr>
        <w:t>be</w:t>
      </w:r>
      <w:r>
        <w:rPr>
          <w:color w:val="000000"/>
        </w:rPr>
        <w:t xml:space="preserve"> </w:t>
      </w:r>
      <w:r>
        <w:rPr>
          <w:rFonts w:ascii="Times New Roman" w:hAnsi="Times New Roman"/>
          <w:color w:val="000000"/>
          <w:sz w:val="24"/>
        </w:rPr>
        <w:t>sufficient</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writing</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w:t>
      </w:r>
      <w:r>
        <w:rPr>
          <w:color w:val="000000"/>
        </w:rPr>
        <w:t xml:space="preserve"> </w:t>
      </w:r>
      <w:r>
        <w:rPr>
          <w:rFonts w:ascii="Times New Roman" w:hAnsi="Times New Roman"/>
          <w:color w:val="000000"/>
          <w:sz w:val="24"/>
        </w:rPr>
        <w:t>sent</w:t>
      </w:r>
      <w:r>
        <w:rPr>
          <w:color w:val="000000"/>
        </w:rPr>
        <w:t xml:space="preserve"> </w:t>
      </w:r>
      <w:r>
        <w:rPr>
          <w:rFonts w:ascii="Times New Roman" w:hAnsi="Times New Roman"/>
          <w:color w:val="000000"/>
          <w:sz w:val="24"/>
        </w:rPr>
        <w:t>by</w:t>
      </w:r>
      <w:r>
        <w:rPr>
          <w:color w:val="000000"/>
        </w:rPr>
        <w:t xml:space="preserve"> </w:t>
      </w:r>
      <w:r>
        <w:rPr>
          <w:rFonts w:ascii="Times New Roman" w:hAnsi="Times New Roman"/>
          <w:color w:val="000000"/>
          <w:sz w:val="24"/>
        </w:rPr>
        <w:t>email</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email</w:t>
      </w:r>
      <w:r>
        <w:rPr>
          <w:color w:val="000000"/>
        </w:rPr>
        <w:t xml:space="preserve"> </w:t>
      </w:r>
      <w:r>
        <w:rPr>
          <w:rFonts w:ascii="Times New Roman" w:hAnsi="Times New Roman"/>
          <w:color w:val="000000"/>
          <w:sz w:val="24"/>
        </w:rPr>
        <w:t>addresses</w:t>
      </w:r>
      <w:r>
        <w:rPr>
          <w:color w:val="000000"/>
        </w:rPr>
        <w:t xml:space="preserve"> </w:t>
      </w:r>
      <w:r>
        <w:rPr>
          <w:rFonts w:ascii="Times New Roman" w:hAnsi="Times New Roman"/>
          <w:color w:val="000000"/>
          <w:sz w:val="24"/>
        </w:rPr>
        <w:t>used by</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Chief</w:t>
      </w:r>
      <w:r>
        <w:rPr>
          <w:color w:val="000000"/>
        </w:rPr>
        <w:t xml:space="preserve"> </w:t>
      </w:r>
      <w:r>
        <w:rPr>
          <w:rFonts w:ascii="Times New Roman" w:hAnsi="Times New Roman"/>
          <w:color w:val="000000"/>
          <w:sz w:val="24"/>
        </w:rPr>
        <w:t>Human</w:t>
      </w:r>
      <w:r>
        <w:rPr>
          <w:color w:val="000000"/>
        </w:rPr>
        <w:t xml:space="preserve"> </w:t>
      </w:r>
      <w:r>
        <w:rPr>
          <w:rFonts w:ascii="Times New Roman" w:hAnsi="Times New Roman"/>
          <w:color w:val="000000"/>
          <w:sz w:val="24"/>
        </w:rPr>
        <w:t>Resources</w:t>
      </w:r>
      <w:r>
        <w:rPr>
          <w:color w:val="000000"/>
        </w:rPr>
        <w:t xml:space="preserve"> </w:t>
      </w:r>
      <w:r>
        <w:rPr>
          <w:rFonts w:ascii="Times New Roman" w:hAnsi="Times New Roman"/>
          <w:color w:val="000000"/>
          <w:sz w:val="24"/>
        </w:rPr>
        <w:t>Officer</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if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w:t>
      </w:r>
      <w:r>
        <w:rPr>
          <w:color w:val="000000"/>
        </w:rPr>
        <w:t xml:space="preserve"> </w:t>
      </w:r>
      <w:r>
        <w:rPr>
          <w:rFonts w:ascii="Times New Roman" w:hAnsi="Times New Roman"/>
          <w:color w:val="000000"/>
          <w:sz w:val="24"/>
        </w:rPr>
        <w:t>does</w:t>
      </w:r>
      <w:r>
        <w:rPr>
          <w:color w:val="000000"/>
        </w:rPr>
        <w:t xml:space="preserve"> </w:t>
      </w:r>
      <w:r>
        <w:rPr>
          <w:rFonts w:ascii="Times New Roman" w:hAnsi="Times New Roman"/>
          <w:color w:val="000000"/>
          <w:sz w:val="24"/>
        </w:rPr>
        <w:t>not</w:t>
      </w:r>
      <w:r>
        <w:rPr>
          <w:color w:val="000000"/>
        </w:rPr>
        <w:t xml:space="preserve"> </w:t>
      </w:r>
      <w:r>
        <w:rPr>
          <w:rFonts w:ascii="Times New Roman" w:hAnsi="Times New Roman"/>
          <w:color w:val="000000"/>
          <w:sz w:val="24"/>
        </w:rPr>
        <w:t>have</w:t>
      </w:r>
      <w:r>
        <w:rPr>
          <w:color w:val="000000"/>
        </w:rPr>
        <w:t xml:space="preserve"> </w:t>
      </w:r>
      <w:r>
        <w:rPr>
          <w:rFonts w:ascii="Times New Roman" w:hAnsi="Times New Roman"/>
          <w:color w:val="000000"/>
          <w:sz w:val="24"/>
        </w:rPr>
        <w:t>a</w:t>
      </w:r>
      <w:r>
        <w:rPr>
          <w:color w:val="000000"/>
        </w:rPr>
        <w:t xml:space="preserve"> </w:t>
      </w:r>
      <w:r>
        <w:rPr>
          <w:rFonts w:ascii="Times New Roman" w:hAnsi="Times New Roman"/>
          <w:color w:val="000000"/>
          <w:sz w:val="24"/>
        </w:rPr>
        <w:t>Chief</w:t>
      </w:r>
      <w:r>
        <w:rPr>
          <w:color w:val="000000"/>
        </w:rPr>
        <w:t xml:space="preserve"> </w:t>
      </w:r>
      <w:r>
        <w:rPr>
          <w:rFonts w:ascii="Times New Roman" w:hAnsi="Times New Roman"/>
          <w:color w:val="000000"/>
          <w:sz w:val="24"/>
        </w:rPr>
        <w:t>Human</w:t>
      </w:r>
      <w:r>
        <w:rPr>
          <w:color w:val="000000"/>
        </w:rPr>
        <w:t xml:space="preserve"> </w:t>
      </w:r>
      <w:r>
        <w:rPr>
          <w:rFonts w:ascii="Times New Roman" w:hAnsi="Times New Roman"/>
          <w:color w:val="000000"/>
          <w:sz w:val="24"/>
        </w:rPr>
        <w:t>Resources Officer at the time of the notice, the most senior officer in the human resources function of the Company (in the case of notices to the Company), or by the Executive (in the case of notices to the Executive) in their usual course of business; (ii) delivered by hand; (iii) sent by a nationally recognized overnight courier service or (iv) sent by registered or certified mail, postage prepaid, return</w:t>
      </w:r>
      <w:r>
        <w:rPr>
          <w:color w:val="000000"/>
        </w:rPr>
        <w:t xml:space="preserve"> </w:t>
      </w:r>
      <w:r>
        <w:rPr>
          <w:rFonts w:ascii="Times New Roman" w:hAnsi="Times New Roman"/>
          <w:color w:val="000000"/>
          <w:sz w:val="24"/>
        </w:rPr>
        <w:t>receipt</w:t>
      </w:r>
      <w:r>
        <w:rPr>
          <w:color w:val="000000"/>
        </w:rPr>
        <w:t xml:space="preserve"> </w:t>
      </w:r>
      <w:r>
        <w:rPr>
          <w:rFonts w:ascii="Times New Roman" w:hAnsi="Times New Roman"/>
          <w:color w:val="000000"/>
          <w:sz w:val="24"/>
        </w:rPr>
        <w:t>requested,</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each</w:t>
      </w:r>
      <w:r>
        <w:rPr>
          <w:color w:val="000000"/>
        </w:rPr>
        <w:t xml:space="preserve"> </w:t>
      </w:r>
      <w:r>
        <w:rPr>
          <w:rFonts w:ascii="Times New Roman" w:hAnsi="Times New Roman"/>
          <w:color w:val="000000"/>
          <w:sz w:val="24"/>
        </w:rPr>
        <w:t>case</w:t>
      </w:r>
      <w:r>
        <w:rPr>
          <w:color w:val="000000"/>
        </w:rPr>
        <w:t xml:space="preserve"> </w:t>
      </w:r>
      <w:r>
        <w:rPr>
          <w:rFonts w:ascii="Times New Roman" w:hAnsi="Times New Roman"/>
          <w:color w:val="000000"/>
          <w:sz w:val="24"/>
        </w:rPr>
        <w:t>(clauses</w:t>
      </w:r>
      <w:r>
        <w:rPr>
          <w:color w:val="000000"/>
        </w:rPr>
        <w:t xml:space="preserve"> </w:t>
      </w:r>
      <w:r>
        <w:rPr>
          <w:rFonts w:ascii="Times New Roman" w:hAnsi="Times New Roman"/>
          <w:color w:val="000000"/>
          <w:sz w:val="24"/>
        </w:rPr>
        <w:t>(iii)</w:t>
      </w:r>
      <w:r>
        <w:rPr>
          <w:color w:val="000000"/>
        </w:rPr>
        <w:t xml:space="preserve"> </w:t>
      </w:r>
      <w:r>
        <w:rPr>
          <w:rFonts w:ascii="Times New Roman" w:hAnsi="Times New Roman"/>
          <w:color w:val="000000"/>
          <w:sz w:val="24"/>
        </w:rPr>
        <w:t>and</w:t>
      </w:r>
      <w:r>
        <w:rPr>
          <w:color w:val="000000"/>
        </w:rPr>
        <w:t xml:space="preserve"> </w:t>
      </w:r>
      <w:r>
        <w:rPr>
          <w:rFonts w:ascii="Times New Roman" w:hAnsi="Times New Roman"/>
          <w:color w:val="000000"/>
          <w:sz w:val="24"/>
        </w:rPr>
        <w:t>(iv))</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last</w:t>
      </w:r>
      <w:r>
        <w:rPr>
          <w:color w:val="000000"/>
        </w:rPr>
        <w:t xml:space="preserve"> </w:t>
      </w:r>
      <w:r>
        <w:rPr>
          <w:rFonts w:ascii="Times New Roman" w:hAnsi="Times New Roman"/>
          <w:color w:val="000000"/>
          <w:sz w:val="24"/>
        </w:rPr>
        <w:t>address</w:t>
      </w:r>
      <w:r>
        <w:rPr>
          <w:color w:val="000000"/>
        </w:rPr>
        <w:t xml:space="preserve"> </w:t>
      </w:r>
      <w:r>
        <w:rPr>
          <w:rFonts w:ascii="Times New Roman" w:hAnsi="Times New Roman"/>
          <w:color w:val="000000"/>
          <w:sz w:val="24"/>
        </w:rPr>
        <w:t>the Executive has filed in writing with the Company, or (as applicable) to the Company at its main office, attention of the</w:t>
      </w:r>
      <w:r>
        <w:rPr>
          <w:color w:val="000000"/>
        </w:rPr>
        <w:t xml:space="preserve"> </w:t>
      </w:r>
      <w:r>
        <w:rPr>
          <w:rFonts w:ascii="Times New Roman" w:hAnsi="Times New Roman"/>
          <w:color w:val="000000"/>
          <w:sz w:val="24"/>
        </w:rPr>
        <w:t>Chief</w:t>
      </w:r>
      <w:r>
        <w:rPr>
          <w:color w:val="000000"/>
        </w:rPr>
        <w:t xml:space="preserve"> </w:t>
      </w:r>
      <w:r>
        <w:rPr>
          <w:rFonts w:ascii="Times New Roman" w:hAnsi="Times New Roman"/>
          <w:color w:val="000000"/>
          <w:sz w:val="24"/>
        </w:rPr>
        <w:t>Human Resources Officer or, if</w:t>
      </w:r>
      <w:r>
        <w:rPr>
          <w:color w:val="000000"/>
        </w:rPr>
        <w:t xml:space="preserve"> </w:t>
      </w:r>
      <w:r>
        <w:rPr>
          <w:rFonts w:ascii="Times New Roman" w:hAnsi="Times New Roman"/>
          <w:color w:val="000000"/>
          <w:sz w:val="24"/>
        </w:rPr>
        <w:t>the Company does not have a Chief Human</w:t>
      </w:r>
      <w:r>
        <w:rPr>
          <w:color w:val="000000"/>
        </w:rPr>
        <w:t xml:space="preserve"> </w:t>
      </w:r>
      <w:r>
        <w:rPr>
          <w:rFonts w:ascii="Times New Roman" w:hAnsi="Times New Roman"/>
          <w:color w:val="000000"/>
          <w:sz w:val="24"/>
        </w:rPr>
        <w:t>Resources</w:t>
      </w:r>
      <w:r>
        <w:rPr>
          <w:color w:val="000000"/>
        </w:rPr>
        <w:t xml:space="preserve"> </w:t>
      </w:r>
      <w:r>
        <w:rPr>
          <w:rFonts w:ascii="Times New Roman" w:hAnsi="Times New Roman"/>
          <w:color w:val="000000"/>
          <w:sz w:val="24"/>
        </w:rPr>
        <w:t>Officer</w:t>
      </w:r>
      <w:r>
        <w:rPr>
          <w:color w:val="000000"/>
        </w:rPr>
        <w:t xml:space="preserve"> </w:t>
      </w:r>
      <w:r>
        <w:rPr>
          <w:rFonts w:ascii="Times New Roman" w:hAnsi="Times New Roman"/>
          <w:color w:val="000000"/>
          <w:sz w:val="24"/>
        </w:rPr>
        <w:t>at</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time</w:t>
      </w:r>
      <w:r>
        <w:rPr>
          <w:color w:val="000000"/>
        </w:rPr>
        <w:t xml:space="preserve"> </w:t>
      </w:r>
      <w:r>
        <w:rPr>
          <w:rFonts w:ascii="Times New Roman" w:hAnsi="Times New Roman"/>
          <w:color w:val="000000"/>
          <w:sz w:val="24"/>
        </w:rPr>
        <w:t>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notice,</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most</w:t>
      </w:r>
      <w:r>
        <w:rPr>
          <w:color w:val="000000"/>
        </w:rPr>
        <w:t xml:space="preserve"> </w:t>
      </w:r>
      <w:r>
        <w:rPr>
          <w:rFonts w:ascii="Times New Roman" w:hAnsi="Times New Roman"/>
          <w:color w:val="000000"/>
          <w:sz w:val="24"/>
        </w:rPr>
        <w:t>senior</w:t>
      </w:r>
      <w:r>
        <w:rPr>
          <w:color w:val="000000"/>
        </w:rPr>
        <w:t xml:space="preserve"> </w:t>
      </w:r>
      <w:r>
        <w:rPr>
          <w:rFonts w:ascii="Times New Roman" w:hAnsi="Times New Roman"/>
          <w:color w:val="000000"/>
          <w:sz w:val="24"/>
        </w:rPr>
        <w:t>officer</w:t>
      </w:r>
      <w:r>
        <w:rPr>
          <w:color w:val="000000"/>
        </w:rPr>
        <w:t xml:space="preserve"> </w:t>
      </w:r>
      <w:r>
        <w:rPr>
          <w:rFonts w:ascii="Times New Roman" w:hAnsi="Times New Roman"/>
          <w:color w:val="000000"/>
          <w:sz w:val="24"/>
        </w:rPr>
        <w:t>in</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human</w:t>
      </w:r>
      <w:r>
        <w:rPr>
          <w:color w:val="000000"/>
        </w:rPr>
        <w:t xml:space="preserve"> </w:t>
      </w:r>
      <w:r>
        <w:rPr>
          <w:rFonts w:ascii="Times New Roman" w:hAnsi="Times New Roman"/>
          <w:color w:val="000000"/>
          <w:sz w:val="24"/>
        </w:rPr>
        <w:t>resources function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Amendment</w:t>
      </w:r>
      <w:r>
        <w:rPr>
          <w:rFonts w:ascii="Times New Roman" w:hAnsi="Times New Roman"/>
          <w:color w:val="000000"/>
          <w:sz w:val="24"/>
        </w:rPr>
        <w:t>.</w:t>
      </w:r>
      <w:r>
        <w:rPr>
          <w:color w:val="000000"/>
        </w:rPr>
        <w:t xml:space="preserve"> </w:t>
      </w:r>
      <w:r>
        <w:rPr>
          <w:rFonts w:ascii="Times New Roman" w:hAnsi="Times New Roman"/>
          <w:color w:val="000000"/>
          <w:sz w:val="24"/>
        </w:rPr>
        <w:t>This Agreement may be amended or modified only by a written instrument signed by the Executive and by a duly authorized representative of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Assignment and Transfer by the Company; Successors</w:t>
      </w:r>
      <w:r>
        <w:rPr>
          <w:rFonts w:ascii="Times New Roman" w:hAnsi="Times New Roman"/>
          <w:color w:val="000000"/>
          <w:sz w:val="24"/>
        </w:rPr>
        <w:t>.</w:t>
      </w:r>
      <w:r>
        <w:rPr>
          <w:color w:val="000000"/>
        </w:rPr>
        <w:t xml:space="preserve"> </w:t>
      </w:r>
      <w:r>
        <w:rPr>
          <w:rFonts w:ascii="Times New Roman" w:hAnsi="Times New Roman"/>
          <w:color w:val="000000"/>
          <w:sz w:val="24"/>
        </w:rPr>
        <w:t>The Company shall have the right to assign and/or transfer this Agreement to any entity or person, including without limitation the Company’s parents, subsidiaries, other affiliates, successors, and acquirers of Company</w:t>
      </w:r>
      <w:r>
        <w:rPr>
          <w:color w:val="000000"/>
        </w:rPr>
        <w:t xml:space="preserve"> </w:t>
      </w:r>
      <w:r>
        <w:rPr>
          <w:rFonts w:ascii="Times New Roman" w:hAnsi="Times New Roman"/>
          <w:color w:val="000000"/>
          <w:sz w:val="24"/>
        </w:rPr>
        <w:t>stock</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other</w:t>
      </w:r>
      <w:r>
        <w:rPr>
          <w:color w:val="000000"/>
        </w:rPr>
        <w:t xml:space="preserve"> </w:t>
      </w:r>
      <w:r>
        <w:rPr>
          <w:rFonts w:ascii="Times New Roman" w:hAnsi="Times New Roman"/>
          <w:color w:val="000000"/>
          <w:sz w:val="24"/>
        </w:rPr>
        <w:t>assets,</w:t>
      </w:r>
      <w:r>
        <w:rPr>
          <w:color w:val="000000"/>
        </w:rPr>
        <w:t xml:space="preserve"> </w:t>
      </w:r>
      <w:r>
        <w:rPr>
          <w:rFonts w:ascii="Times New Roman" w:hAnsi="Times New Roman"/>
          <w:color w:val="000000"/>
          <w:sz w:val="24"/>
        </w:rPr>
        <w:t>provided</w:t>
      </w:r>
      <w:r>
        <w:rPr>
          <w:color w:val="000000"/>
        </w:rPr>
        <w:t xml:space="preserve"> </w:t>
      </w:r>
      <w:r>
        <w:rPr>
          <w:rFonts w:ascii="Times New Roman" w:hAnsi="Times New Roman"/>
          <w:color w:val="000000"/>
          <w:sz w:val="24"/>
        </w:rPr>
        <w:t>that</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entity</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person</w:t>
      </w:r>
      <w:r>
        <w:rPr>
          <w:color w:val="000000"/>
        </w:rPr>
        <w:t xml:space="preserve"> </w:t>
      </w:r>
      <w:r>
        <w:rPr>
          <w:rFonts w:ascii="Times New Roman" w:hAnsi="Times New Roman"/>
          <w:color w:val="000000"/>
          <w:sz w:val="24"/>
        </w:rPr>
        <w:t>receives</w:t>
      </w:r>
      <w:r>
        <w:rPr>
          <w:color w:val="000000"/>
        </w:rPr>
        <w:t xml:space="preserve"> </w:t>
      </w:r>
      <w:r>
        <w:rPr>
          <w:rFonts w:ascii="Times New Roman" w:hAnsi="Times New Roman"/>
          <w:color w:val="000000"/>
          <w:sz w:val="24"/>
        </w:rPr>
        <w:t>all</w:t>
      </w:r>
      <w:r>
        <w:rPr>
          <w:color w:val="000000"/>
        </w:rPr>
        <w:t xml:space="preserve"> </w:t>
      </w:r>
      <w:r>
        <w:rPr>
          <w:rFonts w:ascii="Times New Roman" w:hAnsi="Times New Roman"/>
          <w:color w:val="000000"/>
          <w:sz w:val="24"/>
        </w:rPr>
        <w:t>or</w:t>
      </w:r>
      <w:r>
        <w:rPr>
          <w:color w:val="000000"/>
        </w:rPr>
        <w:t xml:space="preserve"> </w:t>
      </w:r>
      <w:r>
        <w:rPr>
          <w:rFonts w:ascii="Times New Roman" w:hAnsi="Times New Roman"/>
          <w:color w:val="000000"/>
          <w:sz w:val="24"/>
        </w:rPr>
        <w:t>substantially</w:t>
      </w:r>
      <w:r>
        <w:rPr>
          <w:color w:val="000000"/>
        </w:rPr>
        <w:t xml:space="preserve"> </w:t>
      </w:r>
      <w:r>
        <w:rPr>
          <w:rFonts w:ascii="Times New Roman" w:hAnsi="Times New Roman"/>
          <w:color w:val="000000"/>
          <w:sz w:val="24"/>
        </w:rPr>
        <w:t>all of</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Company’s</w:t>
      </w:r>
      <w:r>
        <w:rPr>
          <w:color w:val="000000"/>
        </w:rPr>
        <w:t xml:space="preserve"> </w:t>
      </w:r>
      <w:r>
        <w:rPr>
          <w:rFonts w:ascii="Times New Roman" w:hAnsi="Times New Roman"/>
          <w:color w:val="000000"/>
          <w:sz w:val="24"/>
        </w:rPr>
        <w:t>assets.</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rPr>
        <w:t>Executive</w:t>
      </w:r>
      <w:r>
        <w:rPr>
          <w:color w:val="000000"/>
        </w:rPr>
        <w:t xml:space="preserve"> </w:t>
      </w:r>
      <w:r>
        <w:rPr>
          <w:rFonts w:ascii="Times New Roman" w:hAnsi="Times New Roman"/>
          <w:color w:val="000000"/>
          <w:sz w:val="24"/>
        </w:rPr>
        <w:t>hereby</w:t>
      </w:r>
      <w:r>
        <w:rPr>
          <w:color w:val="000000"/>
        </w:rPr>
        <w:t xml:space="preserve"> </w:t>
      </w:r>
      <w:r>
        <w:rPr>
          <w:rFonts w:ascii="Times New Roman" w:hAnsi="Times New Roman"/>
          <w:color w:val="000000"/>
          <w:sz w:val="24"/>
        </w:rPr>
        <w:t>expressly</w:t>
      </w:r>
      <w:r>
        <w:rPr>
          <w:color w:val="000000"/>
        </w:rPr>
        <w:t xml:space="preserve"> </w:t>
      </w:r>
      <w:r>
        <w:rPr>
          <w:rFonts w:ascii="Times New Roman" w:hAnsi="Times New Roman"/>
          <w:color w:val="000000"/>
          <w:sz w:val="24"/>
        </w:rPr>
        <w:t>consents</w:t>
      </w:r>
      <w:r>
        <w:rPr>
          <w:color w:val="000000"/>
        </w:rPr>
        <w:t xml:space="preserve"> </w:t>
      </w:r>
      <w:r>
        <w:rPr>
          <w:rFonts w:ascii="Times New Roman" w:hAnsi="Times New Roman"/>
          <w:color w:val="000000"/>
          <w:sz w:val="24"/>
        </w:rPr>
        <w:t>to</w:t>
      </w:r>
      <w:r>
        <w:rPr>
          <w:color w:val="000000"/>
        </w:rPr>
        <w:t xml:space="preserve"> </w:t>
      </w:r>
      <w:r>
        <w:rPr>
          <w:rFonts w:ascii="Times New Roman" w:hAnsi="Times New Roman"/>
          <w:color w:val="000000"/>
          <w:sz w:val="24"/>
        </w:rPr>
        <w:t>such</w:t>
      </w:r>
      <w:r>
        <w:rPr>
          <w:color w:val="000000"/>
        </w:rPr>
        <w:t xml:space="preserve"> </w:t>
      </w:r>
      <w:r>
        <w:rPr>
          <w:rFonts w:ascii="Times New Roman" w:hAnsi="Times New Roman"/>
          <w:color w:val="000000"/>
          <w:sz w:val="24"/>
        </w:rPr>
        <w:t>assignment</w:t>
      </w:r>
      <w:r>
        <w:rPr>
          <w:color w:val="000000"/>
        </w:rPr>
        <w:t xml:space="preserve"> </w:t>
      </w:r>
      <w:r>
        <w:rPr>
          <w:rFonts w:ascii="Times New Roman" w:hAnsi="Times New Roman"/>
          <w:color w:val="000000"/>
          <w:sz w:val="24"/>
        </w:rPr>
        <w:t>and/or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259" w:after="283"/>
        <w:jc w:val="left"/>
        <w:rPr/>
      </w:pPr>
      <w:r>
        <w:rPr/>
        <w:t> </w:t>
      </w:r>
    </w:p>
    <w:p>
      <w:pPr>
        <w:pStyle w:val="TextBody"/>
        <w:bidi w:val="0"/>
        <w:ind w:left="360" w:right="359" w:hanging="0"/>
        <w:jc w:val="left"/>
        <w:rPr>
          <w:rFonts w:ascii="Times New Roman" w:hAnsi="Times New Roman"/>
          <w:sz w:val="20"/>
        </w:rPr>
      </w:pPr>
      <w:r>
        <w:rPr>
          <w:rFonts w:ascii="Times New Roman" w:hAnsi="Times New Roman"/>
          <w:color w:val="000000"/>
          <w:sz w:val="24"/>
        </w:rPr>
        <w:t>transfer.</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shall</w:t>
      </w:r>
      <w:r>
        <w:rPr>
          <w:rFonts w:ascii="Times New Roman" w:hAnsi="Times New Roman"/>
          <w:color w:val="000000"/>
          <w:sz w:val="20"/>
        </w:rPr>
        <w:t xml:space="preserve"> </w:t>
      </w:r>
      <w:r>
        <w:rPr>
          <w:rFonts w:ascii="Times New Roman" w:hAnsi="Times New Roman"/>
          <w:color w:val="000000"/>
          <w:sz w:val="24"/>
        </w:rPr>
        <w:t>inure</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benefit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be</w:t>
      </w:r>
      <w:r>
        <w:rPr>
          <w:rFonts w:ascii="Times New Roman" w:hAnsi="Times New Roman"/>
          <w:color w:val="000000"/>
          <w:sz w:val="20"/>
        </w:rPr>
        <w:t xml:space="preserve"> </w:t>
      </w:r>
      <w:r>
        <w:rPr>
          <w:rFonts w:ascii="Times New Roman" w:hAnsi="Times New Roman"/>
          <w:color w:val="000000"/>
          <w:sz w:val="24"/>
        </w:rPr>
        <w:t>enforceable</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 assigns, successors, acquirers and transferees.</w:t>
      </w:r>
    </w:p>
    <w:p>
      <w:pPr>
        <w:pStyle w:val="TextBody"/>
        <w:bidi w:val="0"/>
        <w:spacing w:before="240" w:after="283"/>
        <w:ind w:left="360" w:right="360" w:firstLine="720"/>
        <w:jc w:val="both"/>
        <w:rPr>
          <w:rFonts w:ascii="Times New Roman" w:hAnsi="Times New Roman"/>
          <w:b/>
          <w:color w:val="000000"/>
          <w:sz w:val="24"/>
        </w:rPr>
      </w:pPr>
      <w:r>
        <w:rPr>
          <w:rFonts w:ascii="Times New Roman" w:hAnsi="Times New Roman"/>
          <w:b/>
          <w:color w:val="000000"/>
          <w:sz w:val="24"/>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u w:val="single"/>
        </w:rPr>
        <w:t>Counterparts</w:t>
      </w:r>
      <w:r>
        <w:rPr>
          <w:rFonts w:ascii="Times New Roman" w:hAnsi="Times New Roman"/>
          <w:color w:val="000000"/>
          <w:sz w:val="24"/>
        </w:rPr>
        <w:t>.</w:t>
      </w:r>
      <w:r>
        <w:rPr>
          <w:color w:val="000000"/>
        </w:rPr>
        <w:t xml:space="preserve"> </w:t>
      </w:r>
      <w:r>
        <w:rPr>
          <w:rFonts w:ascii="Times New Roman" w:hAnsi="Times New Roman"/>
          <w:color w:val="000000"/>
          <w:sz w:val="24"/>
        </w:rPr>
        <w:t>This Agreement may be executed in any number of counterparts, each of which when so executed and delivered shall be taken to be an original, but all of which together shall constitute one and the same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1"/>
        <w:jc w:val="left"/>
        <w:rPr/>
      </w:pPr>
      <w:r>
        <w:rPr/>
        <w:t> </w:t>
      </w:r>
    </w:p>
    <w:p>
      <w:pPr>
        <w:pStyle w:val="TextBody"/>
        <w:bidi w:val="0"/>
        <w:ind w:left="360" w:right="0" w:firstLine="720"/>
        <w:jc w:val="left"/>
        <w:rPr>
          <w:rFonts w:ascii="Times New Roman" w:hAnsi="Times New Roman"/>
          <w:sz w:val="20"/>
        </w:rPr>
      </w:pPr>
      <w:r>
        <w:rPr>
          <w:rFonts w:ascii="Times New Roman" w:hAnsi="Times New Roman"/>
          <w:color w:val="000000"/>
          <w:sz w:val="24"/>
        </w:rPr>
        <w:t>IN</w:t>
      </w:r>
      <w:r>
        <w:rPr>
          <w:rFonts w:ascii="Times New Roman" w:hAnsi="Times New Roman"/>
          <w:color w:val="000000"/>
          <w:sz w:val="20"/>
        </w:rPr>
        <w:t xml:space="preserve"> </w:t>
      </w:r>
      <w:r>
        <w:rPr>
          <w:rFonts w:ascii="Times New Roman" w:hAnsi="Times New Roman"/>
          <w:color w:val="000000"/>
          <w:sz w:val="24"/>
        </w:rPr>
        <w:t>WITNESS</w:t>
      </w:r>
      <w:r>
        <w:rPr>
          <w:rFonts w:ascii="Times New Roman" w:hAnsi="Times New Roman"/>
          <w:color w:val="000000"/>
          <w:sz w:val="20"/>
        </w:rPr>
        <w:t xml:space="preserve"> </w:t>
      </w:r>
      <w:r>
        <w:rPr>
          <w:rFonts w:ascii="Times New Roman" w:hAnsi="Times New Roman"/>
          <w:color w:val="000000"/>
          <w:sz w:val="24"/>
        </w:rPr>
        <w:t>WHEREOF,</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parties</w:t>
      </w:r>
      <w:r>
        <w:rPr>
          <w:rFonts w:ascii="Times New Roman" w:hAnsi="Times New Roman"/>
          <w:color w:val="000000"/>
          <w:sz w:val="20"/>
        </w:rPr>
        <w:t xml:space="preserve"> </w:t>
      </w:r>
      <w:r>
        <w:rPr>
          <w:rFonts w:ascii="Times New Roman" w:hAnsi="Times New Roman"/>
          <w:color w:val="000000"/>
          <w:sz w:val="24"/>
        </w:rPr>
        <w:t>have</w:t>
      </w:r>
      <w:r>
        <w:rPr>
          <w:rFonts w:ascii="Times New Roman" w:hAnsi="Times New Roman"/>
          <w:color w:val="000000"/>
          <w:sz w:val="20"/>
        </w:rPr>
        <w:t xml:space="preserve"> </w:t>
      </w:r>
      <w:r>
        <w:rPr>
          <w:rFonts w:ascii="Times New Roman" w:hAnsi="Times New Roman"/>
          <w:color w:val="000000"/>
          <w:sz w:val="24"/>
        </w:rPr>
        <w:t>executed</w:t>
      </w:r>
      <w:r>
        <w:rPr>
          <w:rFonts w:ascii="Times New Roman" w:hAnsi="Times New Roman"/>
          <w:color w:val="000000"/>
          <w:sz w:val="20"/>
        </w:rPr>
        <w:t xml:space="preserve"> </w:t>
      </w: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Agreement</w:t>
      </w:r>
      <w:r>
        <w:rPr>
          <w:rFonts w:ascii="Times New Roman" w:hAnsi="Times New Roman"/>
          <w:color w:val="000000"/>
          <w:sz w:val="20"/>
        </w:rPr>
        <w:t xml:space="preserve"> </w:t>
      </w:r>
      <w:r>
        <w:rPr>
          <w:rFonts w:ascii="Times New Roman" w:hAnsi="Times New Roman"/>
          <w:color w:val="000000"/>
          <w:sz w:val="24"/>
        </w:rPr>
        <w:t>effective</w:t>
      </w:r>
      <w:r>
        <w:rPr>
          <w:rFonts w:ascii="Times New Roman" w:hAnsi="Times New Roman"/>
          <w:color w:val="000000"/>
          <w:sz w:val="20"/>
        </w:rPr>
        <w:t xml:space="preserve"> </w:t>
      </w:r>
      <w:r>
        <w:rPr>
          <w:rFonts w:ascii="Times New Roman" w:hAnsi="Times New Roman"/>
          <w:color w:val="000000"/>
          <w:sz w:val="24"/>
        </w:rPr>
        <w:t>on</w:t>
      </w:r>
      <w:r>
        <w:rPr>
          <w:rFonts w:ascii="Times New Roman" w:hAnsi="Times New Roman"/>
          <w:color w:val="000000"/>
          <w:sz w:val="20"/>
        </w:rPr>
        <w:t xml:space="preserve"> </w:t>
      </w:r>
      <w:r>
        <w:rPr>
          <w:rFonts w:ascii="Times New Roman" w:hAnsi="Times New Roman"/>
          <w:color w:val="000000"/>
          <w:sz w:val="24"/>
        </w:rPr>
        <w:t>the Effective Date.</w:t>
      </w:r>
    </w:p>
    <w:p>
      <w:pPr>
        <w:pStyle w:val="TextBody"/>
        <w:bidi w:val="0"/>
        <w:ind w:left="360" w:right="0" w:firstLine="720"/>
        <w:jc w:val="left"/>
        <w:rPr/>
      </w:pPr>
      <w:r>
        <w:rPr/>
        <w:t> </w:t>
      </w:r>
    </w:p>
    <w:tbl>
      <w:tblPr>
        <w:tblW w:w="4363" w:type="dxa"/>
        <w:jc w:val="left"/>
        <w:tblInd w:w="0" w:type="dxa"/>
        <w:tblLayout w:type="fixed"/>
        <w:tblCellMar>
          <w:top w:w="28" w:type="dxa"/>
          <w:left w:w="28" w:type="dxa"/>
          <w:bottom w:w="28" w:type="dxa"/>
          <w:right w:w="28" w:type="dxa"/>
        </w:tblCellMar>
      </w:tblPr>
      <w:tblGrid>
        <w:gridCol w:w="161"/>
        <w:gridCol w:w="616"/>
        <w:gridCol w:w="3586"/>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VOYAGER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Alfred Sandrock, M.D., Ph.D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Alfred Sandrock, M.D., Ph.D.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&amp;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35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December 17, 2024</w:t>
            </w:r>
          </w:p>
        </w:tc>
      </w:tr>
    </w:tbl>
    <w:p>
      <w:pPr>
        <w:pStyle w:val="TextBody"/>
        <w:bidi w:val="0"/>
        <w:jc w:val="left"/>
        <w:rPr/>
      </w:pPr>
      <w:r>
        <w:rPr/>
        <w:t> </w:t>
      </w:r>
    </w:p>
    <w:p>
      <w:pPr>
        <w:pStyle w:val="TextBody"/>
        <w:bidi w:val="0"/>
        <w:ind w:left="360" w:right="0" w:firstLine="720"/>
        <w:jc w:val="left"/>
        <w:rPr/>
      </w:pPr>
      <w:r>
        <w:rPr/>
        <w:t> </w:t>
      </w:r>
    </w:p>
    <w:tbl>
      <w:tblPr>
        <w:tblW w:w="2863" w:type="dxa"/>
        <w:jc w:val="left"/>
        <w:tblInd w:w="0" w:type="dxa"/>
        <w:tblLayout w:type="fixed"/>
        <w:tblCellMar>
          <w:top w:w="28" w:type="dxa"/>
          <w:left w:w="28" w:type="dxa"/>
          <w:bottom w:w="28" w:type="dxa"/>
          <w:right w:w="28" w:type="dxa"/>
        </w:tblCellMar>
      </w:tblPr>
      <w:tblGrid>
        <w:gridCol w:w="161"/>
        <w:gridCol w:w="616"/>
        <w:gridCol w:w="2086"/>
      </w:tblGrid>
      <w:tr>
        <w:trPr/>
        <w:tc>
          <w:tcPr>
            <w:tcW w:w="1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EXECUTIVE: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Amy Quinlan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20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December 17, 2024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3" w:name="vygr-ex31_1.htm"/>
      <w:bookmarkStart w:id="34" w:name="ksvygrex31_1"/>
      <w:bookmarkEnd w:id="33"/>
      <w:bookmarkEnd w:id="3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Alfred Sandrock,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Voyager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43" w:type="dxa"/>
        <w:jc w:val="left"/>
        <w:tblInd w:w="0" w:type="dxa"/>
        <w:tblLayout w:type="fixed"/>
        <w:tblCellMar>
          <w:top w:w="28" w:type="dxa"/>
          <w:left w:w="28" w:type="dxa"/>
          <w:bottom w:w="28" w:type="dxa"/>
          <w:right w:w="28" w:type="dxa"/>
        </w:tblCellMar>
      </w:tblPr>
      <w:tblGrid>
        <w:gridCol w:w="1846"/>
        <w:gridCol w:w="146"/>
        <w:gridCol w:w="40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/s/ Alfred Sandrock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Alfred Sandrock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President, and Director </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5" w:name="vygr-ex31_2.htm"/>
      <w:bookmarkStart w:id="36" w:name="ksvygrex31_2"/>
      <w:bookmarkEnd w:id="35"/>
      <w:bookmarkEnd w:id="3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Robin Swartz, certify that: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2026 of Voyager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846"/>
        <w:gridCol w:w="146"/>
        <w:gridCol w:w="43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/s/ Robin Swartz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Robin Swartz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Operating Officer and Chief Business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7" w:name="vygr-ex32_1.htm"/>
      <w:bookmarkStart w:id="38" w:name="ksvygrex32_1"/>
      <w:bookmarkEnd w:id="37"/>
      <w:bookmarkEnd w:id="3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Voyager Therapeutics, Inc. (the “Company”) for the period ended June 30, 2026, as filed with the Securities and Exchange Commission on the date hereof (the “Report”), each of the undersigned officers hereby certifies, pursuant to 18 U.S.C. Section 1350, as adopted pursuant to Section 906 of the Sarbanes-Oxley Act of 2002 that to his or her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Report which this statement accompanies fully complies with the requirements of Section 13(a) or 15(d) of the Securities Exchange Act of 1934, as amended; and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6253" w:type="dxa"/>
        <w:jc w:val="left"/>
        <w:tblInd w:w="0" w:type="dxa"/>
        <w:tblLayout w:type="fixed"/>
        <w:tblCellMar>
          <w:top w:w="28" w:type="dxa"/>
          <w:left w:w="28" w:type="dxa"/>
          <w:bottom w:w="28" w:type="dxa"/>
          <w:right w:w="28" w:type="dxa"/>
        </w:tblCellMar>
      </w:tblPr>
      <w:tblGrid>
        <w:gridCol w:w="1846"/>
        <w:gridCol w:w="146"/>
        <w:gridCol w:w="42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/s/ Alfred Sandrock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Alfred Sandrock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President, and Director</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/s/ Robin Swartz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Robin Swartz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Officer and Chief Business Officer</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29661</Words>
  <Characters>163157</Characters>
  <CharactersWithSpaces>194914</CharactersWithSpaces>
  <Paragraphs>6686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