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48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60" w:type="dxa"/>
            <w:vAlign w:val="bottom"/>
            <w:gridSpan w:val="3"/>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04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4"/>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Vitale Nancy</w:t>
              </w:r>
            </w:hyperlink>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Voyager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VYGR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4"/>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06/06/2023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VOYAGER THERAPEUTICS, INC.,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5"/>
          </w:tcPr>
          <w:p>
            <w:pPr>
              <w:ind w:left="20"/>
              <w:spacing w:after="0" w:line="183" w:lineRule="exact"/>
              <w:rPr>
                <w:sz w:val="20"/>
                <w:szCs w:val="20"/>
                <w:color w:val="auto"/>
              </w:rPr>
            </w:pPr>
            <w:r>
              <w:rPr>
                <w:rFonts w:ascii="Arial" w:cs="Arial" w:eastAsia="Arial" w:hAnsi="Arial"/>
                <w:sz w:val="17"/>
                <w:szCs w:val="17"/>
                <w:color w:val="0000FF"/>
              </w:rPr>
              <w:t>64 SIDNEY STREET</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5"/>
            <w:vMerge w:val="restart"/>
          </w:tcPr>
          <w:p>
            <w:pPr>
              <w:ind w:left="20"/>
              <w:spacing w:after="0" w:line="164" w:lineRule="exact"/>
              <w:rPr>
                <w:sz w:val="20"/>
                <w:szCs w:val="20"/>
                <w:color w:val="auto"/>
              </w:rPr>
            </w:pPr>
            <w:r>
              <w:rPr>
                <w:rFonts w:ascii="Arial" w:cs="Arial" w:eastAsia="Arial" w:hAnsi="Arial"/>
                <w:sz w:val="17"/>
                <w:szCs w:val="17"/>
                <w:color w:val="0000FF"/>
              </w:rPr>
              <w:t>CAMBRIDGE   MA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02139</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7"/>
                <w:szCs w:val="7"/>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1"/>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760" w:type="dxa"/>
            <w:vAlign w:val="bottom"/>
            <w:tcBorders>
              <w:bottom w:val="single" w:sz="8" w:color="2C2C2C"/>
            </w:tcBorders>
            <w:gridSpan w:val="2"/>
          </w:tcPr>
          <w:p>
            <w:pPr>
              <w:spacing w:after="0"/>
              <w:rPr>
                <w:sz w:val="6"/>
                <w:szCs w:val="6"/>
                <w:color w:val="auto"/>
              </w:rPr>
            </w:pPr>
          </w:p>
        </w:tc>
        <w:tc>
          <w:tcPr>
            <w:tcW w:w="1820" w:type="dxa"/>
            <w:vAlign w:val="bottom"/>
            <w:tcBorders>
              <w:bottom w:val="single" w:sz="8" w:color="2C2C2C"/>
            </w:tcBorders>
            <w:gridSpan w:val="5"/>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1"/>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12.57</w:t>
            </w:r>
          </w:p>
        </w:tc>
        <w:tc>
          <w:tcPr>
            <w:tcW w:w="1040" w:type="dxa"/>
            <w:vAlign w:val="bottom"/>
          </w:tcPr>
          <w:p>
            <w:pPr>
              <w:jc w:val="right"/>
              <w:ind w:right="111"/>
              <w:spacing w:after="0"/>
              <w:rPr>
                <w:sz w:val="20"/>
                <w:szCs w:val="20"/>
                <w:color w:val="auto"/>
              </w:rPr>
            </w:pPr>
            <w:r>
              <w:rPr>
                <w:rFonts w:ascii="Arial" w:cs="Arial" w:eastAsia="Arial" w:hAnsi="Arial"/>
                <w:sz w:val="13"/>
                <w:szCs w:val="13"/>
                <w:color w:val="0000FF"/>
              </w:rPr>
              <w:t>06/06/2023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22,000</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3"/>
          </w:tcPr>
          <w:p>
            <w:pPr>
              <w:ind w:left="140"/>
              <w:spacing w:after="0"/>
              <w:rPr>
                <w:sz w:val="20"/>
                <w:szCs w:val="20"/>
                <w:color w:val="auto"/>
              </w:rPr>
            </w:pPr>
            <w:r>
              <w:rPr>
                <w:rFonts w:ascii="Arial" w:cs="Arial" w:eastAsia="Arial" w:hAnsi="Arial"/>
                <w:sz w:val="13"/>
                <w:szCs w:val="13"/>
                <w:color w:val="0000FF"/>
              </w:rPr>
              <w:t>06/06/2033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22,000</w:t>
            </w: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22,000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jc w:val="both"/>
        <w:ind w:left="40" w:right="260" w:firstLine="4"/>
        <w:spacing w:after="0" w:line="24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stock option was issued pursuant to the 2015 Stock Option and Incentive Plan of Voyager Therapeutics, Inc. in accordance with its director compensation policy. The vesting commencement date (the "Vesting Commencement Date") of the option is the grant date. All of the shares of common stock underlying the option vest upon the earlier of the one-year anniversary of the Vesting Commencement Date or the date of the next annual meeting of stockholders, in each case subject to the Reporting Person's continued service as a director.</w:t>
      </w:r>
    </w:p>
    <w:p>
      <w:pPr>
        <w:spacing w:after="0" w:line="57"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Scott MacDonald,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0299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029970"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Attorney-in-Fact for Nancy</w:t>
      </w:r>
      <w:r>
        <w:rPr>
          <w:sz w:val="20"/>
          <w:szCs w:val="20"/>
          <w:color w:val="auto"/>
        </w:rPr>
        <w:tab/>
      </w:r>
      <w:r>
        <w:rPr>
          <w:rFonts w:ascii="Arial" w:cs="Arial" w:eastAsia="Arial" w:hAnsi="Arial"/>
          <w:sz w:val="15"/>
          <w:szCs w:val="15"/>
          <w:color w:val="0000FF"/>
        </w:rPr>
        <w:t>06/07/2023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1887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257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3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823262" TargetMode="External"/><Relationship Id="rId9" Type="http://schemas.openxmlformats.org/officeDocument/2006/relationships/hyperlink" Target="http://www.sec.gov/cgi-bin/browse-edgar?action=getcompany&amp;CIK=00016402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2023-06-07T15:49:07Z</dcterms:created>
  <dcterms:modified xsi:type="dcterms:W3CDTF">2023-06-07T15:49:07Z</dcterms:modified>
</cp:coreProperties>
</file>