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7795d8k.htm"/>
      <w:bookmarkStart w:id="1" w:name="ksd15779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October 20,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Voyager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001-37625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46-3003182</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75 Hayden Avenue</w:t>
              <w:br/>
              <w:t>Lexington,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02421</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(857) 259-5340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915" w:type="dxa"/>
        <w:jc w:val="left"/>
        <w:tblInd w:w="0" w:type="dxa"/>
        <w:tblLayout w:type="fixed"/>
        <w:tblCellMar>
          <w:top w:w="0" w:type="dxa"/>
          <w:left w:w="0" w:type="dxa"/>
          <w:bottom w:w="0" w:type="dxa"/>
          <w:right w:w="0" w:type="dxa"/>
        </w:tblCellMar>
      </w:tblPr>
      <w:tblGrid>
        <w:gridCol w:w="3230"/>
        <w:gridCol w:w="60"/>
        <w:gridCol w:w="740"/>
        <w:gridCol w:w="60"/>
        <w:gridCol w:w="2825"/>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32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230" w:type="dxa"/>
            <w:tcBorders/>
            <w:vAlign w:val="center"/>
          </w:tcPr>
          <w:p>
            <w:pPr>
              <w:pStyle w:val="TableContents"/>
              <w:bidi w:val="0"/>
              <w:spacing w:before="0" w:after="283"/>
              <w:jc w:val="center"/>
              <w:rPr/>
            </w:pPr>
            <w:r>
              <w:rPr/>
              <w:t>Common Stock, $0.001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VYGR</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Appointment of Robin Swartz </w:t>
      </w:r>
    </w:p>
    <w:p>
      <w:pPr>
        <w:pStyle w:val="TextBody"/>
        <w:bidi w:val="0"/>
        <w:spacing w:before="120" w:after="0"/>
        <w:jc w:val="left"/>
        <w:rPr>
          <w:rFonts w:ascii="Times New Roman" w:hAnsi="Times New Roman"/>
          <w:sz w:val="20"/>
        </w:rPr>
      </w:pPr>
      <w:r>
        <w:rPr>
          <w:rFonts w:ascii="Times New Roman" w:hAnsi="Times New Roman"/>
          <w:sz w:val="20"/>
        </w:rPr>
        <w:t xml:space="preserve">On October 20, 2026 (the “Effective Date”), the Board of Directors (the “Board”) of Voyager Therapeutics, Inc. (the “Company”) appointed Robin Swartz, the Company’s Chief Business Officer and Chief Operating Officer, to serve as President of the Company, effective immediately. Ms. Swartz is also expected to succeed Alfred W. Sandrock, Jr., M.D., Ph.D. as Chief Executive Officer of the Company following the anticipated receipt in the first quarter of 2027 of initial acute safety data in connection with its clinical trial of VY1706 in adults with early Alzheimer’s Disease. Dr. Sandrock is expected to continue to serve as a member of the Board following Ms. Swartz’s anticipated succession. </w:t>
      </w:r>
    </w:p>
    <w:p>
      <w:pPr>
        <w:pStyle w:val="TextBody"/>
        <w:bidi w:val="0"/>
        <w:spacing w:before="240" w:after="0"/>
        <w:jc w:val="left"/>
        <w:rPr>
          <w:rFonts w:ascii="Times New Roman" w:hAnsi="Times New Roman"/>
          <w:sz w:val="20"/>
        </w:rPr>
      </w:pPr>
      <w:r>
        <w:rPr>
          <w:rFonts w:ascii="Times New Roman" w:hAnsi="Times New Roman"/>
          <w:sz w:val="20"/>
        </w:rPr>
        <w:t xml:space="preserve">Ms. Swartz, age 56, has served as the Company’s Chief Operating Officer and Chief Business Officer since November 2024 and as the Company’s Principal Financial Officer and Treasurer since May 2026. She previously served as the Company’s Chief Operating Officer from February 2022 to November 2024, the Company’s Principal Financial Officer and Principal Accounting Officer from April 2024 to July 2024, the Company’s Senior Vice President, Business Operations from September 2021 to February 2022 and the Company’s Senior Vice President, Portfolio Management and Patient Engagement from January 2021 to August 2021. Prior to joining the Company, Ms. Swartz served in positions of increasing responsibility beginning in 1995 at Genzyme Corporation and Sanofi Genzyme, culminating in her service at Sanofi Genzyme as Senior Vice President, Patient and Product Services for Rare Diseases from January 2018 to June 2020 and as Senior Vice President, Head of Global and US Business Operations from June 2015 to December 2017. Her previous roles at Sanofi Genzyme included Chief of Staff to the Executive Vice President, Head of Sanofi Genzyme and Senior Director, Finance. Ms. Swartz spent over ten years serving in roles of increasing responsibility in the Finance department at Sanofi Genzyme, with a focus on finance operations, internal auditing, and financial planning and analysis. Ms. Swartz received a B.A. in political science and government from Kenyon College. </w:t>
      </w:r>
    </w:p>
    <w:p>
      <w:pPr>
        <w:pStyle w:val="TextBody"/>
        <w:bidi w:val="0"/>
        <w:spacing w:before="240" w:after="0"/>
        <w:jc w:val="left"/>
        <w:rPr>
          <w:rFonts w:ascii="Times New Roman" w:hAnsi="Times New Roman"/>
          <w:sz w:val="20"/>
        </w:rPr>
      </w:pPr>
      <w:r>
        <w:rPr>
          <w:rFonts w:ascii="Times New Roman" w:hAnsi="Times New Roman"/>
          <w:sz w:val="20"/>
        </w:rPr>
        <w:t xml:space="preserve">Ms. Swartz has no family relationship with any of the executive officers or directors of the Company or any person nominated or chosen by the Company to become a director or executive officer of the Company. There are no transactions in which Ms. Swartz has an interest requiring disclosure under Item 404(a)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her appointment, Ms. Swartz entered into an amended and restated employment agreement (the “Swartz Agreement”) with the Company as described below. Pursuant to the Swartz Agreement, Ms. Swartz is entitled to an annualized base salary of $625,000, subject to adjustment from time to time in the sole discretion of the Board, and is eligible to receive an annual cash bonus targeted at 50% of her annual base salary then in effect, with the actual amount of such bonus, if any, to be determined by the Board. Ms. Swartz is also eligible to participate in the Company’s employee benefit plans, subject to the terms and conditions of such plans.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Swartz Agreement, the Board also approved the grant to Ms. Swartz, effective as of November 1, 2026 (the “Grant Date”), of a stock option to purchase 318,500 shares of the Company’s common stock at an exercise price per share equal to the closing price per share of the Company’s common stock on The Nasdaq Global Select Market on the Grant Date and of a restricted stock unit award representing the right to receive 68,250 shares of the Company’s common stock. The option award has a ten-year term and vests over a four-year period, with 1/48th of the shares underlying the award vesting monthly, commencing on the Effective Date, subject to Ms. Swartz’s continued employment by the Company. The restricted stock unit award vests over a three-year period, with 1/3rd of the shares underlying the award vesting on the first anniversary of the Grant Date and an additional 1/3rd of the shares underlying the award vesting annually at the end of each subsequent one-year period thereafter, subject to Ms. Swartz’s continued employment by the Company. Each of the option award and the restricted stock unit award is subject to the terms and conditions of the applicable award agreement and is being granted pursuant to the Company’s 2025 Stock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Under the Swartz Agreement, in the event Ms. Swartz terminates her employment with “good reason” or is terminated without “cause” (as such terms are defined in the Swartz Agreement), Ms. Swartz becomes eligible to receive continuation of her base salary for a period of 12 months, a pro rata portion of her target annual bonus and continuation of group health insurance premium payments under COBRA for up to 12 months. In the event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Ms. Swartz terminates her employment with “good reason” or is terminated without “cause” within the period ending 12 months following the consummation of a “sale event” (as defined in the Swartz Agreement), Ms. Swartz becomes eligible to receive continuation of her base salary for 12 months, a pro rata portion of her target annual bonus, continuation of group health insurance premium payments under COBRA for up to 12 months and acceleration in full of the vesting of all equity awards held by her. These severance benefits are subject to the execution and effectiveness of a separation agreement and release of claims in favor of the Company and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terms of the Swartz Agreement is qualified in its entirety by reference to the full text of the Swartz Agreement, a copy of which is attached hereto as Exhibit 10.1 and is incorporated herein by reference.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No.</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57795dex101.htm">
              <w:r>
                <w:rPr>
                  <w:rStyle w:val="InternetLink"/>
                </w:rPr>
                <w:t xml:space="preserve">Amended and Restated Employment Agreement, by and between Voyager Therapeutics, Inc. and Robin Swartz, effective as of October 20,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(formatted as Inline XBRL and contained in Exhibit 101).</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233" w:type="dxa"/>
        <w:jc w:val="left"/>
        <w:tblInd w:w="0" w:type="dxa"/>
        <w:tblLayout w:type="fixed"/>
        <w:tblCellMar>
          <w:top w:w="0" w:type="dxa"/>
          <w:left w:w="0" w:type="dxa"/>
          <w:bottom w:w="0" w:type="dxa"/>
          <w:right w:w="0" w:type="dxa"/>
        </w:tblCellMar>
      </w:tblPr>
      <w:tblGrid>
        <w:gridCol w:w="712"/>
        <w:gridCol w:w="1124"/>
        <w:gridCol w:w="433"/>
        <w:gridCol w:w="60"/>
        <w:gridCol w:w="415"/>
        <w:gridCol w:w="68"/>
        <w:gridCol w:w="3421"/>
      </w:tblGrid>
      <w:tr>
        <w:trPr/>
        <w:tc>
          <w:tcPr>
            <w:tcW w:w="71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3421"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pPr>
            <w:r>
              <w:rPr/>
              <w:t>Date: October 21, 2026</w:t>
            </w:r>
          </w:p>
        </w:tc>
        <w:tc>
          <w:tcPr>
            <w:tcW w:w="60" w:type="dxa"/>
            <w:tcBorders/>
            <w:vAlign w:val="center"/>
          </w:tcPr>
          <w:p>
            <w:pPr>
              <w:pStyle w:val="TableContents"/>
              <w:bidi w:val="0"/>
              <w:spacing w:before="0" w:after="283"/>
              <w:jc w:val="left"/>
              <w:rPr/>
            </w:pPr>
            <w:r>
              <w:rPr/>
              <w:t> </w:t>
            </w:r>
          </w:p>
        </w:tc>
        <w:tc>
          <w:tcPr>
            <w:tcW w:w="3904" w:type="dxa"/>
            <w:gridSpan w:val="3"/>
            <w:tcBorders/>
            <w:vAlign w:val="center"/>
          </w:tcPr>
          <w:p>
            <w:pPr>
              <w:pStyle w:val="TableContents"/>
              <w:bidi w:val="0"/>
              <w:spacing w:before="0" w:after="283"/>
              <w:jc w:val="left"/>
              <w:rPr>
                <w:b/>
              </w:rPr>
            </w:pPr>
            <w:r>
              <w:rPr>
                <w:b/>
              </w:rPr>
              <w:t>VOYAGER THERAPEUTICS, INC.</w:t>
            </w:r>
          </w:p>
        </w:tc>
      </w:tr>
      <w:tr>
        <w:trPr/>
        <w:tc>
          <w:tcPr>
            <w:tcW w:w="712" w:type="dxa"/>
            <w:tcBorders/>
            <w:vAlign w:val="center"/>
          </w:tcPr>
          <w:p>
            <w:pPr>
              <w:pStyle w:val="TableContents"/>
              <w:bidi w:val="0"/>
              <w:spacing w:before="0" w:after="283"/>
              <w:jc w:val="left"/>
              <w:rPr>
                <w:sz w:val="4"/>
                <w:szCs w:val="4"/>
              </w:rPr>
            </w:pPr>
            <w:r>
              <w:rPr>
                <w:sz w:val="4"/>
                <w:szCs w:val="4"/>
              </w:rPr>
            </w:r>
          </w:p>
        </w:tc>
        <w:tc>
          <w:tcPr>
            <w:tcW w:w="1557" w:type="dxa"/>
            <w:gridSpan w:val="2"/>
            <w:tcBorders/>
            <w:vAlign w:val="center"/>
          </w:tcPr>
          <w:p>
            <w:pPr>
              <w:pStyle w:val="TableContents"/>
              <w:bidi w:val="0"/>
              <w:spacing w:before="0" w:after="283"/>
              <w:jc w:val="left"/>
              <w:rPr>
                <w:sz w:val="4"/>
                <w:szCs w:val="4"/>
              </w:rPr>
            </w:pPr>
            <w:r>
              <w:rPr>
                <w:sz w:val="4"/>
                <w:szCs w:val="4"/>
              </w:rPr>
            </w:r>
          </w:p>
        </w:tc>
        <w:tc>
          <w:tcPr>
            <w:tcW w:w="475" w:type="dxa"/>
            <w:gridSpan w:val="2"/>
            <w:tcBorders/>
            <w:vAlign w:val="center"/>
          </w:tcPr>
          <w:p>
            <w:pPr>
              <w:pStyle w:val="TableContents"/>
              <w:bidi w:val="0"/>
              <w:spacing w:before="0" w:after="283"/>
              <w:jc w:val="left"/>
              <w:rPr>
                <w:sz w:val="4"/>
                <w:szCs w:val="4"/>
              </w:rPr>
            </w:pPr>
            <w:r>
              <w:rPr>
                <w:sz w:val="4"/>
                <w:szCs w:val="4"/>
              </w:rPr>
            </w:r>
          </w:p>
        </w:tc>
        <w:tc>
          <w:tcPr>
            <w:tcW w:w="3489" w:type="dxa"/>
            <w:gridSpan w:val="2"/>
            <w:tcBorders/>
            <w:vAlign w:val="center"/>
          </w:tcPr>
          <w:p>
            <w:pPr>
              <w:pStyle w:val="TableContents"/>
              <w:bidi w:val="0"/>
              <w:spacing w:before="0" w:after="283"/>
              <w:jc w:val="left"/>
              <w:rPr>
                <w:sz w:val="4"/>
                <w:szCs w:val="4"/>
              </w:rPr>
            </w:pPr>
            <w:r>
              <w:rPr>
                <w:sz w:val="4"/>
                <w:szCs w:val="4"/>
              </w:rPr>
            </w:r>
          </w:p>
        </w:tc>
      </w:tr>
      <w:tr>
        <w:trPr/>
        <w:tc>
          <w:tcPr>
            <w:tcW w:w="71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By:</w:t>
            </w:r>
          </w:p>
        </w:tc>
        <w:tc>
          <w:tcPr>
            <w:tcW w:w="68" w:type="dxa"/>
            <w:tcBorders/>
            <w:vAlign w:val="center"/>
          </w:tcPr>
          <w:p>
            <w:pPr>
              <w:pStyle w:val="TableContents"/>
              <w:bidi w:val="0"/>
              <w:spacing w:before="0" w:after="283"/>
              <w:jc w:val="left"/>
              <w:rPr/>
            </w:pPr>
            <w:r>
              <w:rPr/>
              <w:t> </w:t>
            </w:r>
          </w:p>
        </w:tc>
        <w:tc>
          <w:tcPr>
            <w:tcW w:w="3421" w:type="dxa"/>
            <w:tcBorders/>
            <w:vAlign w:val="center"/>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Alfred Sandrock</w:t>
            </w:r>
          </w:p>
        </w:tc>
      </w:tr>
      <w:tr>
        <w:trPr/>
        <w:tc>
          <w:tcPr>
            <w:tcW w:w="71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Alfred Sandrock</w:t>
            </w:r>
          </w:p>
        </w:tc>
      </w:tr>
      <w:tr>
        <w:trPr/>
        <w:tc>
          <w:tcPr>
            <w:tcW w:w="71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left"/>
              <w:rPr>
                <w:rFonts w:ascii="Times New Roman" w:hAnsi="Times New Roman"/>
                <w:i/>
                <w:sz w:val="20"/>
              </w:rPr>
            </w:pPr>
            <w:r>
              <w:rPr>
                <w:rFonts w:ascii="Times New Roman" w:hAnsi="Times New Roman"/>
                <w:i/>
                <w:sz w:val="20"/>
              </w:rPr>
              <w:t>(Principal Executive Officer)</w:t>
            </w:r>
          </w:p>
        </w:tc>
      </w:tr>
    </w:tbl>
    <w:p>
      <w:pPr>
        <w:pStyle w:val="TextBody"/>
        <w:bidi w:val="0"/>
        <w:spacing w:before="0" w:after="0"/>
        <w:jc w:val="right"/>
        <w:rPr>
          <w:rFonts w:ascii="Times New Roman" w:hAnsi="Times New Roman"/>
          <w:b/>
          <w:sz w:val="20"/>
        </w:rPr>
      </w:pPr>
      <w:bookmarkStart w:id="2" w:name="d157795dex101.htm"/>
      <w:bookmarkStart w:id="3" w:name="ksd157795dex101"/>
      <w:bookmarkEnd w:id="2"/>
      <w:bookmarkEnd w:id="3"/>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EMPLOYMENT AGREEMENT </w:t>
      </w:r>
    </w:p>
    <w:p>
      <w:pPr>
        <w:pStyle w:val="TextBody"/>
        <w:bidi w:val="0"/>
        <w:spacing w:before="240" w:after="0"/>
        <w:jc w:val="left"/>
        <w:rPr>
          <w:rFonts w:ascii="Times New Roman" w:hAnsi="Times New Roman"/>
          <w:sz w:val="20"/>
        </w:rPr>
      </w:pPr>
      <w:r>
        <w:rPr>
          <w:rFonts w:ascii="Times New Roman" w:hAnsi="Times New Roman"/>
          <w:sz w:val="20"/>
        </w:rPr>
        <w:t>This Amended and Restated Employment Agreement (this “Agreement”) is made as of October 20, 2026 (the “</w:t>
      </w:r>
      <w:r>
        <w:rPr>
          <w:rFonts w:ascii="Times New Roman" w:hAnsi="Times New Roman"/>
          <w:sz w:val="20"/>
          <w:u w:val="single"/>
        </w:rPr>
        <w:t>Effective Date</w:t>
      </w:r>
      <w:r>
        <w:rPr>
          <w:rFonts w:ascii="Times New Roman" w:hAnsi="Times New Roman"/>
          <w:sz w:val="20"/>
        </w:rPr>
        <w:t>”) by and between Voyager Therapeutics, Inc. (the “</w:t>
      </w:r>
      <w:r>
        <w:rPr>
          <w:rFonts w:ascii="Times New Roman" w:hAnsi="Times New Roman"/>
          <w:sz w:val="20"/>
          <w:u w:val="single"/>
        </w:rPr>
        <w:t>Company</w:t>
      </w:r>
      <w:r>
        <w:rPr>
          <w:rFonts w:ascii="Times New Roman" w:hAnsi="Times New Roman"/>
          <w:sz w:val="20"/>
        </w:rPr>
        <w:t>”) and Robin Swartz (the “</w:t>
      </w:r>
      <w:r>
        <w:rPr>
          <w:rFonts w:ascii="Times New Roman" w:hAnsi="Times New Roman"/>
          <w:sz w:val="20"/>
          <w:u w:val="single"/>
        </w:rPr>
        <w:t>Executive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Company and the Executive are parties to a certain Amended and Restated Employment Agreement dated February 7, 2022 (the “</w:t>
      </w:r>
      <w:r>
        <w:rPr>
          <w:rFonts w:ascii="Times New Roman" w:hAnsi="Times New Roman"/>
          <w:sz w:val="20"/>
          <w:u w:val="single"/>
        </w:rPr>
        <w:t>Original Agreement</w:t>
      </w:r>
      <w:r>
        <w:rPr>
          <w:rFonts w:ascii="Times New Roman" w:hAnsi="Times New Roman"/>
          <w:sz w:val="20"/>
        </w:rPr>
        <w:t>”), which amended and restated the Executive’s prior Employment Agreement dated January 11, 2021, and the Executive’s first day of employment with the Company was January 11, 2021 (the “</w:t>
      </w:r>
      <w:r>
        <w:rPr>
          <w:rFonts w:ascii="Times New Roman" w:hAnsi="Times New Roman"/>
          <w:sz w:val="20"/>
          <w:u w:val="single"/>
        </w:rPr>
        <w:t>Commencement Date</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and the Executive desire that this Agreement shall amend, supersede, and control over the Original Agreement as of the Effective Date; provided the Executive remains employed by the Company as of the Effective Date. Until the Effective Date, the Original Agreement will remain in full force and effect and continue to govern the Executive’s employment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covenants and obligations set forth below, and other good and valuable consideration, the receipt and sufficiency of which is hereby acknowledged, the parties agree as follows: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Employment</w:t>
      </w:r>
      <w:r>
        <w:rPr>
          <w:rFonts w:ascii="Times New Roman" w:hAnsi="Times New Roman"/>
          <w:sz w:val="20"/>
        </w:rPr>
        <w:t xml:space="preserve">. The employment relationship between the Company and the Executive commenced on the Commencement Date, and shall be governed by this Agreement commencing as of the Effective Date and continuing in effect until terminated by either party in accordance with this Agreement. At all times, the Executive’s employment with the Company will be “at-will,” meaning that the Executive’s employment may be terminated by the Company or the Executive at any time and for any reason, subject to the terms of this Agreement.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Position, Reporting and Duties</w:t>
      </w:r>
      <w:r>
        <w:rPr>
          <w:rFonts w:ascii="Times New Roman" w:hAnsi="Times New Roman"/>
          <w:b/>
          <w:sz w:val="20"/>
        </w:rPr>
        <w:t xml:space="preserve">. </w:t>
      </w:r>
      <w:r>
        <w:rPr>
          <w:rFonts w:ascii="Times New Roman" w:hAnsi="Times New Roman"/>
          <w:sz w:val="20"/>
        </w:rPr>
        <w:t>The Company and the Executive agree as follows: (a) commencing on the Commencement Date, the Executive served as the Senior Vice President, Portfolio Management and Patient Engagement of the Company, reporting to the Company’s President and Chief Executive Officer (the “</w:t>
      </w:r>
      <w:r>
        <w:rPr>
          <w:rFonts w:ascii="Times New Roman" w:hAnsi="Times New Roman"/>
          <w:sz w:val="20"/>
          <w:u w:val="single"/>
        </w:rPr>
        <w:t>CEO</w:t>
      </w:r>
      <w:r>
        <w:rPr>
          <w:rFonts w:ascii="Times New Roman" w:hAnsi="Times New Roman"/>
          <w:sz w:val="20"/>
        </w:rPr>
        <w:t xml:space="preserve">”); (b) commencing on August 9, 2021, the Executive served as the Senior Vice President, Business Operations of the Company, reporting to the CEO; (c) commencing on February 7, 2022, the Executive served as the Chief Operating Officer of the Company, reporting to the CEO, and (d) commencing on the Effective Date, the Executive shall serve as the President of the Company, reporting to the CEO. The Executive shall devote the Executive’s full working time and efforts to the business and affairs of the Company and shall not engage in any other business activities without the prior written approval of the CEO and provided that such activities do not create a conflict of interest or otherwise interfere with the Executive’s performance of the Executive’s duties to the Company. The Executive’s normal places of work will be Lexington, MA. It is understood and agreed that the Executive will generally be on site in Lexington unless the Executive is traveling on behalf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3. </w:t>
      </w:r>
      <w:r>
        <w:rPr>
          <w:rFonts w:ascii="Times New Roman" w:hAnsi="Times New Roman"/>
          <w:b/>
          <w:sz w:val="20"/>
          <w:u w:val="single"/>
        </w:rPr>
        <w:t>Compensation and Related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Base Salary</w:t>
      </w:r>
      <w:r>
        <w:rPr>
          <w:rFonts w:ascii="Times New Roman" w:hAnsi="Times New Roman"/>
          <w:sz w:val="20"/>
        </w:rPr>
        <w:t>. The Executive’s annual base salary will be $625,000, which is subject to review and redetermination by the Company from time to time. The annual base salary in effect at any given time is referred to herein as “</w:t>
      </w:r>
      <w:r>
        <w:rPr>
          <w:rFonts w:ascii="Times New Roman" w:hAnsi="Times New Roman"/>
          <w:sz w:val="20"/>
          <w:u w:val="single"/>
        </w:rPr>
        <w:t>Base Salary</w:t>
      </w:r>
      <w:r>
        <w:rPr>
          <w:rFonts w:ascii="Times New Roman" w:hAnsi="Times New Roman"/>
          <w:sz w:val="20"/>
        </w:rPr>
        <w:t xml:space="preserve">.” The Base Salary will be payable in a manner that is consistent with the Company’s usual payroll practices for senior executives. The Executive became eligible to participate in the Company’s annual salary review as of the annual salary review for the 2021 fiscal year, and remains eligible to participate in the annual salary review for each subsequent year thereafter.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Bonus</w:t>
      </w:r>
      <w:r>
        <w:rPr>
          <w:rFonts w:ascii="Times New Roman" w:hAnsi="Times New Roman"/>
          <w:sz w:val="20"/>
        </w:rPr>
        <w:t>. The Executive is eligible to participate in the Company’s Senior Executive Cash Incentive Bonus Plan (the “</w:t>
      </w:r>
      <w:r>
        <w:rPr>
          <w:rFonts w:ascii="Times New Roman" w:hAnsi="Times New Roman"/>
          <w:sz w:val="20"/>
          <w:u w:val="single"/>
        </w:rPr>
        <w:t>Incentive Bonus Plan</w:t>
      </w:r>
      <w:r>
        <w:rPr>
          <w:rFonts w:ascii="Times New Roman" w:hAnsi="Times New Roman"/>
          <w:sz w:val="20"/>
        </w:rPr>
        <w:t>”), as approved by the Company’s Board of Directors, its Compensation Committee or any other committee of the Board (collectively, the “</w:t>
      </w:r>
      <w:r>
        <w:rPr>
          <w:rFonts w:ascii="Times New Roman" w:hAnsi="Times New Roman"/>
          <w:sz w:val="20"/>
          <w:u w:val="single"/>
        </w:rPr>
        <w:t>Board</w:t>
      </w:r>
      <w:r>
        <w:rPr>
          <w:rFonts w:ascii="Times New Roman" w:hAnsi="Times New Roman"/>
          <w:sz w:val="20"/>
        </w:rPr>
        <w:t xml:space="preserve">”). The terms of the Incentive Bonus Plan shall be established and may be altered by the Board in its sole discretion. For calendar year 2026, the Executive’s target bonus under the Incentive Bonus Plan shall be fifty percent (50%) of the Executive’s Base Salary. To earn any bonus, the Executive must be employed by the Company on the day such bonus is paid, except as provided to the contrary in either Section 6 or 7 below, because such bonus serves as an incentive for the Executive to remain employed with the Company. Both parties acknowledge and agree that any bonus is not intended and shall not be deemed a “wage” under any state or federal wage-hour law.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Equity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New Hire Equity Grant</w:t>
      </w:r>
      <w:r>
        <w:rPr>
          <w:rFonts w:ascii="Times New Roman" w:hAnsi="Times New Roman"/>
          <w:sz w:val="20"/>
        </w:rPr>
        <w:t xml:space="preserve">. As of the Commencement Date, following approval by the Company’s Compensation Committee, and as a material inducement to the Executive entering into employment with the Company, the Executive was granted the following equity award outside of the Company’s stock incentive plans as an “inducement grant” within the meaning of Nasdaq Listing Rule 5635(c)(4), consisting of a New Hire Option Award and a New Hire RSU Award (each as defined below): </w:t>
      </w:r>
    </w:p>
    <w:p>
      <w:pPr>
        <w:pStyle w:val="TextBody"/>
        <w:bidi w:val="0"/>
        <w:spacing w:before="120" w:after="0"/>
        <w:jc w:val="left"/>
        <w:rPr>
          <w:rFonts w:ascii="Times New Roman" w:hAnsi="Times New Roman"/>
          <w:sz w:val="20"/>
        </w:rPr>
      </w:pPr>
      <w:r>
        <w:rPr>
          <w:rFonts w:ascii="Times New Roman" w:hAnsi="Times New Roman"/>
          <w:sz w:val="20"/>
        </w:rPr>
        <w:t>1. The Executive was granted a non-qualified option (the “</w:t>
      </w:r>
      <w:r>
        <w:rPr>
          <w:rFonts w:ascii="Times New Roman" w:hAnsi="Times New Roman"/>
          <w:sz w:val="20"/>
          <w:u w:val="single"/>
        </w:rPr>
        <w:t>New Hire</w:t>
      </w:r>
      <w:r>
        <w:rPr>
          <w:rFonts w:ascii="Times New Roman" w:hAnsi="Times New Roman"/>
          <w:sz w:val="20"/>
        </w:rPr>
        <w:t xml:space="preserve"> </w:t>
      </w:r>
      <w:r>
        <w:rPr>
          <w:rFonts w:ascii="Times New Roman" w:hAnsi="Times New Roman"/>
          <w:sz w:val="20"/>
          <w:u w:val="single"/>
        </w:rPr>
        <w:t>Option Award</w:t>
      </w:r>
      <w:r>
        <w:rPr>
          <w:rFonts w:ascii="Times New Roman" w:hAnsi="Times New Roman"/>
          <w:sz w:val="20"/>
        </w:rPr>
        <w:t>”) to purchase 76,500 shares of the Company’s common stock (the “</w:t>
      </w:r>
      <w:r>
        <w:rPr>
          <w:rFonts w:ascii="Times New Roman" w:hAnsi="Times New Roman"/>
          <w:sz w:val="20"/>
          <w:u w:val="single"/>
        </w:rPr>
        <w:t>Common Stock</w:t>
      </w:r>
      <w:r>
        <w:rPr>
          <w:rFonts w:ascii="Times New Roman" w:hAnsi="Times New Roman"/>
          <w:sz w:val="20"/>
        </w:rPr>
        <w:t>”). The Option Award was granted as of the Commencement Date (the “</w:t>
      </w:r>
      <w:r>
        <w:rPr>
          <w:rFonts w:ascii="Times New Roman" w:hAnsi="Times New Roman"/>
          <w:sz w:val="20"/>
          <w:u w:val="single"/>
        </w:rPr>
        <w:t>New Hire Option Grant Date</w:t>
      </w:r>
      <w:r>
        <w:rPr>
          <w:rFonts w:ascii="Times New Roman" w:hAnsi="Times New Roman"/>
          <w:sz w:val="20"/>
        </w:rPr>
        <w:t>”). The shares underlying the Option Award (the “</w:t>
      </w:r>
      <w:r>
        <w:rPr>
          <w:rFonts w:ascii="Times New Roman" w:hAnsi="Times New Roman"/>
          <w:sz w:val="20"/>
          <w:u w:val="single"/>
        </w:rPr>
        <w:t>New Hire Option Shares</w:t>
      </w:r>
      <w:r>
        <w:rPr>
          <w:rFonts w:ascii="Times New Roman" w:hAnsi="Times New Roman"/>
          <w:sz w:val="20"/>
        </w:rPr>
        <w:t xml:space="preserve">”) have an exercise price per share equal to the closing price of the Common Stock on The Nasdaq Global Select Market on the New Hire Option Grant Date. The New Hire Option Shares have vested and become exercisable, or will vest and become exercisable, subject to the Executive’s continued service on each applicable vesting date, as follows: 25% of the New Hire Option Shares to vest on the first anniversary of the New Hire Option Grant Date, and an additional 2.0833% of the New Hire Option Shares to vest on a monthly basis at the end of each one-month period following the first anniversary of the New Hire Option Grant Date until the four-year anniversary of the New Hire Option Grant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 The Executive was also granted 13,000 restricted stock units (the “</w:t>
      </w:r>
      <w:r>
        <w:rPr>
          <w:rFonts w:ascii="Times New Roman" w:hAnsi="Times New Roman"/>
          <w:sz w:val="20"/>
          <w:u w:val="single"/>
        </w:rPr>
        <w:t>New Hire RSU Award</w:t>
      </w:r>
      <w:r>
        <w:rPr>
          <w:rFonts w:ascii="Times New Roman" w:hAnsi="Times New Roman"/>
          <w:sz w:val="20"/>
        </w:rPr>
        <w:t>”). The New Hire RSU Award was granted as of the first day of the first calendar quarter immediately following the Commencement Date (the “</w:t>
      </w:r>
      <w:r>
        <w:rPr>
          <w:rFonts w:ascii="Times New Roman" w:hAnsi="Times New Roman"/>
          <w:sz w:val="20"/>
          <w:u w:val="single"/>
        </w:rPr>
        <w:t>New Hire RSU Grant Date</w:t>
      </w:r>
      <w:r>
        <w:rPr>
          <w:rFonts w:ascii="Times New Roman" w:hAnsi="Times New Roman"/>
          <w:sz w:val="20"/>
        </w:rPr>
        <w:t xml:space="preserve">”). The New Hire RSU Award has vested and become settleable, or will vest and become settleable, subject to the Executive’s continued service on each applicable vesting date, over a three-year period as follows: 33.333% of the shares underlying the New Hire RSU Award to vest on the first anniversary of the New Hire RSU Grant Date; an additional 33.333% of the shares underlying the New Hire RSU Award to vest on the two-year anniversary of the New Hire RSU Grant Date; and the remaining shares underlying the New Hire RSU Award to vest on the three-year anniversary of the New Hire RSU Grant Date. </w:t>
      </w:r>
    </w:p>
    <w:p>
      <w:pPr>
        <w:pStyle w:val="TextBody"/>
        <w:bidi w:val="0"/>
        <w:spacing w:before="120" w:after="0"/>
        <w:jc w:val="left"/>
        <w:rPr>
          <w:rFonts w:ascii="Times New Roman" w:hAnsi="Times New Roman"/>
          <w:sz w:val="20"/>
        </w:rPr>
      </w:pPr>
      <w:r>
        <w:rPr>
          <w:rFonts w:ascii="Times New Roman" w:hAnsi="Times New Roman"/>
          <w:sz w:val="20"/>
        </w:rPr>
        <w:t>Each of the New Hire Option Award and the New Hire RSU Award are subject to and governed by the terms and conditions of the applicable equity award agreements between the Executive and the Company (collectively, the “</w:t>
      </w:r>
      <w:r>
        <w:rPr>
          <w:rFonts w:ascii="Times New Roman" w:hAnsi="Times New Roman"/>
          <w:sz w:val="20"/>
          <w:u w:val="single"/>
        </w:rPr>
        <w:t>New Hire Equity Documents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Prior Promotion Equity Grant</w:t>
      </w:r>
      <w:r>
        <w:rPr>
          <w:rFonts w:ascii="Times New Roman" w:hAnsi="Times New Roman"/>
          <w:sz w:val="20"/>
        </w:rPr>
        <w:t>. In connection with the Executive’s promotion to Chief Operating Officer of the Company on February 7, 2022, in connection with the Executive’s continuing employment with the Company, the Executive was granted an option (the “</w:t>
      </w:r>
      <w:r>
        <w:rPr>
          <w:rFonts w:ascii="Times New Roman" w:hAnsi="Times New Roman"/>
          <w:sz w:val="20"/>
          <w:u w:val="single"/>
        </w:rPr>
        <w:t>Prior Promotion Option</w:t>
      </w:r>
      <w:r>
        <w:rPr>
          <w:rFonts w:ascii="Times New Roman" w:hAnsi="Times New Roman"/>
          <w:sz w:val="20"/>
        </w:rPr>
        <w:t>”) to purchase 65,000 shares of Common Stock, granted pursuant to and in accordance with the Company’s 2015 Stock Option and Incentive Plan (the “</w:t>
      </w:r>
      <w:r>
        <w:rPr>
          <w:rFonts w:ascii="Times New Roman" w:hAnsi="Times New Roman"/>
          <w:sz w:val="20"/>
          <w:u w:val="single"/>
        </w:rPr>
        <w:t>Prior Plan</w:t>
      </w:r>
      <w:r>
        <w:rPr>
          <w:rFonts w:ascii="Times New Roman" w:hAnsi="Times New Roman"/>
          <w:sz w:val="20"/>
        </w:rPr>
        <w:t>”) on February 7, 2022 (the “</w:t>
      </w:r>
      <w:r>
        <w:rPr>
          <w:rFonts w:ascii="Times New Roman" w:hAnsi="Times New Roman"/>
          <w:sz w:val="20"/>
          <w:u w:val="single"/>
        </w:rPr>
        <w:t>Prior Promotion Option Grant Date</w:t>
      </w:r>
      <w:r>
        <w:rPr>
          <w:rFonts w:ascii="Times New Roman" w:hAnsi="Times New Roman"/>
          <w:sz w:val="20"/>
        </w:rPr>
        <w:t>”). The shares underlying the Promotion Option (the “</w:t>
      </w:r>
      <w:r>
        <w:rPr>
          <w:rFonts w:ascii="Times New Roman" w:hAnsi="Times New Roman"/>
          <w:sz w:val="20"/>
          <w:u w:val="single"/>
        </w:rPr>
        <w:t>Prior Promotion Option Shares</w:t>
      </w:r>
      <w:r>
        <w:rPr>
          <w:rFonts w:ascii="Times New Roman" w:hAnsi="Times New Roman"/>
          <w:sz w:val="20"/>
        </w:rPr>
        <w:t>”) (i) have an exercise price per share equal to the closing price of the Common Stock on The Nasdaq Global Select Market on the Prior Promotion Option Grant Date. The Prior Promotion Option Shares will vest as follows: 2.0833% of the Prior Promotion Option Shares vested on the one-month anniversary of the Prior Promotion Option Grant Date, and an additional 2.0833% of the Prior Promotion Option Shares vest on a monthly basis at the end of each one-month period following the one-month anniversary of the Prior Promotion Option Grant Date until the four-year anniversary of the Prior Promotion Option Grant Date. The Prior Promotion Option is subject to and governed by the terms and conditions of the Prior Plan and the applicable equity award agreements between the Executive and the Company (collectively, the “</w:t>
      </w:r>
      <w:r>
        <w:rPr>
          <w:rFonts w:ascii="Times New Roman" w:hAnsi="Times New Roman"/>
          <w:sz w:val="20"/>
          <w:u w:val="single"/>
        </w:rPr>
        <w:t>Prior Promotion Equity Documents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Promotion Equity Grants</w:t>
      </w:r>
      <w:r>
        <w:rPr>
          <w:rFonts w:ascii="Times New Roman" w:hAnsi="Times New Roman"/>
          <w:sz w:val="20"/>
        </w:rPr>
        <w:t>. In connection with the Executive’s promotion to President of the Company on the Effective Date, subject to approval by the Company’s Board, the Executive will be granted an option (the “</w:t>
      </w:r>
      <w:r>
        <w:rPr>
          <w:rFonts w:ascii="Times New Roman" w:hAnsi="Times New Roman"/>
          <w:sz w:val="20"/>
          <w:u w:val="single"/>
        </w:rPr>
        <w:t>Promotion Option</w:t>
      </w:r>
      <w:r>
        <w:rPr>
          <w:rFonts w:ascii="Times New Roman" w:hAnsi="Times New Roman"/>
          <w:sz w:val="20"/>
        </w:rPr>
        <w:t>”) to purchase 318,500 shares of Common Stock, such Promotion Option to be granted pursuant to and in accordance with the 2025 Stock Incentive Plan (the “</w:t>
      </w:r>
      <w:r>
        <w:rPr>
          <w:rFonts w:ascii="Times New Roman" w:hAnsi="Times New Roman"/>
          <w:sz w:val="20"/>
          <w:u w:val="single"/>
        </w:rPr>
        <w:t>Plan</w:t>
      </w:r>
      <w:r>
        <w:rPr>
          <w:rFonts w:ascii="Times New Roman" w:hAnsi="Times New Roman"/>
          <w:sz w:val="20"/>
        </w:rPr>
        <w:t>”). The Promotion Option will be granted as of November 1, 2026 (the “</w:t>
      </w:r>
      <w:r>
        <w:rPr>
          <w:rFonts w:ascii="Times New Roman" w:hAnsi="Times New Roman"/>
          <w:sz w:val="20"/>
          <w:u w:val="single"/>
        </w:rPr>
        <w:t>Promotion Option Grant Date</w:t>
      </w:r>
      <w:r>
        <w:rPr>
          <w:rFonts w:ascii="Times New Roman" w:hAnsi="Times New Roman"/>
          <w:sz w:val="20"/>
        </w:rPr>
        <w:t>”). The shares underlying the Promotion Option (the “</w:t>
      </w:r>
      <w:r>
        <w:rPr>
          <w:rFonts w:ascii="Times New Roman" w:hAnsi="Times New Roman"/>
          <w:sz w:val="20"/>
          <w:u w:val="single"/>
        </w:rPr>
        <w:t>Promotion Option Shares</w:t>
      </w:r>
      <w:r>
        <w:rPr>
          <w:rFonts w:ascii="Times New Roman" w:hAnsi="Times New Roman"/>
          <w:sz w:val="20"/>
        </w:rPr>
        <w:t>”) will (i) have an exercise price per share equal to the closing price of the Common Stock on The Nasdaq Global Select Market on the Promotion Option Grant Date. The Promotion Option Shares will vest as follows: 2.0833% of the Promotion Option Shares to vest on the one-month anniversary of the Effective Date, and an additional 2.0833% of the Promotion Option Shares to vest on a monthly basis at the end of each one-month period following the one-month anniversary of the Effective Date until the four-year anniversary of the Effective Date. The Executive will also be granted 68,250 restricted stock units, each representing the right to receive one share of Common Stock (the “</w:t>
      </w:r>
      <w:r>
        <w:rPr>
          <w:rFonts w:ascii="Times New Roman" w:hAnsi="Times New Roman"/>
          <w:sz w:val="20"/>
          <w:u w:val="single"/>
        </w:rPr>
        <w:t>RSU Award</w:t>
      </w:r>
      <w:r>
        <w:rPr>
          <w:rFonts w:ascii="Times New Roman" w:hAnsi="Times New Roman"/>
          <w:sz w:val="20"/>
        </w:rPr>
        <w:t>”), with the RSU Award to (a) be granted as of November 1, 2026 (the “</w:t>
      </w:r>
      <w:r>
        <w:rPr>
          <w:rFonts w:ascii="Times New Roman" w:hAnsi="Times New Roman"/>
          <w:sz w:val="20"/>
          <w:u w:val="single"/>
        </w:rPr>
        <w:t>RSU Grant Date</w:t>
      </w:r>
      <w:r>
        <w:rPr>
          <w:rFonts w:ascii="Times New Roman" w:hAnsi="Times New Roman"/>
          <w:sz w:val="20"/>
        </w:rPr>
        <w:t xml:space="preserve">”), and (b) vest and become settleable, subject to the Executive’s continued service on each applicable vesting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over a three-year period as follows: 33.333% of the shares underlying the RSU Award will vest on the first anniversary of the RSU Grant Date and an additional 33.333% of the shares underlying the RSU Award will vest at the end of each one-year period following the first anniversary of the RSU Grant Date until the three-year anniversary of the RSU Grant Date. The Promotion Option and the RSU Award will be subject to and governed by the terms and conditions of the Plan and the applicable equity award agreements between the Executive and the Company (collectively, the “</w:t>
      </w:r>
      <w:r>
        <w:rPr>
          <w:rFonts w:ascii="Times New Roman" w:hAnsi="Times New Roman"/>
          <w:sz w:val="20"/>
          <w:u w:val="single"/>
        </w:rPr>
        <w:t>Promotion Equity Documents</w:t>
      </w:r>
      <w:r>
        <w:rPr>
          <w:rFonts w:ascii="Times New Roman" w:hAnsi="Times New Roman"/>
          <w:sz w:val="20"/>
        </w:rPr>
        <w:t>” and the New Hire Equity Documents, the Prior Promotion Equity Documents, and the Promotion Equity Documents, collectively, the “</w:t>
      </w:r>
      <w:r>
        <w:rPr>
          <w:rFonts w:ascii="Times New Roman" w:hAnsi="Times New Roman"/>
          <w:sz w:val="20"/>
          <w:u w:val="single"/>
        </w:rPr>
        <w:t>Equity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Employee Benefits</w:t>
      </w:r>
      <w:r>
        <w:rPr>
          <w:rFonts w:ascii="Times New Roman" w:hAnsi="Times New Roman"/>
          <w:sz w:val="20"/>
        </w:rPr>
        <w:t xml:space="preserve">. The Executive shall be entitled to full participation in the Company’s flexible vacation plan each calendar year and to such other holidays as the Company recognizes for employees having comparable responsibilities and duties. The Executive will be entitled to participate in the Company’s employee benefit plans, subject to the terms and the conditions of such plans, and the Company’s ability to amend and modify such plans at any time and from time to time without advance notice.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Reimbursement of Business Expenses.</w:t>
      </w:r>
      <w:r>
        <w:rPr>
          <w:rFonts w:ascii="Times New Roman" w:hAnsi="Times New Roman"/>
          <w:sz w:val="20"/>
        </w:rPr>
        <w:t xml:space="preserve"> The Company shall reimburse the Executive for travel, entertainment, business development and other expenses reasonably and necessarily incurred by the Executive in connection with the Company’s business. Expense reimbursement shall be subject to such policies that the Company may adopt from time to time, including with respect to pre-approval. </w:t>
      </w:r>
    </w:p>
    <w:p>
      <w:pPr>
        <w:pStyle w:val="TextBody"/>
        <w:bidi w:val="0"/>
        <w:spacing w:before="240" w:after="0"/>
        <w:jc w:val="left"/>
        <w:rPr>
          <w:rFonts w:ascii="Times New Roman" w:hAnsi="Times New Roman"/>
          <w:sz w:val="20"/>
        </w:rPr>
      </w:pPr>
      <w:r>
        <w:rPr>
          <w:rFonts w:ascii="Times New Roman" w:hAnsi="Times New Roman"/>
          <w:b/>
          <w:sz w:val="20"/>
        </w:rPr>
        <w:t xml:space="preserve">4. </w:t>
      </w:r>
      <w:r>
        <w:rPr>
          <w:rFonts w:ascii="Times New Roman" w:hAnsi="Times New Roman"/>
          <w:b/>
          <w:sz w:val="20"/>
          <w:u w:val="single"/>
        </w:rPr>
        <w:t>Certain 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Cause</w:t>
      </w:r>
      <w:r>
        <w:rPr>
          <w:rFonts w:ascii="Times New Roman" w:hAnsi="Times New Roman"/>
          <w:sz w:val="20"/>
        </w:rPr>
        <w:t xml:space="preserve">” means (A) the commission by the Executive of (i) any felony; or (ii) a misdemeanor involving moral turpitude, deceit, dishonesty or fraud; or (B) a good faith finding by the Company of: (i) conduct by the Executive constituting a material act of misconduct in connection with the performance of the Executive’s duties, including, without limitation, misappropriation of funds or property of the Company or any of its subsidiaries or affiliates other than the occasional, customary and de minimis use of Company property for personal purposes; (ii) any conduct by the Executive that would reasonably be expected to result in material injury or reputational harm to the Company or any of its subsidiaries and affiliates if the Executive were retained in the Executive’s position but, provided that the Company reasonably determines that such conduct is capable of being cured, only after receipt of written notice by the Company reasonably describing such conduct and if the Executive fails to cease and cure such conduct within fifteen (15) days of receipt of said written notice; (iii) continued non-performance by the Executive of the Executive’s responsibilities hereunder (other than by reason of the Executive’s physical or mental illness, incapacity or disability) but, provided that the Company reasonably determines that such conduct is capable of being cured, only after receipt of written notice by the Company reasonably describing such non-performance and the Executive’s failure to cure such non-performance within fifteen (15) days of receipt of said written notice; (iv) a breach by the Executive of any confidentiality or restrictive covenant obligations to the Company, including under the Confidentiality, Non-Solicitation, Non-Competition and Invention Assignment Agreement previously executed by the Executive on December 23, 2020, a copy of which is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sz w:val="20"/>
          <w:u w:val="single"/>
        </w:rPr>
        <w:t>Confidentiality Agreement</w:t>
      </w:r>
      <w:r>
        <w:rPr>
          <w:rFonts w:ascii="Times New Roman" w:hAnsi="Times New Roman"/>
          <w:sz w:val="20"/>
        </w:rPr>
        <w:t xml:space="preserve">”); (v) a material violation by the Executive of any of the Company’s written employment policies communicated to the Executive;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(vi) failure to cooperate with a bona fide internal investigation or an investigation by regulatory or law enforcement authorities as provided under Section 13 of this Agreement,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Disabled</w:t>
      </w:r>
      <w:r>
        <w:rPr>
          <w:rFonts w:ascii="Times New Roman" w:hAnsi="Times New Roman"/>
          <w:sz w:val="20"/>
        </w:rPr>
        <w:t>” or “</w:t>
      </w:r>
      <w:r>
        <w:rPr>
          <w:rFonts w:ascii="Times New Roman" w:hAnsi="Times New Roman"/>
          <w:sz w:val="20"/>
          <w:u w:val="single"/>
        </w:rPr>
        <w:t>Disability</w:t>
      </w:r>
      <w:r>
        <w:rPr>
          <w:rFonts w:ascii="Times New Roman" w:hAnsi="Times New Roman"/>
          <w:sz w:val="20"/>
        </w:rPr>
        <w:t xml:space="preserve">” means the Executive is unable to perform the essential functions of the Executive’s then existing position or positions under this Agreement with or without reasonable accommodation for a period of one hundred and eighty (180) days (which days need not be consecutive) in any twelve (12) 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4(b) shall be construed to waive the Executive’s rights, if any, under existing law including, without limitation, the Family and Medical Leave Act of 1993, 29 U.S.C. §2601 et seq., and the Americans with Disabilities Act, 42 U.S.C. §12101 et seq.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Good Reason</w:t>
      </w:r>
      <w:r>
        <w:rPr>
          <w:rFonts w:ascii="Times New Roman" w:hAnsi="Times New Roman"/>
          <w:sz w:val="20"/>
        </w:rPr>
        <w:t>” means that the Executive has complied with the “Good Reason Process” (hereinafter defined) following the occurrence of any of the following events without the Executive’s consent: (A) a material diminution in the Executive’s responsibilities, authority or duties; (B) a material diminution in the Executive’s Base Salary except for a reduction of the Executive’s Base Salary that is part of an across-the-board salary reduction applied to substantially all senior management employees that is caused by the Company’s financial performance and is similar to and proportionately not greater than the reductions affecting all or substantially all senior management employees of the Company; (C) the relocation of the Executive’s principal place of business more than fifty (50) miles other than in a direction that reduces the Executive’s daily commuting distance; or (D) the material breach by the Company of this Agreement or any other agreements between the Executive and the Company relating to Equity Awards. “</w:t>
      </w:r>
      <w:r>
        <w:rPr>
          <w:rFonts w:ascii="Times New Roman" w:hAnsi="Times New Roman"/>
          <w:sz w:val="20"/>
          <w:u w:val="single"/>
        </w:rPr>
        <w:t>Good Reason</w:t>
      </w:r>
      <w:r>
        <w:rPr>
          <w:rFonts w:ascii="Times New Roman" w:hAnsi="Times New Roman"/>
          <w:sz w:val="20"/>
        </w:rPr>
        <w:t xml:space="preserve"> </w:t>
      </w:r>
      <w:r>
        <w:rPr>
          <w:rFonts w:ascii="Times New Roman" w:hAnsi="Times New Roman"/>
          <w:sz w:val="20"/>
          <w:u w:val="single"/>
        </w:rPr>
        <w:t>Process</w:t>
      </w:r>
      <w:r>
        <w:rPr>
          <w:rFonts w:ascii="Times New Roman" w:hAnsi="Times New Roman"/>
          <w:sz w:val="20"/>
        </w:rPr>
        <w:t>” means that (i) the Executive reasonably determines in good faith that a “</w:t>
      </w:r>
      <w:r>
        <w:rPr>
          <w:rFonts w:ascii="Times New Roman" w:hAnsi="Times New Roman"/>
          <w:sz w:val="20"/>
          <w:u w:val="single"/>
        </w:rPr>
        <w:t>Good Reason</w:t>
      </w:r>
      <w:r>
        <w:rPr>
          <w:rFonts w:ascii="Times New Roman" w:hAnsi="Times New Roman"/>
          <w:sz w:val="20"/>
        </w:rPr>
        <w:t>” condition has occurred; (ii) the Executive notifies the Company in writing of the first occurrence of the Good Reason condition within sixty (60) days of the first occurrence of such condition; (iii) the Executive cooperates in good faith with the Company’s efforts for thirty (30) days following such notice (the “</w:t>
      </w:r>
      <w:r>
        <w:rPr>
          <w:rFonts w:ascii="Times New Roman" w:hAnsi="Times New Roman"/>
          <w:sz w:val="20"/>
          <w:u w:val="single"/>
        </w:rPr>
        <w:t>Cure Period</w:t>
      </w:r>
      <w:r>
        <w:rPr>
          <w:rFonts w:ascii="Times New Roman" w:hAnsi="Times New Roman"/>
          <w:sz w:val="20"/>
        </w:rPr>
        <w:t xml:space="preserve">”) to remedy the condition; (iv) notwithstanding such efforts, at least one Good Reason condition continues to exist; and (v) the Executive terminates the Executive’s employment within sixty (60) days after the end of the Cure Period. If the Company cures the Good Reason condition during the Cure Period, Good Reason shall be deemed not to have occurred. The Company’s success at curing a Good Reason condition shall not bar or preclude the Executive’s right to notify the Company of the occurrence of another Good Reason condition and to proceed with the Good Reason Process.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w:t>
      </w:r>
      <w:r>
        <w:rPr>
          <w:rFonts w:ascii="Times New Roman" w:hAnsi="Times New Roman"/>
          <w:sz w:val="20"/>
          <w:u w:val="single"/>
        </w:rPr>
        <w:t>Sale Event</w:t>
      </w:r>
      <w:r>
        <w:rPr>
          <w:rFonts w:ascii="Times New Roman" w:hAnsi="Times New Roman"/>
          <w:sz w:val="20"/>
        </w:rPr>
        <w:t>” means the consummation of (i) the sale of all or substantially all of the assets of the Company on a consolidated basis to an unrelated person or entity, (ii) a merger, reorganization or consolidation pursuant to which the holders of the Company’s outstanding voting power immediately prior to such transaction do not own a majority of the outstanding voting power of the surviving or resulting entity (or its ultimate parent, if applicable), (iii) the acquisition, directly or indirectly, of all or a majority of the outstanding voting stock of the Company in a single transaction or a series of related transactions by a Person or group of Persons, (iv) a Deemed Liquidation Event (as defined in the Company’s Certificate of Incorporation (as may be amended, restated or otherwise modified from time to time)), or (v) any other acquisition of the business of the Company, as determined by the Board. Notwithstanding the foregoing, a “Sale Event” shall not be deemed to have occurred as a result of (a) a merger effected solely to change the Company’s domicile, and (b) an acquisition of shares of Company common stock by the Company which, by reducing the number of shares outstanding, increases the proportionate number of shares beneficially owned by any person to a majority of the outstanding shares of common stock of the Company; provided, however, that if any person referred to in this clause (b) shall thereafter become the beneficial owner of any additional shares (other than pursuant to a stock split, stock dividend, or similar transaction or as a result of an acquisition of shares directly from the Company) and immediately thereafter beneficially owns a majority of the then outstanding shares, then a “Sale Event” shall be deemed to have occurred for purposes of this clause (b). Notwithstanding the foregoing, where required to avoid extra taxation under Section 409A of the Internal Revenue Code of 1986, as amended (the “</w:t>
      </w:r>
      <w:r>
        <w:rPr>
          <w:rFonts w:ascii="Times New Roman" w:hAnsi="Times New Roman"/>
          <w:sz w:val="20"/>
          <w:u w:val="single"/>
        </w:rPr>
        <w:t>Code</w:t>
      </w:r>
      <w:r>
        <w:rPr>
          <w:rFonts w:ascii="Times New Roman" w:hAnsi="Times New Roman"/>
          <w:sz w:val="20"/>
        </w:rPr>
        <w:t xml:space="preserve">”), a Sale Event must also satisfy the requirements of Treas. Reg. Section 1.409A-3(a)(5).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Sale Event Period</w:t>
      </w:r>
      <w:r>
        <w:rPr>
          <w:rFonts w:ascii="Times New Roman" w:hAnsi="Times New Roman"/>
          <w:sz w:val="20"/>
        </w:rPr>
        <w:t xml:space="preserve">” means the period ending twelve (12) months following the consummation of a Sale Event.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Terminating Event</w:t>
      </w:r>
      <w:r>
        <w:rPr>
          <w:rFonts w:ascii="Times New Roman" w:hAnsi="Times New Roman"/>
          <w:sz w:val="20"/>
        </w:rPr>
        <w:t xml:space="preserve">” means termination of the Executive’s employment by the Company without Cause or by the Executive for Good Reason. A Terminating Event does not include: (i) the termination of the Executive’s employment due to the Executive’s death or a determination that the Executive is Disabled; (ii) the Executive’s resignation for any reason other than Good Reason, or (iii) the Company’s termination of the Executive’s employment for Cause.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u w:val="single"/>
        </w:rPr>
        <w:t>Compensation in Connection with a Termination for any Reason</w:t>
      </w:r>
      <w:r>
        <w:rPr>
          <w:rFonts w:ascii="Times New Roman" w:hAnsi="Times New Roman"/>
          <w:sz w:val="20"/>
        </w:rPr>
        <w:t xml:space="preserve">. If the Executive’s employment with the Company is terminated for any reason, the Company shall pay or provide to the Executive (or to the Executive’s authorized representative or estate) any earned but unpaid Base Salary, unpaid expense reimbursements, and vested employee benefits.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u w:val="single"/>
        </w:rPr>
        <w:t>Severance and Accelerated Vesting if a Terminating Event Occurs within the</w:t>
      </w:r>
      <w:r>
        <w:rPr>
          <w:rFonts w:ascii="Times New Roman" w:hAnsi="Times New Roman"/>
          <w:sz w:val="20"/>
        </w:rPr>
        <w:t xml:space="preserve"> </w:t>
      </w:r>
      <w:r>
        <w:rPr>
          <w:rFonts w:ascii="Times New Roman" w:hAnsi="Times New Roman"/>
          <w:b/>
          <w:sz w:val="20"/>
          <w:u w:val="single"/>
        </w:rPr>
        <w:t>Sale Event Period</w:t>
      </w:r>
      <w:r>
        <w:rPr>
          <w:rFonts w:ascii="Times New Roman" w:hAnsi="Times New Roman"/>
          <w:sz w:val="20"/>
        </w:rPr>
        <w:t>. In the event a Terminating Event occurs within the Sale Event Period, subject to the Executive signing and complying with a separation agreement in a form and manner satisfactory to the Company containing, among other provisions, a general release of claims in favor of the Company and related persons and entities, covenants to return Company property and to not disparage the Company, a reaffirmation of the Confidentiality Agreement and a twelve (12) month post-employment non-competition restriction with a scope of prohibited competitive activity no greater than that described in the Confidentiality Agreement (the “</w:t>
      </w:r>
      <w:r>
        <w:rPr>
          <w:rFonts w:ascii="Times New Roman" w:hAnsi="Times New Roman"/>
          <w:sz w:val="20"/>
          <w:u w:val="single"/>
        </w:rPr>
        <w:t>Separation</w:t>
      </w:r>
      <w:r>
        <w:rPr>
          <w:rFonts w:ascii="Times New Roman" w:hAnsi="Times New Roman"/>
          <w:sz w:val="20"/>
        </w:rPr>
        <w:t xml:space="preserve"> </w:t>
      </w:r>
      <w:r>
        <w:rPr>
          <w:rFonts w:ascii="Times New Roman" w:hAnsi="Times New Roman"/>
          <w:sz w:val="20"/>
          <w:u w:val="single"/>
        </w:rPr>
        <w:t>Agreement and Release</w:t>
      </w:r>
      <w:r>
        <w:rPr>
          <w:rFonts w:ascii="Times New Roman" w:hAnsi="Times New Roman"/>
          <w:sz w:val="20"/>
        </w:rPr>
        <w:t xml:space="preserve">”), and the Separation Agreement and Release becoming irrevocable, all within sixty (60) days after the Date of Termination or by an earlier date as determined by the Company, the following shall occur: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pay to the Executive an amount equal to twelve (12) months of the Executive’s Base Salary in effect immediately prior to the Terminating Event (or the Executive’s Base Salary in effect immediately prior to the Sale Event, if higher), determined in each case immediately before any event that constitutes Good Reason (if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shall pay to the Executive a pro-rated portion of the annual bonus target for the current year based on the Date of Termination; </w:t>
      </w:r>
    </w:p>
    <w:p>
      <w:pPr>
        <w:pStyle w:val="TextBody"/>
        <w:bidi w:val="0"/>
        <w:spacing w:before="240" w:after="0"/>
        <w:jc w:val="left"/>
        <w:rPr>
          <w:rFonts w:ascii="Times New Roman" w:hAnsi="Times New Roman"/>
          <w:sz w:val="20"/>
        </w:rPr>
      </w:pPr>
      <w:r>
        <w:rPr>
          <w:rFonts w:ascii="Times New Roman" w:hAnsi="Times New Roman"/>
          <w:sz w:val="20"/>
        </w:rPr>
        <w:t>(c) if the Executive timely elects and is eligible to continue receiving group health insurance pursuant to the “COBRA” law, the Company will, until the earlier of (x) the date that is twelve (12) months following the Date of Termination, and (y) the date on which the Executive obtains alternative coverage (as applicable, the “</w:t>
      </w:r>
      <w:r>
        <w:rPr>
          <w:rFonts w:ascii="Times New Roman" w:hAnsi="Times New Roman"/>
          <w:sz w:val="20"/>
          <w:u w:val="single"/>
        </w:rPr>
        <w:t>Sale Event COBRA Contribution Period</w:t>
      </w:r>
      <w:r>
        <w:rPr>
          <w:rFonts w:ascii="Times New Roman" w:hAnsi="Times New Roman"/>
          <w:sz w:val="20"/>
        </w:rPr>
        <w:t>”), continue to pay the share of the premiums for such coverage to the same extent it was paying such premiums on the Executive’s behalf immediately prior to the Date of Termination. The remaining balance of any premium costs during the Sale Event COBRA Contribution Period, and all premium costs thereafter, shall be paid by the Executive monthly for as long as, and to the extent that, the Executive remains eligible for COBRA continuation. The Executive agrees that, should the Executive obtain alternative medical and/or dental insurance coverage prior to the date that is twelve (12) months following the Date of Termination, the Executive will so inform the Company in writing within five (5) business days of obtaining such coverage. Notwithstanding anything to the contrary herein, in the event that the Company’s payment of the amounts described in Section 6(c) would subject the Company to any tax or penalty under the Patient Protection and Affordable Care Act (as amended from time to time, the “</w:t>
      </w:r>
      <w:r>
        <w:rPr>
          <w:rFonts w:ascii="Times New Roman" w:hAnsi="Times New Roman"/>
          <w:sz w:val="20"/>
          <w:u w:val="single"/>
        </w:rPr>
        <w:t>ACA</w:t>
      </w:r>
      <w:r>
        <w:rPr>
          <w:rFonts w:ascii="Times New Roman" w:hAnsi="Times New Roman"/>
          <w:sz w:val="20"/>
        </w:rPr>
        <w:t>”) or Section 105(h) of the Internal Revenue Code of 1986, as amended (“</w:t>
      </w:r>
      <w:r>
        <w:rPr>
          <w:rFonts w:ascii="Times New Roman" w:hAnsi="Times New Roman"/>
          <w:sz w:val="20"/>
          <w:u w:val="single"/>
        </w:rPr>
        <w:t>Section 105(h)</w:t>
      </w:r>
      <w:r>
        <w:rPr>
          <w:rFonts w:ascii="Times New Roman" w:hAnsi="Times New Roman"/>
          <w:sz w:val="20"/>
        </w:rPr>
        <w:t xml:space="preserve">”), or applicable regulations or guidance issued under the ACA or Section 105(h), the Executive and the Company agree to work together in good faith to restructure such benefit. </w:t>
      </w:r>
    </w:p>
    <w:p>
      <w:pPr>
        <w:pStyle w:val="TextBody"/>
        <w:bidi w:val="0"/>
        <w:spacing w:before="240" w:after="0"/>
        <w:jc w:val="left"/>
        <w:rPr>
          <w:rFonts w:ascii="Times New Roman" w:hAnsi="Times New Roman"/>
          <w:sz w:val="20"/>
        </w:rPr>
      </w:pPr>
      <w:r>
        <w:rPr>
          <w:rFonts w:ascii="Times New Roman" w:hAnsi="Times New Roman"/>
          <w:sz w:val="20"/>
        </w:rPr>
        <w:t xml:space="preserve">(d) One hundred percent (100%) of all equity awards held by the Executive shall immediately accelerate and become fully exercisable or nonforfeitable as of the Date of Termination and the provisions of this Section 6(d) shall be deemed to be incorporated by reference into the agreements governing all such awards. </w:t>
      </w:r>
    </w:p>
    <w:p>
      <w:pPr>
        <w:pStyle w:val="TextBody"/>
        <w:bidi w:val="0"/>
        <w:spacing w:before="240" w:after="0"/>
        <w:jc w:val="left"/>
        <w:rPr>
          <w:rFonts w:ascii="Times New Roman" w:hAnsi="Times New Roman"/>
          <w:sz w:val="20"/>
        </w:rPr>
      </w:pPr>
      <w:r>
        <w:rPr>
          <w:rFonts w:ascii="Times New Roman" w:hAnsi="Times New Roman"/>
          <w:sz w:val="20"/>
        </w:rPr>
        <w:t xml:space="preserve">For avoidance of doubt, the Separation Agreement and Release for purposes of this Agreement shall not require a waiver of any rights under the indemnification agreement between the Company and the Executive or any rights described in Section 5 above. Notwithstanding the foregoing, if the Executive’s employment is terminated in connection with a Sale Event and the Executive immediately becomes reemployed by any direct or indirect successor to the business or assets of the Company, the termination of the Executive’s employment upon the Sale Event shall not be considered a termination without Cause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amounts payable under Sections 6(a) and 6(b) shall be paid out in substantially equal installments in accordance with the Company’s payroll practice over twelve (12) months commencing within sixty (60) days after the Date of Termination; </w:t>
      </w:r>
      <w:r>
        <w:rPr>
          <w:rFonts w:ascii="Times New Roman" w:hAnsi="Times New Roman"/>
          <w:i/>
          <w:sz w:val="20"/>
        </w:rPr>
        <w:t>provided, however</w:t>
      </w:r>
      <w:r>
        <w:rPr>
          <w:rFonts w:ascii="Times New Roman" w:hAnsi="Times New Roman"/>
          <w:sz w:val="20"/>
        </w:rPr>
        <w:t xml:space="preserve">, that if the sixty (60) day period begins in one calendar year and ends in a second calendar year, the severance shall be paid or shall begin to be paid in the second calendar year by the last day of such sixty (60) day period; </w:t>
      </w:r>
      <w:r>
        <w:rPr>
          <w:rFonts w:ascii="Times New Roman" w:hAnsi="Times New Roman"/>
          <w:i/>
          <w:sz w:val="20"/>
        </w:rPr>
        <w:t>provided further</w:t>
      </w:r>
      <w:r>
        <w:rPr>
          <w:rFonts w:ascii="Times New Roman" w:hAnsi="Times New Roman"/>
          <w:sz w:val="20"/>
        </w:rPr>
        <w:t xml:space="preserve">,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u w:val="single"/>
        </w:rPr>
        <w:t>Severance if a Terminating Event Occurs Outside the Sale Event Period</w:t>
      </w:r>
      <w:r>
        <w:rPr>
          <w:rFonts w:ascii="Times New Roman" w:hAnsi="Times New Roman"/>
          <w:sz w:val="20"/>
        </w:rPr>
        <w:t xml:space="preserve">. In the event a Terminating Event occurs at any time other than during the Sale Event Period, subject to the Executive signing the Separation Agreement and Release and the Separation Agreement and Release becoming irrevocable, all within sixty (60) days after the Date of Termination or by an earlier date as determined by the Company, the following shall occur: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pay to the Executive an amount equal to twelve (12) months of the Executive’s Base Salary in effect immediately prior to the Terminating Event (but only after disregarding any event that constitutes Good Reason);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pay to the Executive a pro-rated portion of the annual bonus target for the current year based on the Date of Termination; and </w:t>
      </w:r>
    </w:p>
    <w:p>
      <w:pPr>
        <w:pStyle w:val="TextBody"/>
        <w:bidi w:val="0"/>
        <w:spacing w:before="240" w:after="0"/>
        <w:jc w:val="left"/>
        <w:rPr>
          <w:rFonts w:ascii="Times New Roman" w:hAnsi="Times New Roman"/>
          <w:sz w:val="20"/>
        </w:rPr>
      </w:pPr>
      <w:r>
        <w:rPr>
          <w:rFonts w:ascii="Times New Roman" w:hAnsi="Times New Roman"/>
          <w:sz w:val="20"/>
        </w:rPr>
        <w:t>(c) if the Executive timely elects and is eligible to continue receiving group health insurance pursuant to the “COBRA” law, the Company will, until the earlier of (x) the date that is twelve (12) months following the Date of Termination, and (y) the date on which the Executive obtains alternative coverage (as applicable, the “</w:t>
      </w:r>
      <w:r>
        <w:rPr>
          <w:rFonts w:ascii="Times New Roman" w:hAnsi="Times New Roman"/>
          <w:sz w:val="20"/>
          <w:u w:val="single"/>
        </w:rPr>
        <w:t>Non-Sale Event COBRA Contribution Period</w:t>
      </w:r>
      <w:r>
        <w:rPr>
          <w:rFonts w:ascii="Times New Roman" w:hAnsi="Times New Roman"/>
          <w:sz w:val="20"/>
        </w:rPr>
        <w:t xml:space="preserve">”), continue to pay the share of the premiums for such coverage to the same extent it was paying such premiums on the Executive’s behalf immediately prior to the Date of Termination. The remaining balance of any premium costs during the Non-Sale Event COBRA Contribution Period, and all premium costs thereafter, shall be paid by the Executive on a monthly basis for as long as, and to the extent that, the Executive remains eligible for COBRA continuation. The Executive agrees that, should the Executive obtain alternative medical and/or dental insurance coverage prior to the date that is twelve (12) months following the Date of Termination, the Executive will so inform the Company in writing within five (5) business days of obtaining such coverage. Notwithstanding anything to the contrary herein, in the event that the Company’s payment of the amounts described in Section 7(c) would subject the Company to any tax or penalty under the ACA or Section 105(h), or applicable regulations or guidance issued under the ACA or Section 105(h), the Executive and the Company agree to work together in good faith to restructure such benefit. </w:t>
      </w:r>
    </w:p>
    <w:p>
      <w:pPr>
        <w:pStyle w:val="TextBody"/>
        <w:bidi w:val="0"/>
        <w:spacing w:before="240" w:after="0"/>
        <w:jc w:val="left"/>
        <w:rPr>
          <w:rFonts w:ascii="Times New Roman" w:hAnsi="Times New Roman"/>
          <w:sz w:val="20"/>
        </w:rPr>
      </w:pPr>
      <w:r>
        <w:rPr>
          <w:rFonts w:ascii="Times New Roman" w:hAnsi="Times New Roman"/>
          <w:sz w:val="20"/>
        </w:rPr>
        <w:t xml:space="preserve">The amounts payable under Section 7(a) and 7(b) shall be paid out in substantially equal installments in accordance with the Company’s payroll practice over twelve (12) months commencing within sixty (60) days after the Date of Termination; provided, however, that if the sixty (60) day period begins in one calendar year and ends in a second calendar year, the severance shall begin to be paid in the second calendar year by the last day of such sixty (60) 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u w:val="single"/>
        </w:rPr>
        <w:t>Confidentiality, Non-Solicitation, Non-Competition and Invention Assignment</w:t>
      </w:r>
      <w:r>
        <w:rPr>
          <w:rFonts w:ascii="Times New Roman" w:hAnsi="Times New Roman"/>
          <w:sz w:val="20"/>
        </w:rPr>
        <w:t xml:space="preserve"> </w:t>
      </w:r>
      <w:r>
        <w:rPr>
          <w:rFonts w:ascii="Times New Roman" w:hAnsi="Times New Roman"/>
          <w:b/>
          <w:sz w:val="20"/>
          <w:u w:val="single"/>
        </w:rPr>
        <w:t>Agreement</w:t>
      </w:r>
      <w:r>
        <w:rPr>
          <w:rFonts w:ascii="Times New Roman" w:hAnsi="Times New Roman"/>
          <w:sz w:val="20"/>
        </w:rPr>
        <w:t xml:space="preserve">. The Executive acknowledges and agrees that, (a) prior to the Commencement Date and as a condition of the Executive’s employment, the Executive executed the Confidentiality Agreement attached hereto as </w:t>
      </w:r>
      <w:r>
        <w:rPr>
          <w:rFonts w:ascii="Times New Roman" w:hAnsi="Times New Roman"/>
          <w:sz w:val="20"/>
          <w:u w:val="single"/>
        </w:rPr>
        <w:t>Exhibit A</w:t>
      </w:r>
      <w:r>
        <w:rPr>
          <w:rFonts w:ascii="Times New Roman" w:hAnsi="Times New Roman"/>
          <w:sz w:val="20"/>
        </w:rPr>
        <w:t xml:space="preserve"> indicating the Executive’s agreement to all of the Executive’s obligations thereunder; and (b) in consideration for the non-competition covenant set forth in Section 8.2 of the Confidentiality Agreement, the Executive was granted a stock option award and a restricted stock unit award in accordance with Nasdaq Listing Rule 5635(c)(4), and such consideration was mutually agreed upon by the Executive and the Company and is fair and reasonable in exchange for the Executive’s compliance with such non-competition covenant. The Executive hereby acknowledges that the Confidentiality Agreement remains in full force and effect and unaltered in all respects. </w:t>
      </w:r>
    </w:p>
    <w:p>
      <w:pPr>
        <w:pStyle w:val="TextBody"/>
        <w:bidi w:val="0"/>
        <w:spacing w:before="240" w:after="0"/>
        <w:jc w:val="left"/>
        <w:rPr>
          <w:rFonts w:ascii="Times New Roman" w:hAnsi="Times New Roman"/>
          <w:sz w:val="20"/>
        </w:rPr>
      </w:pPr>
      <w:r>
        <w:rPr>
          <w:rFonts w:ascii="Times New Roman" w:hAnsi="Times New Roman"/>
          <w:b/>
          <w:sz w:val="20"/>
        </w:rPr>
        <w:t xml:space="preserve">9. </w:t>
      </w:r>
      <w:r>
        <w:rPr>
          <w:rFonts w:ascii="Times New Roman" w:hAnsi="Times New Roman"/>
          <w:b/>
          <w:sz w:val="20"/>
          <w:u w:val="single"/>
        </w:rPr>
        <w:t>Additional Limitation.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w:t>
      </w:r>
      <w:r>
        <w:rPr>
          <w:rFonts w:ascii="Times New Roman" w:hAnsi="Times New Roman"/>
          <w:sz w:val="20"/>
          <w:u w:val="single"/>
        </w:rPr>
        <w:t>Aggregate Payments</w:t>
      </w:r>
      <w:r>
        <w:rPr>
          <w:rFonts w:ascii="Times New Roman" w:hAnsi="Times New Roman"/>
          <w:sz w:val="20"/>
        </w:rPr>
        <w:t xml:space="preserve">”),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(i) cash payments not subject to Section 409A of the Code; (ii) cash payments subject to Section 409A of the Code; (iii) equity-based payments and acceleration; and (iv)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 </w:t>
      </w:r>
    </w:p>
    <w:p>
      <w:pPr>
        <w:pStyle w:val="TextBody"/>
        <w:bidi w:val="0"/>
        <w:spacing w:before="240" w:after="0"/>
        <w:jc w:val="left"/>
        <w:rPr>
          <w:rFonts w:ascii="Times New Roman" w:hAnsi="Times New Roman"/>
          <w:sz w:val="20"/>
        </w:rPr>
      </w:pPr>
      <w:r>
        <w:rPr>
          <w:rFonts w:ascii="Times New Roman" w:hAnsi="Times New Roman"/>
          <w:sz w:val="20"/>
        </w:rPr>
        <w:t>(b) For purposes of this Section, the “</w:t>
      </w:r>
      <w:r>
        <w:rPr>
          <w:rFonts w:ascii="Times New Roman" w:hAnsi="Times New Roman"/>
          <w:sz w:val="20"/>
          <w:u w:val="single"/>
        </w:rPr>
        <w:t>After Tax Amount</w:t>
      </w:r>
      <w:r>
        <w:rPr>
          <w:rFonts w:ascii="Times New Roman" w:hAnsi="Times New Roman"/>
          <w:sz w:val="20"/>
        </w:rPr>
        <w:t xml:space="preserve">”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 </w:t>
      </w:r>
    </w:p>
    <w:p>
      <w:pPr>
        <w:pStyle w:val="TextBody"/>
        <w:bidi w:val="0"/>
        <w:spacing w:before="240" w:after="0"/>
        <w:jc w:val="left"/>
        <w:rPr>
          <w:rFonts w:ascii="Times New Roman" w:hAnsi="Times New Roman"/>
          <w:sz w:val="20"/>
        </w:rPr>
      </w:pPr>
      <w:r>
        <w:rPr>
          <w:rFonts w:ascii="Times New Roman" w:hAnsi="Times New Roman"/>
          <w:sz w:val="20"/>
        </w:rPr>
        <w:t>The determination as to whether a reduction in the Aggregate Payments shall be made pursuant to this Section shall be made by a nationally recognized accounting firm selected by the Company prior to the Sale Event (the “</w:t>
      </w:r>
      <w:r>
        <w:rPr>
          <w:rFonts w:ascii="Times New Roman" w:hAnsi="Times New Roman"/>
          <w:sz w:val="20"/>
          <w:u w:val="single"/>
        </w:rPr>
        <w:t>Accounting Firm</w:t>
      </w:r>
      <w:r>
        <w:rPr>
          <w:rFonts w:ascii="Times New Roman" w:hAnsi="Times New Roman"/>
          <w:sz w:val="20"/>
        </w:rPr>
        <w:t xml:space="preserve">”), which shall provide detailed supporting calculations both to the Company and the Executive within fifteen (15) business days of the Date of Termination, if applicable, or at such earlier time as is reasonably requested by the Company or the Executive. Any determination by the Accounting Firm shall be binding upon the Company and the Executive.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10. </w:t>
      </w:r>
      <w:r>
        <w:rPr>
          <w:rFonts w:ascii="Times New Roman" w:hAnsi="Times New Roman"/>
          <w:b/>
          <w:sz w:val="20"/>
          <w:u w:val="single"/>
        </w:rPr>
        <w:t>Section 409A.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subject to the twenty percent (20%) additional tax imposed pursuant to Section 409A(a) of the Code as a result of the application of Section 409A(a)(2)(B)(i) of the Code, such payment shall not be payable and such benefit shall not be provided until the date that is the earlier of (i) six (6) months and one (1) day after the Executive’s separation from service, or (ii) the Executive’s death. </w:t>
      </w:r>
    </w:p>
    <w:p>
      <w:pPr>
        <w:pStyle w:val="TextBody"/>
        <w:bidi w:val="0"/>
        <w:spacing w:before="240" w:after="0"/>
        <w:jc w:val="left"/>
        <w:rPr>
          <w:rFonts w:ascii="Times New Roman" w:hAnsi="Times New Roman"/>
          <w:sz w:val="20"/>
        </w:rPr>
      </w:pPr>
      <w:r>
        <w:rPr>
          <w:rFonts w:ascii="Times New Roman" w:hAnsi="Times New Roman"/>
          <w:sz w:val="20"/>
        </w:rPr>
        <w:t xml:space="preserve">(b) 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 </w:t>
      </w:r>
    </w:p>
    <w:p>
      <w:pPr>
        <w:pStyle w:val="TextBody"/>
        <w:bidi w:val="0"/>
        <w:spacing w:before="240" w:after="0"/>
        <w:jc w:val="left"/>
        <w:rPr>
          <w:rFonts w:ascii="Times New Roman" w:hAnsi="Times New Roman"/>
          <w:sz w:val="20"/>
        </w:rPr>
      </w:pPr>
      <w:r>
        <w:rPr>
          <w:rFonts w:ascii="Times New Roman" w:hAnsi="Times New Roman"/>
          <w:sz w:val="20"/>
        </w:rPr>
        <w:t xml:space="preserve">(c) 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 </w:t>
      </w:r>
    </w:p>
    <w:p>
      <w:pPr>
        <w:pStyle w:val="TextBody"/>
        <w:bidi w:val="0"/>
        <w:spacing w:before="240" w:after="0"/>
        <w:jc w:val="left"/>
        <w:rPr>
          <w:rFonts w:ascii="Times New Roman" w:hAnsi="Times New Roman"/>
          <w:sz w:val="20"/>
        </w:rPr>
      </w:pPr>
      <w:r>
        <w:rPr>
          <w:rFonts w:ascii="Times New Roman" w:hAnsi="Times New Roman"/>
          <w:sz w:val="20"/>
        </w:rPr>
        <w:t xml:space="preserve">(d) 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 </w:t>
      </w:r>
    </w:p>
    <w:p>
      <w:pPr>
        <w:pStyle w:val="TextBody"/>
        <w:bidi w:val="0"/>
        <w:spacing w:before="240" w:after="0"/>
        <w:jc w:val="left"/>
        <w:rPr>
          <w:rFonts w:ascii="Times New Roman" w:hAnsi="Times New Roman"/>
          <w:sz w:val="20"/>
        </w:rPr>
      </w:pPr>
      <w:r>
        <w:rPr>
          <w:rFonts w:ascii="Times New Roman" w:hAnsi="Times New Roman"/>
          <w:sz w:val="20"/>
        </w:rPr>
        <w:t xml:space="preserve">(e) 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Taxes</w:t>
      </w:r>
      <w:r>
        <w:rPr>
          <w:rFonts w:ascii="Times New Roman" w:hAnsi="Times New Roman"/>
          <w:sz w:val="20"/>
        </w:rPr>
        <w:t xml:space="preserve">. All forms of compensation referred to in this Agreement are subject to reduction to reflect applicable withholding and payroll taxes and other deductions required by law. The Executive hereby acknowledges that the Company does not have a duty to design its compensation policies in a manner that minimizes tax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12. </w:t>
      </w:r>
      <w:r>
        <w:rPr>
          <w:rFonts w:ascii="Times New Roman" w:hAnsi="Times New Roman"/>
          <w:b/>
          <w:sz w:val="20"/>
          <w:u w:val="single"/>
        </w:rPr>
        <w:t>Notice and Date of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 of Termination</w:t>
      </w:r>
      <w:r>
        <w:rPr>
          <w:rFonts w:ascii="Times New Roman" w:hAnsi="Times New Roman"/>
          <w:sz w:val="20"/>
        </w:rPr>
        <w:t>. The Executive’s employment with the Company may be terminated by the Company or the Executive at any time and for any reason. Any termination of the Executive’s employment (other than by reason of death) shall be communicated by written Notice of Termination from one party hereto to the other party hereto in accordance with this Section. For purposes of this Agreement, a “</w:t>
      </w:r>
      <w:r>
        <w:rPr>
          <w:rFonts w:ascii="Times New Roman" w:hAnsi="Times New Roman"/>
          <w:sz w:val="20"/>
          <w:u w:val="single"/>
        </w:rPr>
        <w:t>Notice of Termination</w:t>
      </w:r>
      <w:r>
        <w:rPr>
          <w:rFonts w:ascii="Times New Roman" w:hAnsi="Times New Roman"/>
          <w:sz w:val="20"/>
        </w:rPr>
        <w:t xml:space="preserve">” shall mean a notice which shall indicate the specific termination provision in this Agreement relied upon.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Date of Termination</w:t>
      </w:r>
      <w:r>
        <w:rPr>
          <w:rFonts w:ascii="Times New Roman" w:hAnsi="Times New Roman"/>
          <w:sz w:val="20"/>
        </w:rPr>
        <w:t>. “</w:t>
      </w:r>
      <w:r>
        <w:rPr>
          <w:rFonts w:ascii="Times New Roman" w:hAnsi="Times New Roman"/>
          <w:sz w:val="20"/>
          <w:u w:val="single"/>
        </w:rPr>
        <w:t>Date of Termination</w:t>
      </w:r>
      <w:r>
        <w:rPr>
          <w:rFonts w:ascii="Times New Roman" w:hAnsi="Times New Roman"/>
          <w:sz w:val="20"/>
        </w:rPr>
        <w:t xml:space="preserve">” shall mean: (i) if the Executive’s employment is terminated by the Executive’s death, the date of the Executive’s death; (ii) if the Executive’s employment is terminated on account of Executive’s Disability or by the Company for Cause or without Cause, the date specified in the Notice of Termination; (iii) if the Executive’s employment is terminated by the Executive for any reason except for Good Reason, thirty (30) days after the date specified in the Notice of Termination, and (iv) if the Executive’s employment is terminated by the Executive with Good Reason, the date specified in the Notice of Termination given after the end of the Cure Period. Notwithstanding the foregoing, in the event that the Executive gives a Notice of Termination to the Company, the Company may unilaterally accelerate the Date of Termination and such acceleration shall not result in the termination being deemed a termination by the Company for purposes of this Agreement.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Litigation and Regulatory Cooperation</w:t>
      </w:r>
      <w:r>
        <w:rPr>
          <w:rFonts w:ascii="Times New Roman" w:hAnsi="Times New Roman"/>
          <w:sz w:val="20"/>
        </w:rPr>
        <w:t xml:space="preserve">. During and after the Executive’s employment, and at all times, so long as there is not a significant conflict with the Executive’s then employment, the Executive shall cooperate reasonably with the Company in the defense or prosecution of any claims or actions now in existence or which may be brought in the future against or on behalf of the Company which relate to events or occurrences that transpired while the Executive was employed by the Company. The Executive’s reasonable cooperation in connection with such claims or actions shall include, but not be limited to, being available to meet with counsel to prepare for discovery or trial and to act as a witness on behalf of the Company at mutually convenient times. During and after the Executive’s employment, the Executive also shall cooperate reasonably with the Company in connection with any investigation or review of the Company by any federal, state or local regulatory authority as any such investigation or review relates to events or occurrences that transpired while the Executive was employed by the Company. The Company shall reasonably compensate Executive for the time dedicated to, and shall reimburse the Executive for any reasonable out of pocket expenses incurred in connection with, the Executive’s performance of the obligations set forth in this Section; provided, however, that the Company will not pay the Executive any fee or amount for time spent providing testimony in any arbitration, trial, administrative hearing or other proceeding. </w:t>
      </w:r>
    </w:p>
    <w:p>
      <w:pPr>
        <w:pStyle w:val="TextBody"/>
        <w:bidi w:val="0"/>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u w:val="single"/>
        </w:rPr>
        <w:t>Relief</w:t>
      </w:r>
      <w:r>
        <w:rPr>
          <w:rFonts w:ascii="Times New Roman" w:hAnsi="Times New Roman"/>
          <w:sz w:val="20"/>
        </w:rPr>
        <w:t xml:space="preserve">. If the Executive breaches, or proposes to breach, any portion of this Agreement, including the Confidentiality Agreement, or, if applicable, the Separation Agreement and Release, the Company shall be entitled, in addition to all other remedies that it may have, to an injunction or other appropriate equitable relief to restrain any such breach, and, if applicable, the Company shall have the right to suspend or terminate the payments, benefits and/or accelerated vesting, as applicable. Such suspension or termination shall not limit the Company’s other options with respect to relief for such breach and shall not relieve the Executive of its duties under this Agreement, the Confidentiality Agreement or the Separation Agreement and Release.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u w:val="single"/>
        </w:rPr>
        <w:t>Scope of Disclosure Restrictions</w:t>
      </w:r>
      <w:r>
        <w:rPr>
          <w:rFonts w:ascii="Times New Roman" w:hAnsi="Times New Roman"/>
          <w:sz w:val="20"/>
        </w:rPr>
        <w:t xml:space="preserve">. Nothing in this Agreement or the Confidentiality Agreement prohibits the Executive from (i) communicating with, or voluntarily providing information the Executive believes indicates possible or actual violations of the law to, local, state or federal government agencies, any legislative body, law enforcement, or self-regulatory organizations (including but not limited to the Securities and Exchange Commission), and/or (ii) making disclosures or communications to engage in protected, concerted activity or to otherwise exercise rights under Section 7 of the National Labor Relations Act. The Executive is not required to notify the Company of any such communications. Further, notwithstanding the Executive’s confidentiality and non-disclosure obligations, the Executive is hereby advised as follows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 </w:t>
      </w:r>
    </w:p>
    <w:p>
      <w:pPr>
        <w:pStyle w:val="TextBody"/>
        <w:bidi w:val="0"/>
        <w:spacing w:before="24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w:t>
      </w:r>
      <w:r>
        <w:rPr>
          <w:rFonts w:ascii="Times New Roman" w:hAnsi="Times New Roman"/>
          <w:b/>
          <w:sz w:val="20"/>
          <w:u w:val="single"/>
        </w:rPr>
        <w:t>Governing Law; Consent to Jurisdiction; Forum Selection</w:t>
      </w:r>
      <w:r>
        <w:rPr>
          <w:rFonts w:ascii="Times New Roman" w:hAnsi="Times New Roman"/>
          <w:sz w:val="20"/>
        </w:rPr>
        <w:t>. The resolution of any disputes as to the meaning, effect, performance or validity of this Agreement, or arising out of, related to, or in any way connected with the Executive’s employment with the Company or any other relationship between the Executive and the Company (“</w:t>
      </w:r>
      <w:r>
        <w:rPr>
          <w:rFonts w:ascii="Times New Roman" w:hAnsi="Times New Roman"/>
          <w:sz w:val="20"/>
          <w:u w:val="single"/>
        </w:rPr>
        <w:t>Disputes</w:t>
      </w:r>
      <w:r>
        <w:rPr>
          <w:rFonts w:ascii="Times New Roman" w:hAnsi="Times New Roman"/>
          <w:sz w:val="20"/>
        </w:rPr>
        <w:t xml:space="preserve">”) will be governed by the law of the Commonwealth of Massachusetts, excluding laws relating to conflicts or choice of law. The Executive and the Company submit to the exclusive personal jurisdiction of the federal and state courts located in the Commonwealth of Massachusetts in connection with any Dispute or any claim related to any Dispute and agree that any claims or legal action shall be commenced and maintained solely in a state or federal court located in the Commonwealth of Massachusetts. </w:t>
      </w:r>
    </w:p>
    <w:p>
      <w:pPr>
        <w:pStyle w:val="TextBody"/>
        <w:bidi w:val="0"/>
        <w:spacing w:before="240" w:after="0"/>
        <w:jc w:val="left"/>
        <w:rPr>
          <w:rFonts w:ascii="Times New Roman" w:hAnsi="Times New Roman"/>
          <w:sz w:val="20"/>
        </w:rPr>
      </w:pPr>
      <w:r>
        <w:rPr>
          <w:rFonts w:ascii="Times New Roman" w:hAnsi="Times New Roman"/>
          <w:b/>
          <w:sz w:val="20"/>
        </w:rPr>
        <w:t>17.</w:t>
      </w:r>
      <w:r>
        <w:rPr>
          <w:rFonts w:ascii="Times New Roman" w:hAnsi="Times New Roman"/>
          <w:sz w:val="20"/>
        </w:rPr>
        <w:t xml:space="preserve"> </w:t>
      </w:r>
      <w:r>
        <w:rPr>
          <w:rFonts w:ascii="Times New Roman" w:hAnsi="Times New Roman"/>
          <w:b/>
          <w:sz w:val="20"/>
          <w:u w:val="single"/>
        </w:rPr>
        <w:t>Integration</w:t>
      </w:r>
      <w:r>
        <w:rPr>
          <w:rFonts w:ascii="Times New Roman" w:hAnsi="Times New Roman"/>
          <w:sz w:val="20"/>
        </w:rPr>
        <w:t xml:space="preserve">. This Agreement, together with the Confidentiality Agreement and the Equity Documents, constitutes the entire agreement between the parties with respect to the subject matter of this Agreement, including the Executive’s compensation, severance pay, benefits and accelerated vesting and supersedes in all respects all other prior agreements between the parties concerning such subject matter, including without limitation any prior offer letter or employment agreement (including the Original Agreement), draft employment agreement, or discussions relating to the Executive’s employment relationship with the Company. For purposes of this Agreement, the Company shall include affiliates and subsidiaries thereof. </w:t>
      </w:r>
    </w:p>
    <w:p>
      <w:pPr>
        <w:pStyle w:val="TextBody"/>
        <w:bidi w:val="0"/>
        <w:spacing w:before="240" w:after="0"/>
        <w:jc w:val="left"/>
        <w:rPr>
          <w:rFonts w:ascii="Times New Roman" w:hAnsi="Times New Roman"/>
          <w:sz w:val="20"/>
        </w:rPr>
      </w:pPr>
      <w:r>
        <w:rPr>
          <w:rFonts w:ascii="Times New Roman" w:hAnsi="Times New Roman"/>
          <w:b/>
          <w:sz w:val="20"/>
        </w:rPr>
        <w:t>18.</w:t>
      </w:r>
      <w:r>
        <w:rPr>
          <w:rFonts w:ascii="Times New Roman" w:hAnsi="Times New Roman"/>
          <w:sz w:val="20"/>
        </w:rPr>
        <w:t xml:space="preserve"> </w:t>
      </w:r>
      <w:r>
        <w:rPr>
          <w:rFonts w:ascii="Times New Roman" w:hAnsi="Times New Roman"/>
          <w:b/>
          <w:sz w:val="20"/>
          <w:u w:val="single"/>
        </w:rPr>
        <w:t>Enforceability</w:t>
      </w:r>
      <w:r>
        <w:rPr>
          <w:rFonts w:ascii="Times New Roman" w:hAnsi="Times New Roman"/>
          <w:sz w:val="20"/>
        </w:rPr>
        <w:t xml:space="preserve">.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19.</w:t>
      </w:r>
      <w:r>
        <w:rPr>
          <w:rFonts w:ascii="Times New Roman" w:hAnsi="Times New Roman"/>
          <w:sz w:val="20"/>
        </w:rPr>
        <w:t xml:space="preserve"> </w:t>
      </w:r>
      <w:r>
        <w:rPr>
          <w:rFonts w:ascii="Times New Roman" w:hAnsi="Times New Roman"/>
          <w:b/>
          <w:sz w:val="20"/>
          <w:u w:val="single"/>
        </w:rPr>
        <w:t>Waiver</w:t>
      </w:r>
      <w:r>
        <w:rPr>
          <w:rFonts w:ascii="Times New Roman" w:hAnsi="Times New Roman"/>
          <w:sz w:val="20"/>
        </w:rPr>
        <w:t xml:space="preserve">.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 </w:t>
      </w:r>
    </w:p>
    <w:p>
      <w:pPr>
        <w:pStyle w:val="TextBody"/>
        <w:bidi w:val="0"/>
        <w:spacing w:before="240" w:after="0"/>
        <w:jc w:val="left"/>
        <w:rPr>
          <w:rFonts w:ascii="Times New Roman" w:hAnsi="Times New Roman"/>
          <w:sz w:val="20"/>
        </w:rPr>
      </w:pPr>
      <w:r>
        <w:rPr>
          <w:rFonts w:ascii="Times New Roman" w:hAnsi="Times New Roman"/>
          <w:b/>
          <w:sz w:val="20"/>
        </w:rPr>
        <w:t>20.</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Any notices, requests, demands and other communications provided for by this Agreement shall be sufficient if in writing and (i) sent by email to the email addresses used by the Chief Human Resources Officer of the Company or, if the Company does not have a Chief Human Resources Officer at the time of the notice, the most senior officer in the human resources function of the Company (in the case of notices to the Company), or by the Executive (in the case of notices to the Executive) in their usual course of business; (ii) delivered by hand; (iii) sent by a nationally recognized overnight courier service or (iv) sent by registered or certified mail, postage prepaid, return receipt requested, in each case (clauses (iii) and (iv)) to the Executive at the last address the Executive has filed in writing with the Company, or (as applicable) to the Company at its main office, attention of the Chief Human Resources Officer of the Company or, if the Company does not have a Chief Human Resources Officer at the time of the notice, the most senior officer in the human resources function of the Company. </w:t>
      </w:r>
    </w:p>
    <w:p>
      <w:pPr>
        <w:pStyle w:val="TextBody"/>
        <w:bidi w:val="0"/>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u w:val="single"/>
        </w:rPr>
        <w:t>Amendment</w:t>
      </w:r>
      <w:r>
        <w:rPr>
          <w:rFonts w:ascii="Times New Roman" w:hAnsi="Times New Roman"/>
          <w:sz w:val="20"/>
        </w:rPr>
        <w:t xml:space="preserve">. This Agreement may be amended or modified only by a written instrument signed by the Executive and by a duly authorized representative of the Company. </w:t>
      </w:r>
    </w:p>
    <w:p>
      <w:pPr>
        <w:pStyle w:val="TextBody"/>
        <w:bidi w:val="0"/>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u w:val="single"/>
        </w:rPr>
        <w:t>Assignment and Transfer by the Company; Successors</w:t>
      </w:r>
      <w:r>
        <w:rPr>
          <w:rFonts w:ascii="Times New Roman" w:hAnsi="Times New Roman"/>
          <w:sz w:val="20"/>
        </w:rPr>
        <w:t xml:space="preserve">. The Company shall have the right to assign and/or transfer this Agreement to any entity or person, including without limitation the Company’s parents, subsidiaries, other affiliates, successors, and acquirers of Company stock or other assets, provided that such entity or person receives all or substantially all of the Company’s assets. The Executive hereby expressly consents to such assignment and/or transfer. This Agreement shall inure to the benefit of and be enforceable by the Company’s assigns, successors, acquirers and transferees. </w:t>
      </w:r>
    </w:p>
    <w:p>
      <w:pPr>
        <w:pStyle w:val="TextBody"/>
        <w:bidi w:val="0"/>
        <w:spacing w:before="24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w:t>
      </w:r>
      <w:r>
        <w:rPr>
          <w:rFonts w:ascii="Times New Roman" w:hAnsi="Times New Roman"/>
          <w:b/>
          <w:sz w:val="20"/>
          <w:u w:val="single"/>
        </w:rPr>
        <w:t>Counterparts</w:t>
      </w:r>
      <w:r>
        <w:rPr>
          <w:rFonts w:ascii="Times New Roman" w:hAnsi="Times New Roman"/>
          <w:sz w:val="20"/>
        </w:rPr>
        <w:t xml:space="preserve">. This Agreement may be executed in any number of counterparts, each of which when so executed and delivered shall be taken to be an original, but all of which together shall constitute one and the same document.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this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effective on the date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VOYAGER THERAPEUTICS,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Alfred W. Sandrock, Jr., M.D., Ph.D.</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0"/>
              <w:jc w:val="left"/>
              <w:rPr>
                <w:rFonts w:ascii="Times New Roman" w:hAnsi="Times New Roman"/>
                <w:sz w:val="20"/>
              </w:rPr>
            </w:pPr>
            <w:r>
              <w:rPr>
                <w:rFonts w:ascii="Times New Roman" w:hAnsi="Times New Roman"/>
                <w:sz w:val="20"/>
              </w:rPr>
              <w:t>Alfred W. Sandrock, Jr., M.D., Ph.D.</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0"/>
              <w:jc w:val="left"/>
              <w:rPr>
                <w:rFonts w:ascii="Times New Roman" w:hAnsi="Times New Roman"/>
                <w:sz w:val="20"/>
              </w:rPr>
            </w:pPr>
            <w:r>
              <w:rPr>
                <w:rFonts w:ascii="Times New Roman" w:hAnsi="Times New Roman"/>
                <w:sz w:val="20"/>
              </w:rPr>
              <w:t>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 October 20, 2026</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EXECUTIVE: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/s/ Robin Swartz</w:t>
            </w:r>
          </w:p>
        </w:tc>
      </w:tr>
      <w:tr>
        <w:trPr/>
        <w:tc>
          <w:tcPr>
            <w:tcW w:w="4082" w:type="dxa"/>
            <w:gridSpan w:val="3"/>
            <w:tcBorders/>
          </w:tcPr>
          <w:p>
            <w:pPr>
              <w:pStyle w:val="TableContents"/>
              <w:bidi w:val="0"/>
              <w:spacing w:before="0" w:after="283"/>
              <w:jc w:val="left"/>
              <w:rPr/>
            </w:pPr>
            <w:r>
              <w:rPr/>
              <w:t>Robin Swartz</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 October 20, 2026</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8893</Words>
  <Characters>46985</Characters>
  <CharactersWithSpaces>55875</CharactersWithSpaces>
  <Paragraphs>234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