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720" w:right="0" w:hanging="0"/>
        <w:jc w:val="both"/>
        <w:rPr/>
      </w:pPr>
      <w:bookmarkStart w:id="0" w:name="tm2517216d2_8k.htm"/>
      <w:bookmarkStart w:id="1" w:name="kstm2517216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0_edei--DocumentType_c20250603__20"/>
      <w:bookmarkEnd w:id="2"/>
      <w:r>
        <w:rPr>
          <w:rFonts w:ascii="Times New Roman;Times;Serif" w:hAnsi="Times New Roman;Times;Serif"/>
          <w:b/>
          <w:i w:val="false"/>
          <w:caps w:val="false"/>
          <w:smallCaps w:val="false"/>
          <w:sz w:val="36"/>
        </w:rPr>
        <w:t>8-K</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June 3, 2025</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5"/>
      <w:bookmarkEnd w:id="4"/>
      <w:r>
        <w:rPr>
          <w:rFonts w:ascii="Times New Roman;Times;Serif" w:hAnsi="Times New Roman;Times;Serif"/>
          <w:b/>
          <w:i w:val="false"/>
          <w:caps w:val="false"/>
          <w:smallCaps w:val="false"/>
          <w:sz w:val="36"/>
        </w:rPr>
        <w:t>Voyager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50603"/>
            <w:bookmarkEnd w:id="6"/>
            <w:r>
              <w:rPr>
                <w:rFonts w:ascii="Times New Roman;Times;Serif" w:hAnsi="Times New Roman;Times;Serif"/>
                <w:b/>
                <w:sz w:val="20"/>
              </w:rPr>
              <w:t>001-37625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46-3003182</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pPr>
            <w:bookmarkStart w:id="8" w:name="xdx_900_edei--EntityAddressAddressLine1_"/>
            <w:bookmarkEnd w:id="8"/>
            <w:r>
              <w:rPr>
                <w:rFonts w:ascii="Times New Roman;Times;Serif" w:hAnsi="Times New Roman;Times;Serif"/>
                <w:b/>
                <w:sz w:val="20"/>
              </w:rPr>
              <w:t>75 Hayden Avenue</w:t>
            </w:r>
            <w:r>
              <w:rPr/>
              <w:br/>
            </w:r>
            <w:bookmarkStart w:id="9" w:name="xdx_904_edei--EntityAddressCityOrTown_c2"/>
            <w:bookmarkEnd w:id="9"/>
            <w:r>
              <w:rPr>
                <w:b/>
                <w:sz w:val="20"/>
              </w:rPr>
              <w:t xml:space="preserve">Lexington, </w:t>
            </w:r>
            <w:bookmarkStart w:id="10" w:name="xdx_90A_edei--EntityAddressStateOrProvin"/>
            <w:bookmarkEnd w:id="10"/>
            <w:r>
              <w:rPr>
                <w:b/>
                <w:sz w:val="20"/>
              </w:rPr>
              <w:t>Massachusetts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02421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8_edei--CityAreaCode_c20250603__20"/>
      <w:bookmarkEnd w:id="12"/>
      <w:r>
        <w:rPr>
          <w:rFonts w:ascii="Times New Roman;Times;Serif" w:hAnsi="Times New Roman;Times;Serif"/>
          <w:b/>
          <w:i w:val="false"/>
          <w:caps w:val="false"/>
          <w:smallCaps w:val="false"/>
          <w:sz w:val="20"/>
        </w:rPr>
        <w:t xml:space="preserve">857) </w:t>
      </w:r>
      <w:bookmarkStart w:id="13" w:name="xdx_905_edei--LocalPhoneNumber_c20250603"/>
      <w:bookmarkEnd w:id="13"/>
      <w:r>
        <w:rPr>
          <w:rFonts w:ascii="Times New Roman;Times;Serif" w:hAnsi="Times New Roman;Times;Serif"/>
          <w:b/>
          <w:i w:val="false"/>
          <w:caps w:val="false"/>
          <w:smallCaps w:val="false"/>
          <w:sz w:val="20"/>
        </w:rPr>
        <w:t>259-5340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bookmarkStart w:id="14" w:name="xdx_90F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left"/>
        <w:rPr>
          <w:caps w:val="false"/>
          <w:smallCaps w:val="false"/>
        </w:rPr>
      </w:pPr>
      <w:bookmarkStart w:id="15" w:name="xdx_909_edei--SolicitingMaterial_c202506"/>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left"/>
        <w:rPr>
          <w:caps w:val="false"/>
          <w:smallCaps w:val="false"/>
        </w:rPr>
      </w:pPr>
      <w:bookmarkStart w:id="16" w:name="xdx_904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left"/>
        <w:rPr>
          <w:caps w:val="false"/>
          <w:smallCaps w:val="false"/>
        </w:rPr>
      </w:pPr>
      <w:bookmarkStart w:id="17" w:name="xdx_90F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10" w:type="dxa"/>
        <w:tblLayout w:type="fixed"/>
        <w:tblCellMar>
          <w:top w:w="28" w:type="dxa"/>
          <w:left w:w="28" w:type="dxa"/>
          <w:bottom w:w="0" w:type="dxa"/>
          <w:right w:w="0" w:type="dxa"/>
        </w:tblCellMar>
      </w:tblPr>
      <w:tblGrid>
        <w:gridCol w:w="2750"/>
        <w:gridCol w:w="1535"/>
        <w:gridCol w:w="2750"/>
      </w:tblGrid>
      <w:tr>
        <w:trPr/>
        <w:tc>
          <w:tcPr>
            <w:tcW w:w="275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2750"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275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bookmarkStart w:id="18" w:name="xdx_905_edei--Security12bTitle_c20250603"/>
            <w:bookmarkEnd w:id="18"/>
            <w:r>
              <w:rPr>
                <w:rFonts w:ascii="Times New Roman;Times;Serif" w:hAnsi="Times New Roman;Times;Serif"/>
                <w:sz w:val="20"/>
              </w:rPr>
              <w:t>Common Stock, $0.001 par value</w:t>
            </w:r>
          </w:p>
        </w:tc>
        <w:tc>
          <w:tcPr>
            <w:tcW w:w="1535"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center"/>
              <w:rPr>
                <w:rFonts w:ascii="Times New Roman;Times;Serif" w:hAnsi="Times New Roman;Times;Serif"/>
                <w:sz w:val="20"/>
              </w:rPr>
            </w:pPr>
            <w:bookmarkStart w:id="19" w:name="xdx_901_edei--TradingSymbol_c20250603__2"/>
            <w:bookmarkEnd w:id="19"/>
            <w:r>
              <w:rPr>
                <w:rFonts w:ascii="Times New Roman;Times;Serif" w:hAnsi="Times New Roman;Times;Serif"/>
                <w:sz w:val="20"/>
              </w:rPr>
              <w:t>VYGR</w:t>
            </w:r>
          </w:p>
        </w:tc>
        <w:tc>
          <w:tcPr>
            <w:tcW w:w="275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Times New Roman;Times;Serif" w:hAnsi="Times New Roman;Times;Serif"/>
                <w:sz w:val="20"/>
              </w:rPr>
            </w:pPr>
            <w:bookmarkStart w:id="20" w:name="xdx_905_edei--SecurityExchangeName_c2025"/>
            <w:bookmarkEnd w:id="20"/>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of stockholders of Voyager Therapeutics, Inc. (“Voyager”) held on June 3, 2025 (the “2025 Annual Meeting”), Voyager’s stockholders approved the 2025 Stock Incentive Plan (the “2025 Stock Incentive Plan”) and the Amended and Restated 2015 Employee Stock Purchase Plan (the “Amended and Restated 2015 Employee Stock Purchase Plan”), each of which had previously been adopted by Voyager’s Board of Directors subject to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Descriptions of the 2025 Stock Incentive Plan contained on pages 12 to 26 and the Amended and Restated 2015 Employee Stock Purchase Plan contained on pages 27 to 31 of Voyager’s </w:t>
      </w:r>
      <w:hyperlink r:id="rId2">
        <w:r>
          <w:rPr>
            <w:rStyle w:val="InternetLink"/>
            <w:rFonts w:ascii="Times New Roman;Times;Serif" w:hAnsi="Times New Roman;Times;Serif"/>
            <w:b w:val="false"/>
            <w:i w:val="false"/>
            <w:caps w:val="false"/>
            <w:smallCaps w:val="false"/>
            <w:sz w:val="20"/>
          </w:rPr>
          <w:t>Proxy Statement for the 2025 Annual Meeting, filed with the Securities and Exchange Commission on April 23, 2025</w:t>
        </w:r>
      </w:hyperlink>
      <w:r>
        <w:rPr>
          <w:rFonts w:ascii="Times New Roman;Times;Serif" w:hAnsi="Times New Roman;Times;Serif"/>
          <w:b w:val="false"/>
          <w:i w:val="false"/>
          <w:caps w:val="false"/>
          <w:smallCaps w:val="false"/>
          <w:sz w:val="20"/>
        </w:rPr>
        <w:t>, are incorporated herein by reference. Complete copies of the 2025 Stock Incentive Plan and the Amended and Restated 2015 Employee Stock Purchase Plan are attached hereto as Exhibits 99.1 and 99.2,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matters voted on at the 2025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70" w:type="dxa"/>
            <w:tcBorders/>
            <w:vAlign w:val="center"/>
          </w:tcPr>
          <w:p>
            <w:pPr>
              <w:pStyle w:val="TableContents"/>
              <w:bidi w:val="0"/>
              <w:spacing w:before="0" w:after="283"/>
              <w:jc w:val="left"/>
              <w:rPr/>
            </w:pPr>
            <w:r>
              <w:rPr/>
              <w:t>Voyager’s stockholders elected Grace E. Colón, Ph.D., Catherine J. Mackey, Ph.D., Glenn Pierce, M.D., Ph.D., and George Scangos, Ph.D., each to serve as a Class I director until the 2028 Annual Meeting of Stockholders and until his or her successor has been duly elected and qualified, subject to his or her earlier death, resignation, or removal. The results of the stockholders’ vote with respect to the election of such Class I directors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28" w:type="dxa"/>
          <w:right w:w="0" w:type="dxa"/>
        </w:tblCellMar>
      </w:tblPr>
      <w:tblGrid>
        <w:gridCol w:w="2225"/>
        <w:gridCol w:w="60"/>
        <w:gridCol w:w="60"/>
        <w:gridCol w:w="950"/>
        <w:gridCol w:w="60"/>
        <w:gridCol w:w="60"/>
        <w:gridCol w:w="60"/>
        <w:gridCol w:w="845"/>
        <w:gridCol w:w="60"/>
        <w:gridCol w:w="60"/>
        <w:gridCol w:w="60"/>
        <w:gridCol w:w="845"/>
        <w:gridCol w:w="75"/>
      </w:tblGrid>
      <w:tr>
        <w:trPr/>
        <w:tc>
          <w:tcPr>
            <w:tcW w:w="22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w:t>
              <w:br/>
              <w:t>Withheld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br/>
              <w:t>Non-Votes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Grace E. Colón,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38,209,235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1,688,859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8,531,070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Catherine J. Mackey,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38,216,364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1,681,730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8,531,070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Glenn Pierce, M.D., Ph.D.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38,123,609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1,774,485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8,531,070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Scangos,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33,177,695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6,720,399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8,531,070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9956" w:type="dxa"/>
            <w:tcBorders/>
            <w:vAlign w:val="center"/>
          </w:tcPr>
          <w:p>
            <w:pPr>
              <w:pStyle w:val="TableContents"/>
              <w:bidi w:val="0"/>
              <w:spacing w:before="0" w:after="283"/>
              <w:jc w:val="left"/>
              <w:rPr/>
            </w:pPr>
            <w:r>
              <w:rPr/>
              <w:t>Voyager’s stockholders approved a non-binding, advisory proposal regarding the compensation of Voyager’s named executive officers. The results of the stockholders’ vote with respect to such proposal were as follows:</w:t>
            </w:r>
          </w:p>
        </w:tc>
      </w:tr>
    </w:tbl>
    <w:p>
      <w:pPr>
        <w:pStyle w:val="TextBody"/>
        <w:bidi w:val="0"/>
        <w:spacing w:before="0" w:after="0"/>
        <w:ind w:left="1440" w:right="0" w:hanging="720"/>
        <w:jc w:val="left"/>
        <w:rPr>
          <w:caps w:val="false"/>
          <w:smallCaps w:val="false"/>
        </w:rPr>
      </w:pPr>
      <w:r>
        <w:rPr>
          <w:caps w:val="false"/>
          <w:smallCaps w:val="false"/>
        </w:rPr>
        <w:t> </w:t>
      </w:r>
    </w:p>
    <w:tbl>
      <w:tblPr>
        <w:tblW w:w="4669" w:type="dxa"/>
        <w:jc w:val="left"/>
        <w:tblInd w:w="0" w:type="dxa"/>
        <w:tblLayout w:type="fixed"/>
        <w:tblCellMar>
          <w:top w:w="0" w:type="dxa"/>
          <w:left w:w="0" w:type="dxa"/>
          <w:bottom w:w="28" w:type="dxa"/>
          <w:right w:w="0" w:type="dxa"/>
        </w:tblCellMar>
      </w:tblPr>
      <w:tblGrid>
        <w:gridCol w:w="75"/>
        <w:gridCol w:w="950"/>
        <w:gridCol w:w="60"/>
        <w:gridCol w:w="60"/>
        <w:gridCol w:w="60"/>
        <w:gridCol w:w="845"/>
        <w:gridCol w:w="60"/>
        <w:gridCol w:w="60"/>
        <w:gridCol w:w="60"/>
        <w:gridCol w:w="695"/>
        <w:gridCol w:w="60"/>
        <w:gridCol w:w="60"/>
        <w:gridCol w:w="102"/>
        <w:gridCol w:w="1447"/>
        <w:gridCol w:w="75"/>
      </w:tblGrid>
      <w:tr>
        <w:trPr/>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37,755,432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2,034,622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108,040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8,531,070</w:t>
            </w:r>
          </w:p>
        </w:tc>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9976" w:type="dxa"/>
            <w:tcBorders/>
            <w:vAlign w:val="center"/>
          </w:tcPr>
          <w:p>
            <w:pPr>
              <w:pStyle w:val="TableContents"/>
              <w:bidi w:val="0"/>
              <w:spacing w:before="0" w:after="283"/>
              <w:jc w:val="left"/>
              <w:rPr/>
            </w:pPr>
            <w:r>
              <w:rPr/>
              <w:t>Voyager’s stockholders ratified the appointment of Ernst &amp; Young LLP as Voyager’s independent registered public accounting firm for the fiscal year ending December 31, 2025. The results of the stockholders’ vote with respect to such ratification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4429" w:type="dxa"/>
        <w:jc w:val="left"/>
        <w:tblInd w:w="0" w:type="dxa"/>
        <w:tblLayout w:type="fixed"/>
        <w:tblCellMar>
          <w:top w:w="0" w:type="dxa"/>
          <w:left w:w="0" w:type="dxa"/>
          <w:bottom w:w="28" w:type="dxa"/>
          <w:right w:w="0" w:type="dxa"/>
        </w:tblCellMar>
      </w:tblPr>
      <w:tblGrid>
        <w:gridCol w:w="75"/>
        <w:gridCol w:w="950"/>
        <w:gridCol w:w="60"/>
        <w:gridCol w:w="60"/>
        <w:gridCol w:w="60"/>
        <w:gridCol w:w="695"/>
        <w:gridCol w:w="60"/>
        <w:gridCol w:w="60"/>
        <w:gridCol w:w="61"/>
        <w:gridCol w:w="604"/>
        <w:gridCol w:w="60"/>
        <w:gridCol w:w="60"/>
        <w:gridCol w:w="289"/>
        <w:gridCol w:w="1260"/>
        <w:gridCol w:w="75"/>
      </w:tblGrid>
      <w:tr>
        <w:trPr/>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48,137,216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249,172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42,776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89"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942" w:type="dxa"/>
            <w:tcBorders/>
            <w:vAlign w:val="center"/>
          </w:tcPr>
          <w:p>
            <w:pPr>
              <w:pStyle w:val="TableContents"/>
              <w:bidi w:val="0"/>
              <w:spacing w:before="0" w:after="283"/>
              <w:jc w:val="left"/>
              <w:rPr/>
            </w:pPr>
            <w:r>
              <w:rPr/>
              <w:t>Voyager’s stockholders approved the 2025 Stock Incentive Plan. The results of the stockholders’ vote with respect to such proposal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4684" w:type="dxa"/>
        <w:jc w:val="left"/>
        <w:tblInd w:w="0" w:type="dxa"/>
        <w:tblLayout w:type="fixed"/>
        <w:tblCellMar>
          <w:top w:w="0" w:type="dxa"/>
          <w:left w:w="0" w:type="dxa"/>
          <w:bottom w:w="28" w:type="dxa"/>
          <w:right w:w="0" w:type="dxa"/>
        </w:tblCellMar>
      </w:tblPr>
      <w:tblGrid>
        <w:gridCol w:w="75"/>
        <w:gridCol w:w="950"/>
        <w:gridCol w:w="60"/>
        <w:gridCol w:w="60"/>
        <w:gridCol w:w="60"/>
        <w:gridCol w:w="950"/>
        <w:gridCol w:w="60"/>
        <w:gridCol w:w="60"/>
        <w:gridCol w:w="61"/>
        <w:gridCol w:w="604"/>
        <w:gridCol w:w="60"/>
        <w:gridCol w:w="60"/>
        <w:gridCol w:w="102"/>
        <w:gridCol w:w="1447"/>
        <w:gridCol w:w="75"/>
      </w:tblGrid>
      <w:tr>
        <w:trPr/>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28,582,188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11,275,604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40,302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8,531,070</w:t>
            </w:r>
          </w:p>
        </w:tc>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9965" w:type="dxa"/>
            <w:tcBorders/>
            <w:vAlign w:val="center"/>
          </w:tcPr>
          <w:p>
            <w:pPr>
              <w:pStyle w:val="TableContents"/>
              <w:bidi w:val="0"/>
              <w:spacing w:before="0" w:after="283"/>
              <w:jc w:val="left"/>
              <w:rPr/>
            </w:pPr>
            <w:r>
              <w:rPr/>
              <w:t>Voyager’s stockholders approved the Amended and Restated 2015 Employee Stock Purchase Plan. The results of the stockholders’ vote with respect to such proposal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4579" w:type="dxa"/>
        <w:jc w:val="left"/>
        <w:tblInd w:w="0" w:type="dxa"/>
        <w:tblLayout w:type="fixed"/>
        <w:tblCellMar>
          <w:top w:w="0" w:type="dxa"/>
          <w:left w:w="0" w:type="dxa"/>
          <w:bottom w:w="28" w:type="dxa"/>
          <w:right w:w="0" w:type="dxa"/>
        </w:tblCellMar>
      </w:tblPr>
      <w:tblGrid>
        <w:gridCol w:w="75"/>
        <w:gridCol w:w="950"/>
        <w:gridCol w:w="60"/>
        <w:gridCol w:w="60"/>
        <w:gridCol w:w="60"/>
        <w:gridCol w:w="845"/>
        <w:gridCol w:w="60"/>
        <w:gridCol w:w="60"/>
        <w:gridCol w:w="61"/>
        <w:gridCol w:w="604"/>
        <w:gridCol w:w="60"/>
        <w:gridCol w:w="60"/>
        <w:gridCol w:w="102"/>
        <w:gridCol w:w="1447"/>
        <w:gridCol w:w="75"/>
      </w:tblGrid>
      <w:tr>
        <w:trPr/>
        <w:tc>
          <w:tcPr>
            <w:tcW w:w="10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36,532,540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3,326,824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1"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38,730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4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8,531,070</w:t>
            </w:r>
          </w:p>
        </w:tc>
        <w:tc>
          <w:tcPr>
            <w:tcW w:w="7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"https://www.sec.gov/ix?doc=/Archives/edgar/data/1640266/000155837025005254/vygr-20250603xdef14a.htm" \l "AppendixA"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99.1</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"https://www.sec.gov/ix?doc=/Archives/edgar/data/1640266/000155837025005254/vygr-20250603xdef14a.htm" \l "AppendixA"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Voyager Therapeutics, Inc. 2025 Stock Incentive Plan, incorporated herein by reference to Appendix A to Voyager’s definitive proxy statement, filed with the Securities and Exchange Commission on April 23, 2025.</w:t>
            </w:r>
            <w:r>
              <w:rPr>
                <w:rStyle w:val="InternetLink"/>
                <w:sz w:val="20"/>
                <w:rFonts w:ascii="Times New Roman;Times;Serif" w:hAnsi="Times New Roman;Times;Serif"/>
              </w:rPr>
              <w:fldChar w:fldCharType="end"/>
            </w:r>
          </w:p>
        </w:tc>
      </w:tr>
      <w:tr>
        <w:trPr/>
        <w:tc>
          <w:tcPr>
            <w:tcW w:w="665"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"https://www.sec.gov/ix?doc=/Archives/edgar/data/1640266/000155837025005254/vygr-20250603xdef14a.htm" \l "AppendixB"</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99.2</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"https://www.sec.gov/ix?doc=/Archives/edgar/data/1640266/000155837025005254/vygr-20250603xdef14a.htm" \l "AppendixB"</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Voyager Therapeutics, Inc. Amended and Restated 2015 Employee Stock Purchase Plan, incorporated herein by reference to Appendix B to Voyager’s definitive proxy statement, filed with the Securities and Exchange Commission on April 23, 2025.</w:t>
            </w:r>
            <w:r>
              <w:rPr>
                <w:rStyle w:val="InternetLink"/>
                <w:sz w:val="20"/>
                <w:rFonts w:ascii="Times New Roman;Times;Serif" w:hAnsi="Times New Roman;Times;Serif"/>
              </w:rPr>
              <w:fldChar w:fldCharType="end"/>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1820"/>
        <w:gridCol w:w="365"/>
        <w:gridCol w:w="3890"/>
      </w:tblGrid>
      <w:tr>
        <w:trPr/>
        <w:tc>
          <w:tcPr>
            <w:tcW w:w="1820" w:type="dxa"/>
            <w:tcBorders/>
            <w:vAlign w:val="center"/>
          </w:tcPr>
          <w:p>
            <w:pPr>
              <w:pStyle w:val="TableContents"/>
              <w:bidi w:val="0"/>
              <w:spacing w:before="0" w:after="283"/>
              <w:jc w:val="left"/>
              <w:rPr/>
            </w:pPr>
            <w:r>
              <w:rPr/>
              <w:t xml:space="preserve">Date: </w:t>
            </w:r>
            <w:r>
              <w:rPr>
                <w:rFonts w:ascii="Times New Roman;Times;Serif" w:hAnsi="Times New Roman;Times;Serif"/>
              </w:rPr>
              <w:t>June 5, 2025</w:t>
            </w:r>
          </w:p>
        </w:tc>
        <w:tc>
          <w:tcPr>
            <w:tcW w:w="4255" w:type="dxa"/>
            <w:gridSpan w:val="2"/>
            <w:tcBorders/>
            <w:vAlign w:val="center"/>
          </w:tcPr>
          <w:p>
            <w:pPr>
              <w:pStyle w:val="TableContents"/>
              <w:bidi w:val="0"/>
              <w:spacing w:before="0" w:after="283"/>
              <w:jc w:val="left"/>
              <w:rPr/>
            </w:pPr>
            <w:r>
              <w:rPr>
                <w:rFonts w:ascii="Times New Roman;Times;Serif" w:hAnsi="Times New Roman;Times;Serif"/>
                <w:b/>
                <w:sz w:val="20"/>
              </w:rPr>
              <w:t>VOYAGER</w:t>
            </w:r>
            <w:r>
              <w:rPr/>
              <w:t xml:space="preserve"> </w:t>
            </w:r>
            <w:r>
              <w:rPr>
                <w:b/>
              </w:rPr>
              <w:t>THERAPEUTICS, INC.</w:t>
            </w:r>
          </w:p>
        </w:tc>
      </w:tr>
      <w:tr>
        <w:trPr/>
        <w:tc>
          <w:tcPr>
            <w:tcW w:w="1820" w:type="dxa"/>
            <w:tcBorders/>
            <w:vAlign w:val="center"/>
          </w:tcPr>
          <w:p>
            <w:pPr>
              <w:pStyle w:val="TableContents"/>
              <w:bidi w:val="0"/>
              <w:spacing w:before="0" w:after="283"/>
              <w:jc w:val="left"/>
              <w:rPr/>
            </w:pPr>
            <w:r>
              <w:rPr/>
              <w:t> </w:t>
            </w:r>
          </w:p>
        </w:tc>
        <w:tc>
          <w:tcPr>
            <w:tcW w:w="425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890" w:type="dxa"/>
            <w:tcBorders>
              <w:bottom w:val="single" w:sz="8" w:space="0" w:color="000000"/>
            </w:tcBorders>
            <w:tcMar>
              <w:bottom w:w="28" w:type="dxa"/>
            </w:tcMar>
            <w:vAlign w:val="center"/>
          </w:tcPr>
          <w:p>
            <w:pPr>
              <w:pStyle w:val="TableContents"/>
              <w:bidi w:val="0"/>
              <w:spacing w:before="0" w:after="283"/>
              <w:jc w:val="left"/>
              <w:rPr>
                <w:i/>
              </w:rPr>
            </w:pPr>
            <w:r>
              <w:rPr>
                <w:i/>
              </w:rPr>
              <w:t>/s/ Alfred Sandrock, M.D., Ph.D.</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Alfred Sandrock, M.D., Ph.D.</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Director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40266/000155837025005254/vygr-20250603x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916</Words>
  <Characters>5236</Characters>
  <CharactersWithSpaces>6225</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