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60325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83185</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32" w:lineRule="exact"/>
        <w:rPr>
          <w:sz w:val="24"/>
          <w:szCs w:val="24"/>
          <w:color w:val="auto"/>
        </w:rPr>
      </w:pPr>
    </w:p>
    <w:p>
      <w:pPr>
        <w:ind w:left="21"/>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5" w:lineRule="exact"/>
        <w:rPr>
          <w:rFonts w:ascii="MS PGothic" w:cs="MS PGothic" w:eastAsia="MS PGothic" w:hAnsi="MS PGothic"/>
          <w:sz w:val="18"/>
          <w:szCs w:val="18"/>
          <w:color w:val="auto"/>
        </w:rPr>
      </w:pPr>
    </w:p>
    <w:p>
      <w:pPr>
        <w:ind w:left="3501"/>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2016</w:t>
      </w:r>
    </w:p>
    <w:p>
      <w:pPr>
        <w:spacing w:after="0" w:line="38" w:lineRule="exact"/>
        <w:rPr>
          <w:rFonts w:ascii="MS PGothic" w:cs="MS PGothic" w:eastAsia="MS PGothic" w:hAnsi="MS PGothic"/>
          <w:sz w:val="18"/>
          <w:szCs w:val="18"/>
          <w:color w:val="auto"/>
        </w:rPr>
      </w:pPr>
    </w:p>
    <w:p>
      <w:pPr>
        <w:ind w:left="4921"/>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6" w:lineRule="exact"/>
        <w:rPr>
          <w:sz w:val="24"/>
          <w:szCs w:val="24"/>
          <w:color w:val="auto"/>
        </w:rPr>
      </w:pPr>
    </w:p>
    <w:p>
      <w:pPr>
        <w:ind w:left="2941"/>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3227705</wp:posOffset>
            </wp:positionH>
            <wp:positionV relativeFrom="paragraph">
              <wp:posOffset>-4445</wp:posOffset>
            </wp:positionV>
            <wp:extent cx="1269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80645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Voyager Therapeutics, Inc.</w:t>
      </w: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69215</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sectPr>
      </w:pPr>
    </w:p>
    <w:p>
      <w:pPr>
        <w:spacing w:after="0" w:line="298" w:lineRule="exact"/>
        <w:rPr>
          <w:sz w:val="24"/>
          <w:szCs w:val="24"/>
          <w:color w:val="auto"/>
        </w:rPr>
      </w:pPr>
    </w:p>
    <w:p>
      <w:pPr>
        <w:jc w:val="center"/>
        <w:ind w:right="1419"/>
        <w:spacing w:after="0"/>
        <w:rPr>
          <w:sz w:val="20"/>
          <w:szCs w:val="20"/>
          <w:color w:val="auto"/>
        </w:rPr>
      </w:pPr>
      <w:r>
        <w:rPr>
          <w:rFonts w:ascii="Arial" w:cs="Arial" w:eastAsia="Arial" w:hAnsi="Arial"/>
          <w:sz w:val="16"/>
          <w:szCs w:val="16"/>
          <w:b w:val="1"/>
          <w:bCs w:val="1"/>
          <w:color w:val="auto"/>
        </w:rPr>
        <w:t>Delaware</w:t>
      </w:r>
    </w:p>
    <w:p>
      <w:pPr>
        <w:spacing w:after="0" w:line="10" w:lineRule="exact"/>
        <w:rPr>
          <w:sz w:val="24"/>
          <w:szCs w:val="24"/>
          <w:color w:val="auto"/>
        </w:rPr>
      </w:pPr>
    </w:p>
    <w:p>
      <w:pPr>
        <w:ind w:left="1661"/>
        <w:spacing w:after="0"/>
        <w:rPr>
          <w:sz w:val="20"/>
          <w:szCs w:val="20"/>
          <w:color w:val="auto"/>
        </w:rPr>
      </w:pPr>
      <w:r>
        <w:rPr>
          <w:rFonts w:ascii="Arial" w:cs="Arial" w:eastAsia="Arial" w:hAnsi="Arial"/>
          <w:sz w:val="11"/>
          <w:szCs w:val="11"/>
          <w:b w:val="1"/>
          <w:bCs w:val="1"/>
          <w:color w:val="auto"/>
        </w:rPr>
        <w:t>(State or Other Jurisdiction of</w:t>
      </w:r>
    </w:p>
    <w:p>
      <w:pPr>
        <w:ind w:left="1621"/>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46-3003182</w:t>
      </w:r>
    </w:p>
    <w:p>
      <w:pPr>
        <w:jc w:val="center"/>
        <w:ind w:right="1980"/>
        <w:spacing w:after="0" w:line="195" w:lineRule="auto"/>
        <w:rPr>
          <w:sz w:val="20"/>
          <w:szCs w:val="20"/>
          <w:color w:val="auto"/>
        </w:rPr>
      </w:pPr>
      <w:r>
        <w:rPr>
          <w:rFonts w:ascii="Arial" w:cs="Arial" w:eastAsia="Arial" w:hAnsi="Arial"/>
          <w:sz w:val="13"/>
          <w:szCs w:val="13"/>
          <w:b w:val="1"/>
          <w:bCs w:val="1"/>
          <w:color w:val="auto"/>
        </w:rPr>
        <w:t>(IRS Employer</w:t>
      </w:r>
    </w:p>
    <w:p>
      <w:pPr>
        <w:jc w:val="center"/>
        <w:ind w:right="1980"/>
        <w:spacing w:after="0"/>
        <w:rPr>
          <w:sz w:val="20"/>
          <w:szCs w:val="20"/>
          <w:color w:val="auto"/>
        </w:rPr>
      </w:pPr>
      <w:r>
        <w:rPr>
          <w:rFonts w:ascii="Arial" w:cs="Arial" w:eastAsia="Arial" w:hAnsi="Arial"/>
          <w:sz w:val="11"/>
          <w:szCs w:val="11"/>
          <w:b w:val="1"/>
          <w:bCs w:val="1"/>
          <w:color w:val="auto"/>
        </w:rPr>
        <w:t>Identification No.)</w:t>
      </w:r>
    </w:p>
    <w:p>
      <w:pPr>
        <w:spacing w:after="0" w:line="45" w:lineRule="exact"/>
        <w:rPr>
          <w:sz w:val="24"/>
          <w:szCs w:val="24"/>
          <w:color w:val="auto"/>
        </w:rPr>
      </w:pPr>
    </w:p>
    <w:p>
      <w:pPr>
        <w:sectPr>
          <w:pgSz w:w="11900" w:h="16838" w:orient="portrait"/>
          <w:cols w:equalWidth="0" w:num="2">
            <w:col w:w="6381" w:space="720"/>
            <w:col w:w="2960"/>
          </w:cols>
          <w:pgMar w:left="919" w:top="220" w:right="919" w:bottom="1440" w:gutter="0" w:footer="0" w:header="0"/>
          <w:type w:val="continuous"/>
        </w:sectPr>
      </w:pPr>
    </w:p>
    <w:tbl>
      <w:tblPr>
        <w:tblLayout w:type="fixed"/>
        <w:tblInd w:w="1401" w:type="dxa"/>
        <w:tblCellMar>
          <w:top w:w="0" w:type="dxa"/>
          <w:left w:w="0" w:type="dxa"/>
          <w:bottom w:w="0" w:type="dxa"/>
          <w:right w:w="0" w:type="dxa"/>
        </w:tblCellMar>
      </w:tblPr>
      <w:tr>
        <w:trPr>
          <w:trHeight w:val="184"/>
        </w:trPr>
        <w:tc>
          <w:tcPr>
            <w:tcW w:w="4020" w:type="dxa"/>
            <w:vAlign w:val="bottom"/>
          </w:tcPr>
          <w:p>
            <w:pPr>
              <w:jc w:val="center"/>
              <w:ind w:right="1805"/>
              <w:spacing w:after="0"/>
              <w:rPr>
                <w:sz w:val="20"/>
                <w:szCs w:val="20"/>
                <w:color w:val="auto"/>
              </w:rPr>
            </w:pPr>
            <w:r>
              <w:rPr>
                <w:rFonts w:ascii="Arial" w:cs="Arial" w:eastAsia="Arial" w:hAnsi="Arial"/>
                <w:sz w:val="16"/>
                <w:szCs w:val="16"/>
                <w:b w:val="1"/>
                <w:bCs w:val="1"/>
                <w:color w:val="auto"/>
                <w:w w:val="91"/>
              </w:rPr>
              <w:t>75 Sidney Street,</w:t>
            </w:r>
          </w:p>
        </w:tc>
        <w:tc>
          <w:tcPr>
            <w:tcW w:w="2460" w:type="dxa"/>
            <w:vAlign w:val="bottom"/>
          </w:tcPr>
          <w:p>
            <w:pPr>
              <w:spacing w:after="0"/>
              <w:rPr>
                <w:sz w:val="16"/>
                <w:szCs w:val="16"/>
                <w:color w:val="auto"/>
              </w:rPr>
            </w:pPr>
          </w:p>
        </w:tc>
      </w:tr>
      <w:tr>
        <w:trPr>
          <w:trHeight w:val="176"/>
        </w:trPr>
        <w:tc>
          <w:tcPr>
            <w:tcW w:w="4020" w:type="dxa"/>
            <w:vAlign w:val="bottom"/>
          </w:tcPr>
          <w:p>
            <w:pPr>
              <w:jc w:val="center"/>
              <w:ind w:right="1805"/>
              <w:spacing w:after="0" w:line="176" w:lineRule="exact"/>
              <w:rPr>
                <w:sz w:val="20"/>
                <w:szCs w:val="20"/>
                <w:color w:val="auto"/>
              </w:rPr>
            </w:pPr>
            <w:r>
              <w:rPr>
                <w:rFonts w:ascii="Arial" w:cs="Arial" w:eastAsia="Arial" w:hAnsi="Arial"/>
                <w:sz w:val="16"/>
                <w:szCs w:val="16"/>
                <w:b w:val="1"/>
                <w:bCs w:val="1"/>
                <w:color w:val="auto"/>
                <w:w w:val="89"/>
              </w:rPr>
              <w:t>Cambridge, Massachusetts</w:t>
            </w:r>
          </w:p>
        </w:tc>
        <w:tc>
          <w:tcPr>
            <w:tcW w:w="2460" w:type="dxa"/>
            <w:vAlign w:val="bottom"/>
          </w:tcPr>
          <w:p>
            <w:pPr>
              <w:jc w:val="right"/>
              <w:ind w:right="8"/>
              <w:spacing w:after="0" w:line="176" w:lineRule="exact"/>
              <w:rPr>
                <w:sz w:val="20"/>
                <w:szCs w:val="20"/>
                <w:color w:val="auto"/>
              </w:rPr>
            </w:pPr>
            <w:r>
              <w:rPr>
                <w:rFonts w:ascii="Arial" w:cs="Arial" w:eastAsia="Arial" w:hAnsi="Arial"/>
                <w:sz w:val="16"/>
                <w:szCs w:val="16"/>
                <w:b w:val="1"/>
                <w:bCs w:val="1"/>
                <w:color w:val="auto"/>
              </w:rPr>
              <w:t>02139</w:t>
            </w:r>
          </w:p>
        </w:tc>
      </w:tr>
      <w:tr>
        <w:trPr>
          <w:trHeight w:val="164"/>
        </w:trPr>
        <w:tc>
          <w:tcPr>
            <w:tcW w:w="4020" w:type="dxa"/>
            <w:vAlign w:val="bottom"/>
          </w:tcPr>
          <w:p>
            <w:pPr>
              <w:jc w:val="center"/>
              <w:ind w:right="1805"/>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460" w:type="dxa"/>
            <w:vAlign w:val="bottom"/>
          </w:tcPr>
          <w:p>
            <w:pPr>
              <w:jc w:val="center"/>
              <w:ind w:left="1808"/>
              <w:spacing w:after="0"/>
              <w:rPr>
                <w:sz w:val="20"/>
                <w:szCs w:val="20"/>
                <w:color w:val="auto"/>
              </w:rPr>
            </w:pPr>
            <w:r>
              <w:rPr>
                <w:rFonts w:ascii="Arial" w:cs="Arial" w:eastAsia="Arial" w:hAnsi="Arial"/>
                <w:sz w:val="13"/>
                <w:szCs w:val="13"/>
                <w:b w:val="1"/>
                <w:bCs w:val="1"/>
                <w:color w:val="auto"/>
                <w:w w:val="90"/>
              </w:rPr>
              <w:t>(Zip Code)</w:t>
            </w:r>
          </w:p>
        </w:tc>
      </w:tr>
    </w:tbl>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(857) 259-5340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62230</wp:posOffset>
            </wp:positionV>
            <wp:extent cx="1560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46" w:lineRule="exact"/>
        <w:rPr>
          <w:sz w:val="24"/>
          <w:szCs w:val="24"/>
          <w:color w:val="auto"/>
        </w:rPr>
      </w:pPr>
    </w:p>
    <w:p>
      <w:pPr>
        <w:ind w:left="241" w:right="84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5" w:lineRule="exact"/>
        <w:rPr>
          <w:sz w:val="24"/>
          <w:szCs w:val="24"/>
          <w:color w:val="auto"/>
        </w:rPr>
      </w:pPr>
    </w:p>
    <w:p>
      <w:pPr>
        <w:ind w:left="1" w:firstLine="25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6" w:lineRule="exact"/>
        <w:rPr>
          <w:sz w:val="24"/>
          <w:szCs w:val="24"/>
          <w:color w:val="auto"/>
        </w:rPr>
      </w:pPr>
    </w:p>
    <w:p>
      <w:pPr>
        <w:ind w:left="1" w:right="340" w:firstLine="250"/>
        <w:spacing w:after="0" w:line="183"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1" w:right="160" w:firstLine="250"/>
        <w:spacing w:after="0" w:line="183"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6" w:lineRule="exact"/>
        <w:rPr>
          <w:sz w:val="24"/>
          <w:szCs w:val="24"/>
          <w:color w:val="auto"/>
        </w:rPr>
      </w:pPr>
    </w:p>
    <w:p>
      <w:pPr>
        <w:ind w:left="241"/>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1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w:t>
      </w:r>
    </w:p>
    <w:p>
      <w:pPr>
        <w:spacing w:after="0" w:line="15" w:lineRule="exact"/>
        <w:rPr>
          <w:sz w:val="24"/>
          <w:szCs w:val="24"/>
          <w:color w:val="auto"/>
        </w:rPr>
      </w:pPr>
    </w:p>
    <w:p>
      <w:pPr>
        <w:ind w:left="1"/>
        <w:spacing w:after="0" w:line="184" w:lineRule="exact"/>
        <w:tabs>
          <w:tab w:leader="none" w:pos="1740" w:val="left"/>
          <w:tab w:leader="none" w:pos="5620" w:val="left"/>
          <w:tab w:leader="none" w:pos="78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p>
    <w:p>
      <w:pPr>
        <w:spacing w:after="0" w:line="86" w:lineRule="exact"/>
        <w:rPr>
          <w:sz w:val="24"/>
          <w:szCs w:val="24"/>
          <w:color w:val="auto"/>
        </w:rPr>
      </w:pPr>
    </w:p>
    <w:p>
      <w:pPr>
        <w:ind w:left="1"/>
        <w:spacing w:after="0" w:line="184" w:lineRule="exact"/>
        <w:tabs>
          <w:tab w:leader="none" w:pos="1740" w:val="left"/>
          <w:tab w:leader="none" w:pos="2140" w:val="left"/>
          <w:tab w:leader="none" w:pos="5620" w:val="left"/>
          <w:tab w:leader="none" w:pos="786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54" w:lineRule="exact"/>
        <w:rPr>
          <w:sz w:val="24"/>
          <w:szCs w:val="24"/>
          <w:color w:val="auto"/>
        </w:rPr>
      </w:pPr>
    </w:p>
    <w:p>
      <w:pPr>
        <w:ind w:left="241"/>
        <w:spacing w:after="0" w:line="184" w:lineRule="exact"/>
        <w:tabs>
          <w:tab w:leader="none" w:pos="7080" w:val="left"/>
          <w:tab w:leader="none" w:pos="7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ind w:left="1" w:right="40" w:firstLine="250"/>
        <w:spacing w:after="0" w:line="230" w:lineRule="auto"/>
        <w:rPr>
          <w:sz w:val="20"/>
          <w:szCs w:val="20"/>
          <w:color w:val="auto"/>
        </w:rPr>
      </w:pPr>
      <w:r>
        <w:rPr>
          <w:rFonts w:ascii="Arial" w:cs="Arial" w:eastAsia="Arial" w:hAnsi="Arial"/>
          <w:sz w:val="16"/>
          <w:szCs w:val="16"/>
          <w:color w:val="auto"/>
        </w:rPr>
        <w:t>The aggregate market value of Common Stock held by non-affiliates of the registrant computed by reference to the price of the registrant’s Common Stock as of June 30, 2016, the last business day of the registrant’s most recently completed second fiscal quarter, was approximately $156.9 million (based on the last reported sale price on the Nasdaq Global Select Market as of such date).</w:t>
      </w:r>
    </w:p>
    <w:p>
      <w:pPr>
        <w:spacing w:after="0" w:line="38" w:lineRule="exact"/>
        <w:rPr>
          <w:sz w:val="24"/>
          <w:szCs w:val="24"/>
          <w:color w:val="auto"/>
        </w:rPr>
      </w:pPr>
    </w:p>
    <w:p>
      <w:pPr>
        <w:ind w:left="241"/>
        <w:spacing w:after="0"/>
        <w:rPr>
          <w:sz w:val="20"/>
          <w:szCs w:val="20"/>
          <w:color w:val="auto"/>
        </w:rPr>
      </w:pPr>
      <w:r>
        <w:rPr>
          <w:rFonts w:ascii="Arial" w:cs="Arial" w:eastAsia="Arial" w:hAnsi="Arial"/>
          <w:sz w:val="16"/>
          <w:szCs w:val="16"/>
          <w:color w:val="auto"/>
        </w:rPr>
        <w:t>As of March 10, 2017, there were 26,848,943 shares of the registrant’s common stock, par value $0.001 per share, outstanding.</w:t>
      </w:r>
    </w:p>
    <w:p>
      <w:pPr>
        <w:spacing w:after="0" w:line="42" w:lineRule="exact"/>
        <w:rPr>
          <w:sz w:val="24"/>
          <w:szCs w:val="24"/>
          <w:color w:val="auto"/>
        </w:rPr>
      </w:pPr>
    </w:p>
    <w:p>
      <w:pPr>
        <w:ind w:left="3161"/>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left="1" w:right="160" w:firstLine="250"/>
        <w:spacing w:after="0" w:line="177" w:lineRule="exact"/>
        <w:rPr>
          <w:sz w:val="20"/>
          <w:szCs w:val="20"/>
          <w:color w:val="auto"/>
        </w:rPr>
      </w:pPr>
      <w:r>
        <w:rPr>
          <w:rFonts w:ascii="Arial" w:cs="Arial" w:eastAsia="Arial" w:hAnsi="Arial"/>
          <w:sz w:val="16"/>
          <w:szCs w:val="16"/>
          <w:color w:val="auto"/>
        </w:rPr>
        <w:t>Portions of the registrant’s definitive Proxy Statement relating to its 2017 Annual Meeting of Stockholders are incorporated by reference into Part III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176530</wp:posOffset>
            </wp:positionV>
            <wp:extent cx="638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450850</wp:posOffset>
            </wp:positionV>
            <wp:extent cx="6388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40"/>
        </w:trPr>
        <w:tc>
          <w:tcPr>
            <w:tcW w:w="62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PART I.</w:t>
              </w:r>
            </w:hyperlink>
          </w:p>
        </w:tc>
        <w:tc>
          <w:tcPr>
            <w:tcW w:w="9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Item 1A.</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Item 1B.</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Item 3.</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Item 4.</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w:t>
              </w:r>
            </w:hyperlink>
          </w:p>
        </w:tc>
        <w:tc>
          <w:tcPr>
            <w:tcW w:w="6480" w:type="dxa"/>
            <w:vAlign w:val="bottom"/>
            <w:gridSpan w:val="21"/>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Market for Registrant’s Common Equity, Related Stockholder Matters and Issuer</w:t>
              </w:r>
            </w:hyperlink>
          </w:p>
        </w:tc>
        <w:tc>
          <w:tcPr>
            <w:tcW w:w="0" w:type="dxa"/>
            <w:vAlign w:val="bottom"/>
          </w:tcPr>
          <w:p>
            <w:pPr>
              <w:spacing w:after="0"/>
              <w:rPr>
                <w:sz w:val="1"/>
                <w:szCs w:val="1"/>
                <w:color w:val="auto"/>
              </w:rPr>
            </w:pPr>
          </w:p>
        </w:tc>
      </w:tr>
      <w:tr>
        <w:trPr>
          <w:trHeight w:val="169"/>
        </w:trPr>
        <w:tc>
          <w:tcPr>
            <w:tcW w:w="700" w:type="dxa"/>
            <w:vAlign w:val="bottom"/>
            <w:tcBorders>
              <w:top w:val="single" w:sz="8" w:color="0000EE"/>
            </w:tcBorders>
            <w:gridSpan w:val="3"/>
          </w:tcPr>
          <w:p>
            <w:pPr>
              <w:spacing w:after="0" w:line="170" w:lineRule="exact"/>
              <w:rPr>
                <w:rFonts w:ascii="Arial" w:cs="Arial" w:eastAsia="Arial" w:hAnsi="Arial"/>
                <w:sz w:val="18"/>
                <w:szCs w:val="18"/>
                <w:color w:val="0000EE"/>
              </w:rPr>
            </w:pPr>
            <w:hyperlink w:anchor="page89">
              <w:r>
                <w:rPr>
                  <w:rFonts w:ascii="Arial" w:cs="Arial" w:eastAsia="Arial" w:hAnsi="Arial"/>
                  <w:sz w:val="18"/>
                  <w:szCs w:val="18"/>
                  <w:color w:val="0000EE"/>
                </w:rPr>
                <w:t>Item 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8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tcBorders>
              <w:top w:val="single" w:sz="8" w:color="0000EE"/>
            </w:tcBorders>
            <w:gridSpan w:val="18"/>
          </w:tcPr>
          <w:p>
            <w:pPr>
              <w:spacing w:after="0" w:line="170" w:lineRule="exact"/>
              <w:rPr>
                <w:rFonts w:ascii="Arial" w:cs="Arial" w:eastAsia="Arial" w:hAnsi="Arial"/>
                <w:sz w:val="18"/>
                <w:szCs w:val="18"/>
                <w:color w:val="0000EE"/>
              </w:rPr>
            </w:pPr>
            <w:hyperlink w:anchor="page89">
              <w:r>
                <w:rPr>
                  <w:rFonts w:ascii="Arial" w:cs="Arial" w:eastAsia="Arial" w:hAnsi="Arial"/>
                  <w:sz w:val="18"/>
                  <w:szCs w:val="18"/>
                  <w:color w:val="0000EE"/>
                </w:rPr>
                <w:t>Purchases of Equity Securities</w:t>
              </w:r>
            </w:hyperlink>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Item 6.</w:t>
              </w:r>
            </w:hyperlink>
          </w:p>
        </w:tc>
        <w:tc>
          <w:tcPr>
            <w:tcW w:w="1000" w:type="dxa"/>
            <w:vAlign w:val="bottom"/>
            <w:gridSpan w:val="6"/>
          </w:tcPr>
          <w:p>
            <w:pPr>
              <w:spacing w:after="0"/>
              <w:rPr>
                <w:sz w:val="17"/>
                <w:szCs w:val="17"/>
                <w:color w:val="auto"/>
              </w:rPr>
            </w:pPr>
          </w:p>
        </w:tc>
        <w:tc>
          <w:tcPr>
            <w:tcW w:w="2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Selected Financial Data</w:t>
              </w:r>
            </w:hyperlink>
          </w:p>
        </w:tc>
        <w:tc>
          <w:tcPr>
            <w:tcW w:w="4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Item 7.</w:t>
              </w:r>
            </w:hyperlink>
          </w:p>
        </w:tc>
        <w:tc>
          <w:tcPr>
            <w:tcW w:w="1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80" w:type="dxa"/>
            <w:vAlign w:val="bottom"/>
            <w:gridSpan w:val="21"/>
          </w:tcPr>
          <w:p>
            <w:pPr>
              <w:spacing w:after="0" w:line="170"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3"/>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spacing w:after="0" w:line="183"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Item 7A.</w:t>
              </w:r>
            </w:hyperlink>
          </w:p>
        </w:tc>
        <w:tc>
          <w:tcPr>
            <w:tcW w:w="900" w:type="dxa"/>
            <w:vAlign w:val="bottom"/>
            <w:gridSpan w:val="5"/>
          </w:tcPr>
          <w:p>
            <w:pPr>
              <w:spacing w:after="0"/>
              <w:rPr>
                <w:sz w:val="15"/>
                <w:szCs w:val="15"/>
                <w:color w:val="auto"/>
              </w:rPr>
            </w:pPr>
          </w:p>
        </w:tc>
        <w:tc>
          <w:tcPr>
            <w:tcW w:w="6480" w:type="dxa"/>
            <w:vAlign w:val="bottom"/>
            <w:gridSpan w:val="21"/>
          </w:tcPr>
          <w:p>
            <w:pPr>
              <w:spacing w:after="0" w:line="183" w:lineRule="exact"/>
              <w:rPr>
                <w:rFonts w:ascii="Arial" w:cs="Arial" w:eastAsia="Arial" w:hAnsi="Arial"/>
                <w:sz w:val="18"/>
                <w:szCs w:val="18"/>
                <w:color w:val="0000EE"/>
              </w:rPr>
            </w:pPr>
            <w:hyperlink w:anchor="page108">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Item 8.</w:t>
              </w:r>
            </w:hyperlink>
          </w:p>
        </w:tc>
        <w:tc>
          <w:tcPr>
            <w:tcW w:w="100" w:type="dxa"/>
            <w:vAlign w:val="bottom"/>
          </w:tcPr>
          <w:p>
            <w:pPr>
              <w:spacing w:after="0"/>
              <w:rPr>
                <w:sz w:val="17"/>
                <w:szCs w:val="17"/>
                <w:color w:val="auto"/>
              </w:rPr>
            </w:pPr>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Item 9.</w:t>
              </w:r>
            </w:hyperlink>
          </w:p>
        </w:tc>
        <w:tc>
          <w:tcPr>
            <w:tcW w:w="1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80" w:type="dxa"/>
            <w:vAlign w:val="bottom"/>
            <w:gridSpan w:val="21"/>
          </w:tcPr>
          <w:p>
            <w:pPr>
              <w:spacing w:after="0" w:line="170"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3"/>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940" w:type="dxa"/>
            <w:vAlign w:val="bottom"/>
            <w:tcBorders>
              <w:bottom w:val="single" w:sz="8" w:color="0000EE"/>
            </w:tcBorders>
            <w:gridSpan w:val="2"/>
          </w:tcPr>
          <w:p>
            <w:pPr>
              <w:spacing w:after="0" w:line="20" w:lineRule="exact"/>
              <w:rPr>
                <w:sz w:val="1"/>
                <w:szCs w:val="1"/>
                <w:color w:val="auto"/>
              </w:rPr>
            </w:pPr>
          </w:p>
        </w:tc>
        <w:tc>
          <w:tcPr>
            <w:tcW w:w="1320" w:type="dxa"/>
            <w:vAlign w:val="bottom"/>
            <w:tcBorders>
              <w:bottom w:val="single" w:sz="8" w:color="0000EE"/>
            </w:tcBorders>
            <w:gridSpan w:val="2"/>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spacing w:after="0" w:line="183"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Item 9A.</w:t>
              </w:r>
            </w:hyperlink>
          </w:p>
        </w:tc>
        <w:tc>
          <w:tcPr>
            <w:tcW w:w="900" w:type="dxa"/>
            <w:vAlign w:val="bottom"/>
            <w:gridSpan w:val="5"/>
          </w:tcPr>
          <w:p>
            <w:pPr>
              <w:spacing w:after="0"/>
              <w:rPr>
                <w:sz w:val="15"/>
                <w:szCs w:val="15"/>
                <w:color w:val="auto"/>
              </w:rPr>
            </w:pPr>
          </w:p>
        </w:tc>
        <w:tc>
          <w:tcPr>
            <w:tcW w:w="6480" w:type="dxa"/>
            <w:vAlign w:val="bottom"/>
            <w:gridSpan w:val="21"/>
          </w:tcPr>
          <w:p>
            <w:pPr>
              <w:spacing w:after="0" w:line="183" w:lineRule="exact"/>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Item 9B.</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10.</w:t>
              </w:r>
            </w:hyperlink>
          </w:p>
        </w:tc>
        <w:tc>
          <w:tcPr>
            <w:tcW w:w="140" w:type="dxa"/>
            <w:vAlign w:val="bottom"/>
            <w:tcBorders>
              <w:top w:val="single" w:sz="8" w:color="0000EE"/>
            </w:tcBorders>
            <w:gridSpan w:val="3"/>
          </w:tcPr>
          <w:p>
            <w:pPr>
              <w:spacing w:after="0"/>
              <w:rPr>
                <w:sz w:val="17"/>
                <w:szCs w:val="17"/>
                <w:color w:val="auto"/>
              </w:rPr>
            </w:pPr>
          </w:p>
        </w:tc>
        <w:tc>
          <w:tcPr>
            <w:tcW w:w="760" w:type="dxa"/>
            <w:vAlign w:val="bottom"/>
            <w:gridSpan w:val="2"/>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11.</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0" w:type="dxa"/>
            <w:vAlign w:val="bottom"/>
          </w:tcPr>
          <w:p>
            <w:pPr>
              <w:spacing w:after="0"/>
              <w:rPr>
                <w:sz w:val="1"/>
                <w:szCs w:val="1"/>
                <w:color w:val="auto"/>
              </w:rPr>
            </w:pPr>
          </w:p>
        </w:tc>
      </w:tr>
      <w:tr>
        <w:trPr>
          <w:trHeight w:val="169"/>
        </w:trPr>
        <w:tc>
          <w:tcPr>
            <w:tcW w:w="620" w:type="dxa"/>
            <w:vAlign w:val="bottom"/>
            <w:tcBorders>
              <w:top w:val="single" w:sz="8" w:color="0000EE"/>
            </w:tcBorders>
            <w:gridSpan w:val="2"/>
          </w:tcPr>
          <w:p>
            <w:pPr>
              <w:spacing w:after="0" w:line="170"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12.</w:t>
              </w:r>
            </w:hyperlink>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w:anchor="page110">
              <w:r>
                <w:rPr>
                  <w:rFonts w:ascii="Arial" w:cs="Arial" w:eastAsia="Arial" w:hAnsi="Arial"/>
                  <w:sz w:val="18"/>
                  <w:szCs w:val="18"/>
                  <w:color w:val="0000EE"/>
                </w:rPr>
                <w:t>Security Ownership of</w:t>
              </w:r>
            </w:hyperlink>
          </w:p>
        </w:tc>
        <w:tc>
          <w:tcPr>
            <w:tcW w:w="4660" w:type="dxa"/>
            <w:vAlign w:val="bottom"/>
            <w:gridSpan w:val="12"/>
          </w:tcPr>
          <w:p>
            <w:pPr>
              <w:spacing w:after="0" w:line="170" w:lineRule="exact"/>
              <w:rPr>
                <w:rFonts w:ascii="Arial" w:cs="Arial" w:eastAsia="Arial" w:hAnsi="Arial"/>
                <w:sz w:val="18"/>
                <w:szCs w:val="18"/>
                <w:color w:val="0000EE"/>
              </w:rPr>
            </w:pPr>
            <w:hyperlink w:anchor="page110">
              <w:r>
                <w:rPr>
                  <w:rFonts w:ascii="Arial" w:cs="Arial" w:eastAsia="Arial" w:hAnsi="Arial"/>
                  <w:sz w:val="18"/>
                  <w:szCs w:val="18"/>
                  <w:color w:val="0000EE"/>
                </w:rPr>
                <w:t>Certain Beneficial Owners and Management and Related</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46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Stockholder Matters</w:t>
              </w:r>
            </w:hyperlink>
          </w:p>
        </w:tc>
        <w:tc>
          <w:tcPr>
            <w:tcW w:w="4320" w:type="dxa"/>
            <w:vAlign w:val="bottom"/>
            <w:tcBorders>
              <w:top w:val="single" w:sz="8" w:color="0000EE"/>
            </w:tcBorders>
            <w:gridSpan w:val="12"/>
          </w:tcPr>
          <w:p>
            <w:pPr>
              <w:spacing w:after="0"/>
              <w:rPr>
                <w:sz w:val="14"/>
                <w:szCs w:val="14"/>
                <w:color w:val="auto"/>
              </w:rPr>
            </w:pPr>
          </w:p>
        </w:tc>
        <w:tc>
          <w:tcPr>
            <w:tcW w:w="6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13.</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14.</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Accountant Fees and Services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11">
              <w:r>
                <w:rPr>
                  <w:rFonts w:ascii="Arial" w:cs="Arial" w:eastAsia="Arial" w:hAnsi="Arial"/>
                  <w:sz w:val="18"/>
                  <w:szCs w:val="18"/>
                  <w:b w:val="1"/>
                  <w:bCs w:val="1"/>
                  <w:color w:val="0000EE"/>
                  <w:w w:val="94"/>
                </w:rPr>
                <w:t>PART IV.</w:t>
              </w:r>
            </w:hyperlink>
          </w:p>
        </w:tc>
        <w:tc>
          <w:tcPr>
            <w:tcW w:w="7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Item 15.</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Item 16.</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gridSpan w:val="13"/>
          </w:tcPr>
          <w:p>
            <w:pPr>
              <w:ind w:left="29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8890</wp:posOffset>
            </wp:positionV>
            <wp:extent cx="4718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w:t>
      </w:r>
    </w:p>
    <w:p>
      <w:pPr>
        <w:spacing w:after="0" w:line="200" w:lineRule="exact"/>
        <w:rPr>
          <w:sz w:val="20"/>
          <w:szCs w:val="20"/>
          <w:color w:val="auto"/>
        </w:rPr>
      </w:pPr>
    </w:p>
    <w:p>
      <w:pPr>
        <w:spacing w:after="0" w:line="3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110</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110</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110</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110</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110</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110</w:t>
      </w:r>
    </w:p>
    <w:p>
      <w:pPr>
        <w:spacing w:after="0" w:line="3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111</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111</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F-33</w:t>
      </w:r>
    </w:p>
    <w:p>
      <w:pPr>
        <w:sectPr>
          <w:pgSz w:w="11900" w:h="16838" w:orient="portrait"/>
          <w:cols w:equalWidth="0" w:num="2">
            <w:col w:w="8000" w:space="500"/>
            <w:col w:w="5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22" w:lineRule="exact"/>
        <w:rPr>
          <w:sz w:val="20"/>
          <w:szCs w:val="20"/>
          <w:color w:val="auto"/>
        </w:rPr>
      </w:pPr>
    </w:p>
    <w:p>
      <w:pPr>
        <w:ind w:left="400" w:right="140" w:hanging="73"/>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advance VY-AADC01 through the current Phase 1b clinical trial as a treatment for advanced Parkinson’s disease and advance VY-AADC02 into later-stage clinical trials;</w:t>
      </w:r>
    </w:p>
    <w:p>
      <w:pPr>
        <w:spacing w:after="0" w:line="129" w:lineRule="exact"/>
        <w:rPr>
          <w:rFonts w:ascii="Arial" w:cs="Arial" w:eastAsia="Arial" w:hAnsi="Arial"/>
          <w:sz w:val="18"/>
          <w:szCs w:val="18"/>
          <w:color w:val="auto"/>
        </w:rPr>
      </w:pPr>
    </w:p>
    <w:p>
      <w:pPr>
        <w:ind w:left="400" w:right="380" w:hanging="73"/>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our other programs through preclinical development and into clinical trials, and successfully complete such clinical trials;</w:t>
      </w:r>
    </w:p>
    <w:p>
      <w:pPr>
        <w:spacing w:after="0" w:line="129" w:lineRule="exact"/>
        <w:rPr>
          <w:rFonts w:ascii="Arial" w:cs="Arial" w:eastAsia="Arial" w:hAnsi="Arial"/>
          <w:sz w:val="18"/>
          <w:szCs w:val="18"/>
          <w:color w:val="auto"/>
        </w:rPr>
      </w:pPr>
    </w:p>
    <w:p>
      <w:pPr>
        <w:ind w:left="400" w:hanging="73"/>
        <w:spacing w:after="0" w:line="235"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file an Investigational New Drug application, or IND, for our VY-SOD101 program for a monogenic form of amyotrophic lateral sclerosis in late 2017, and file INDs for two other of our preclinical programs in the next 24 months;</w:t>
      </w:r>
    </w:p>
    <w:p>
      <w:pPr>
        <w:spacing w:after="0" w:line="134" w:lineRule="exact"/>
        <w:rPr>
          <w:rFonts w:ascii="Arial" w:cs="Arial" w:eastAsia="Arial" w:hAnsi="Arial"/>
          <w:sz w:val="18"/>
          <w:szCs w:val="18"/>
          <w:color w:val="auto"/>
        </w:rPr>
      </w:pPr>
    </w:p>
    <w:p>
      <w:pPr>
        <w:ind w:left="420" w:hanging="9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157" w:lineRule="exact"/>
        <w:rPr>
          <w:rFonts w:ascii="Arial" w:cs="Arial" w:eastAsia="Arial" w:hAnsi="Arial"/>
          <w:sz w:val="18"/>
          <w:szCs w:val="18"/>
          <w:color w:val="auto"/>
        </w:rPr>
      </w:pPr>
    </w:p>
    <w:p>
      <w:pPr>
        <w:ind w:left="460" w:hanging="13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develop our product engine;</w:t>
      </w:r>
    </w:p>
    <w:p>
      <w:pPr>
        <w:spacing w:after="0" w:line="157" w:lineRule="exact"/>
        <w:rPr>
          <w:rFonts w:ascii="Arial" w:cs="Arial" w:eastAsia="Arial" w:hAnsi="Arial"/>
          <w:sz w:val="18"/>
          <w:szCs w:val="18"/>
          <w:color w:val="auto"/>
        </w:rPr>
      </w:pPr>
    </w:p>
    <w:p>
      <w:pPr>
        <w:ind w:left="400" w:right="100" w:hanging="73"/>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manufacturing capability compliant with current good manufacturing practices for our product candidates;</w:t>
      </w:r>
    </w:p>
    <w:p>
      <w:pPr>
        <w:spacing w:after="0" w:line="129" w:lineRule="exact"/>
        <w:rPr>
          <w:rFonts w:ascii="Arial" w:cs="Arial" w:eastAsia="Arial" w:hAnsi="Arial"/>
          <w:sz w:val="18"/>
          <w:szCs w:val="18"/>
          <w:color w:val="auto"/>
        </w:rPr>
      </w:pPr>
    </w:p>
    <w:p>
      <w:pPr>
        <w:ind w:left="400" w:hanging="7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or develop devices to deliver our AAV gene therapies to discrete regions of the CNS;</w:t>
      </w:r>
    </w:p>
    <w:p>
      <w:pPr>
        <w:spacing w:after="0" w:line="157" w:lineRule="exact"/>
        <w:rPr>
          <w:rFonts w:ascii="Arial" w:cs="Arial" w:eastAsia="Arial" w:hAnsi="Arial"/>
          <w:sz w:val="18"/>
          <w:szCs w:val="18"/>
          <w:color w:val="auto"/>
        </w:rPr>
      </w:pPr>
    </w:p>
    <w:p>
      <w:pPr>
        <w:ind w:left="400" w:hanging="73"/>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developments in the United States and the European Union and other important geographies such as Japan;</w:t>
      </w:r>
    </w:p>
    <w:p>
      <w:pPr>
        <w:spacing w:after="0" w:line="180" w:lineRule="exact"/>
        <w:rPr>
          <w:rFonts w:ascii="Arial" w:cs="Arial" w:eastAsia="Arial" w:hAnsi="Arial"/>
          <w:sz w:val="16"/>
          <w:szCs w:val="16"/>
          <w:color w:val="auto"/>
        </w:rPr>
      </w:pPr>
    </w:p>
    <w:p>
      <w:pPr>
        <w:ind w:left="420" w:hanging="9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57" w:lineRule="exact"/>
        <w:rPr>
          <w:rFonts w:ascii="Arial" w:cs="Arial" w:eastAsia="Arial" w:hAnsi="Arial"/>
          <w:sz w:val="18"/>
          <w:szCs w:val="18"/>
          <w:color w:val="auto"/>
        </w:rPr>
      </w:pPr>
    </w:p>
    <w:p>
      <w:pPr>
        <w:ind w:left="400" w:hanging="7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57" w:lineRule="exact"/>
        <w:rPr>
          <w:rFonts w:ascii="Arial" w:cs="Arial" w:eastAsia="Arial" w:hAnsi="Arial"/>
          <w:sz w:val="18"/>
          <w:szCs w:val="18"/>
          <w:color w:val="auto"/>
        </w:rPr>
      </w:pPr>
    </w:p>
    <w:p>
      <w:pPr>
        <w:ind w:left="400" w:hanging="7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57" w:lineRule="exact"/>
        <w:rPr>
          <w:rFonts w:ascii="Arial" w:cs="Arial" w:eastAsia="Arial" w:hAnsi="Arial"/>
          <w:sz w:val="18"/>
          <w:szCs w:val="18"/>
          <w:color w:val="auto"/>
        </w:rPr>
      </w:pPr>
    </w:p>
    <w:p>
      <w:pPr>
        <w:ind w:left="460" w:hanging="13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 and</w:t>
      </w:r>
    </w:p>
    <w:p>
      <w:pPr>
        <w:spacing w:after="0" w:line="157" w:lineRule="exact"/>
        <w:rPr>
          <w:rFonts w:ascii="Arial" w:cs="Arial" w:eastAsia="Arial" w:hAnsi="Arial"/>
          <w:sz w:val="18"/>
          <w:szCs w:val="18"/>
          <w:color w:val="auto"/>
        </w:rPr>
      </w:pPr>
    </w:p>
    <w:p>
      <w:pPr>
        <w:ind w:left="400" w:hanging="73"/>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98"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and operating results. We have included important factors in the cautionary statements included in this Annual Report on Form 10-K, particularly in Part I,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3"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47"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diseases of the central nervous system, or CNS. We focus on CNS diseases where we believe an adeno-associated virus, or AAV, gene therapy approach that either increases or decreases the production of a specific protein can slow or reduce the symptoms experienced by patients, and therefore have a clinically meaningful impact on their disease. We have built a product engine that we believe positions us to be the leading company at the intersection of AAV gene therapy and severe CNS disease. Our product engine enables us to engineer, optimize, manufacture and deliver our AAV-based gene therapies that have the potential to provide durable activity following a single administration directly to the CNS. Our team of experts in the fields of AAV gene therapy and neuroscience first identifies and selects severe CNS diseases that are well-suited for treatment using AAV gene therapy. We then engineer and optimize AAV vectors for delivery to the targeted tissue or cells. Our manufacturing process employs an established system to enable future production of high quality AAV vectors at commercial-scale. Finally, we leverage established routes of administration and advances in dosing techniques to optimize delivery of our AAV gene therapies directly to discrete regions of the brain or more broadly to the spinal cord region.</w:t>
      </w:r>
    </w:p>
    <w:p>
      <w:pPr>
        <w:spacing w:after="0" w:line="3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AAV gene therapy is a particularly attractive treatment approach for CNS diseases that are caused by well-defined genetic mutations. Due to the limited treatment options available for many CNS diseases, there remains a significant unmet medical need and an opportunity for AAV gene therapy to potentially transform the lives of many patients with severe CNS diseases. Based upon clinical data generated to date, we believe that durable gene expression may be achievable following a single administration of AAV gene therapy. Recent advances in delivery techniques allow for targeted delivery of AAV vectors, which are modified, non-replicating versions of AAV, to discrete regions of the CNS.</w:t>
      </w:r>
    </w:p>
    <w:p>
      <w:pPr>
        <w:spacing w:after="0" w:line="39"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The company’s pipeline consists of six programs for CNS indications, including advanced Parkinson's disease; a monogenic form of amyotrophic lateral sclerosis, or ALS; Huntington's disease; Friedreich's ataxia; frontotemporal dementia</w:t>
      </w:r>
    </w:p>
    <w:p>
      <w:pPr>
        <w:spacing w:after="0" w:line="1" w:lineRule="exact"/>
        <w:rPr>
          <w:sz w:val="20"/>
          <w:szCs w:val="20"/>
          <w:color w:val="auto"/>
        </w:rPr>
      </w:pPr>
    </w:p>
    <w:p>
      <w:pPr>
        <w:ind w:firstLine="3"/>
        <w:spacing w:after="0" w:line="233" w:lineRule="auto"/>
        <w:tabs>
          <w:tab w:leader="none" w:pos="95" w:val="left"/>
        </w:tabs>
        <w:numPr>
          <w:ilvl w:val="0"/>
          <w:numId w:val="4"/>
        </w:numPr>
        <w:rPr>
          <w:rFonts w:ascii="Arial" w:cs="Arial" w:eastAsia="Arial" w:hAnsi="Arial"/>
          <w:sz w:val="16"/>
          <w:szCs w:val="16"/>
          <w:color w:val="auto"/>
        </w:rPr>
      </w:pPr>
      <w:r>
        <w:rPr>
          <w:rFonts w:ascii="Arial" w:cs="Arial" w:eastAsia="Arial" w:hAnsi="Arial"/>
          <w:sz w:val="16"/>
          <w:szCs w:val="16"/>
          <w:color w:val="auto"/>
        </w:rPr>
        <w:t>Alzheimer’s disease; and severe, chronic pain. Our product candidates may be eligible for orphan drug designation, breakthrough therapy designation, or other expedited review processes in the US, Europe, or Japan. Our most advanced clinical candidate, VY-AADC01 for the treatment of advanced Parkinson's disease, is being evaluated in an open-label, Phase 1b clinical trial. Preliminary data from Cohorts 1 and 2 from this trial were reported in December 2016, and we plan to report data from Cohort 3 during mid-2017 with plans to begin a larger, double-blind, placebo-controlled trial in the fourth quarter of 2017. In early 2017, we announced lead candidate selection for VY-SOD101 for the treatment of a monogenic form of ALS and expect to submit an Investigational New Drug Application, or IND, for this candidate in late 2017. Our other preclinical programs target severe CNS indications where loss or abnormal expression of a specific gene has been identified as the cause of the disease. Over the next 24 months, we plan to file INDs for two of our other preclinical programs, namely VY-HTT01 for Huntington’s disease and VY-FNX01 for Friedreich’s ataxia. In November 2016, we elected to deprioritize the development of VY-SMN101 for spinal muscular atrophy due to, among other things, the significant progress we have made in our other preclinical programs and the evolving competitive landscape.</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of AAV gene therapy programs is summarized in the table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74930</wp:posOffset>
            </wp:positionV>
            <wp:extent cx="5325745" cy="3456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2574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2015, we entered into a strategic collaboration with Sanofi-Genzyme to leverage our combined</w:t>
      </w:r>
    </w:p>
    <w:p>
      <w:pPr>
        <w:spacing w:after="0" w:line="229" w:lineRule="auto"/>
        <w:rPr>
          <w:sz w:val="20"/>
          <w:szCs w:val="20"/>
          <w:color w:val="auto"/>
        </w:rPr>
      </w:pPr>
      <w:r>
        <w:rPr>
          <w:rFonts w:ascii="Arial" w:cs="Arial" w:eastAsia="Arial" w:hAnsi="Arial"/>
          <w:sz w:val="16"/>
          <w:szCs w:val="16"/>
          <w:color w:val="auto"/>
        </w:rPr>
        <w:t>expertise and assets to develop AAV gene therapies for certain severe CNS diseases. Under the agreement, we received</w:t>
      </w:r>
    </w:p>
    <w:p>
      <w:pPr>
        <w:spacing w:after="0" w:line="229" w:lineRule="auto"/>
        <w:rPr>
          <w:sz w:val="20"/>
          <w:szCs w:val="20"/>
          <w:color w:val="auto"/>
        </w:rPr>
      </w:pPr>
      <w:r>
        <w:rPr>
          <w:rFonts w:ascii="Arial" w:cs="Arial" w:eastAsia="Arial" w:hAnsi="Arial"/>
          <w:sz w:val="16"/>
          <w:szCs w:val="16"/>
          <w:color w:val="auto"/>
        </w:rPr>
        <w:t>$65.0 million in upfront cash, a $30.0 million upfront equity investment, and an in-kind commitment of $5.0 million, totaling</w:t>
      </w:r>
    </w:p>
    <w:p>
      <w:pPr>
        <w:spacing w:after="0" w:line="203" w:lineRule="auto"/>
        <w:rPr>
          <w:sz w:val="20"/>
          <w:szCs w:val="20"/>
          <w:color w:val="auto"/>
        </w:rPr>
      </w:pPr>
      <w:r>
        <w:rPr>
          <w:rFonts w:ascii="Arial" w:cs="Arial" w:eastAsia="Arial" w:hAnsi="Arial"/>
          <w:sz w:val="18"/>
          <w:szCs w:val="18"/>
          <w:color w:val="auto"/>
        </w:rPr>
        <w:t>$100.0 million. Additionally, we are eligible to receive up to $745.0 million in option and milestone payments while</w:t>
      </w:r>
    </w:p>
    <w:p>
      <w:pPr>
        <w:spacing w:after="0" w:line="229" w:lineRule="auto"/>
        <w:rPr>
          <w:sz w:val="20"/>
          <w:szCs w:val="20"/>
          <w:color w:val="auto"/>
        </w:rPr>
      </w:pPr>
      <w:r>
        <w:rPr>
          <w:rFonts w:ascii="Arial" w:cs="Arial" w:eastAsia="Arial" w:hAnsi="Arial"/>
          <w:sz w:val="16"/>
          <w:szCs w:val="16"/>
          <w:color w:val="auto"/>
        </w:rPr>
        <w:t>retaining U.S. commercial rights to most programs. Under the terms of the collaboration, Sanofi-Genzyme has the ability to</w:t>
      </w:r>
    </w:p>
    <w:p>
      <w:pPr>
        <w:spacing w:after="0" w:line="216" w:lineRule="auto"/>
        <w:rPr>
          <w:sz w:val="20"/>
          <w:szCs w:val="20"/>
          <w:color w:val="auto"/>
        </w:rPr>
      </w:pPr>
      <w:r>
        <w:rPr>
          <w:rFonts w:ascii="Arial" w:cs="Arial" w:eastAsia="Arial" w:hAnsi="Arial"/>
          <w:sz w:val="17"/>
          <w:szCs w:val="17"/>
          <w:color w:val="auto"/>
        </w:rPr>
        <w:t>opt-in for ex-U.S. rights to VY-AADC01, VY-FXN01, and the ability to opt-in to ex-U.S. rights and co-promotion rights in</w:t>
      </w:r>
    </w:p>
    <w:p>
      <w:pPr>
        <w:spacing w:after="0"/>
        <w:rPr>
          <w:sz w:val="20"/>
          <w:szCs w:val="20"/>
          <w:color w:val="auto"/>
        </w:rPr>
      </w:pPr>
      <w:r>
        <w:rPr>
          <w:rFonts w:ascii="Arial" w:cs="Arial" w:eastAsia="Arial" w:hAnsi="Arial"/>
          <w:sz w:val="18"/>
          <w:szCs w:val="18"/>
          <w:color w:val="auto"/>
        </w:rPr>
        <w:t>the U.S. for VY-HTT01. Voyager retains worldwide rights to VY-SOD101, VY-TAU01, and VY-NAV01 programs.</w:t>
      </w:r>
    </w:p>
    <w:p>
      <w:pPr>
        <w:spacing w:after="0" w:line="169"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most advanced clinical candidate, VY-AADC01, is being evaluated for the treatment of advanced Parkinson's disease. In advanced Parkinson’s disease, the putamen, a region of the brain, is depleted of dopamine and of the aromatic L-amino acid decarboxylase, or AADC, enzyme that is responsible for converting levodopa to dopamine. Levodopa, also commonly known as L-Dopa, remains the standard of care treatment for Parkinson’s disease. VY-AADC01 is our gene therapy vector that contains the gene that encodes the AADC enzyme. The ongoing Phase 1b, open-label trial includes 15 patients with advanced Parkinson’s disease and disabling motor fluctuations, treated with a single administration of VY-AADC01. The primary objective of the trial is to assess the safety and surgical coverage of ascending doses of VY-AADC01 in the putamen, a region of the brain associated with impaired motor function in Parkinson’s disease. The secondary objectives of the trial include the assessment of AADC expression and activity in the putamen measured by F-Dopa positron emission tomography. In addition, changes in motor responses to levodopa are measured by a controlled intravenous infusion of levodopa and by measuring daily requirements for levodopa and related medications. Other secondary objectives include assessment of motor function as measured by the Unified Parkinson’s Disease Rating Scale, or UPDRS, and a patient-completed (Hauser) diary.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and Strategy</w:t>
      </w:r>
    </w:p>
    <w:p>
      <w:pPr>
        <w:spacing w:after="0" w:line="67"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Our mission is to become the world leader in AAV gene therapy for treating severe CNS diseases by developing transformative therapies. Our strategy to achieve this mission is to:</w:t>
      </w:r>
    </w:p>
    <w:p>
      <w:pPr>
        <w:spacing w:after="0" w:line="27" w:lineRule="exact"/>
        <w:rPr>
          <w:sz w:val="20"/>
          <w:szCs w:val="20"/>
          <w:color w:val="auto"/>
        </w:rPr>
      </w:pPr>
    </w:p>
    <w:p>
      <w:pPr>
        <w:ind w:left="740" w:right="20" w:hanging="89"/>
        <w:spacing w:after="0" w:line="239"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Continually invest in our AAV product engine. </w:t>
      </w:r>
      <w:r>
        <w:rPr>
          <w:rFonts w:ascii="Arial" w:cs="Arial" w:eastAsia="Arial" w:hAnsi="Arial"/>
          <w:sz w:val="17"/>
          <w:szCs w:val="17"/>
          <w:color w:val="auto"/>
        </w:rPr>
        <w:t>We plan to continually invest in our product engine to maintain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leadership in AAV gene therapy for CNS diseases. Specifically, we intend to further develop and enhance our product engine by focusing on (i) vector engineering and optimization; (ii) manufacturing; and (iii) dosing and delivery techniques. We plan to continue generating novel AAV vectors by engineering and optimizing vectors best suited to a targeted disease. We are building an onsite, state-of-the-art process research and development facility to enable the manufacturing of high quality AAV gene therapies. We expect to utilize established and novel techniques for dosing and delivery of our AAV gene therapies to the CNS.</w:t>
      </w:r>
    </w:p>
    <w:p>
      <w:pPr>
        <w:spacing w:after="0" w:line="176" w:lineRule="exact"/>
        <w:rPr>
          <w:rFonts w:ascii="Arial" w:cs="Arial" w:eastAsia="Arial" w:hAnsi="Arial"/>
          <w:sz w:val="17"/>
          <w:szCs w:val="17"/>
          <w:color w:val="auto"/>
        </w:rPr>
      </w:pPr>
    </w:p>
    <w:p>
      <w:pPr>
        <w:ind w:left="740" w:right="20" w:hanging="89"/>
        <w:spacing w:after="0" w:line="252"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a leadership position in commercial-scale, high quality AAV manufacturing. </w:t>
      </w:r>
      <w:r>
        <w:rPr>
          <w:rFonts w:ascii="Arial" w:cs="Arial" w:eastAsia="Arial" w:hAnsi="Arial"/>
          <w:sz w:val="16"/>
          <w:szCs w:val="16"/>
          <w:color w:val="auto"/>
        </w:rPr>
        <w:t>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capacity and expertise are critical to successfully treating patients using gene therapy. Through one of our collaborations, with MassBiologics, a U.S. Food and Drug Administration, or FDA, licensed manufacturer affiliated with the University of Massachusetts Medical School, we are establishing a commercial-scale current good manufacturing practice, or cGMP, compliant manufacturing capability. We initiated cGMP production activities at MassBiologics in late 2016. We have also established contract manufacturing relationships with third party service providers that specialize in gene therapy and AAV vectors. We are using the baculovirus AAV production system, a technology for producing AAV vectors at scale in insect-derived cells, originally invented and developed by several members of our production team while at the National Institutes of Health, or NIH, which we continue to improve upon. We believe that having oversight through these key relationships over our own commercial manufacturing process is critical to ensuring quality product with commercial yields.</w:t>
      </w:r>
    </w:p>
    <w:p>
      <w:pPr>
        <w:spacing w:after="0" w:line="170" w:lineRule="exact"/>
        <w:rPr>
          <w:rFonts w:ascii="Arial" w:cs="Arial" w:eastAsia="Arial" w:hAnsi="Arial"/>
          <w:sz w:val="16"/>
          <w:szCs w:val="16"/>
          <w:color w:val="auto"/>
        </w:rPr>
      </w:pPr>
    </w:p>
    <w:p>
      <w:pPr>
        <w:ind w:left="740" w:right="140" w:hanging="89"/>
        <w:spacing w:after="0" w:line="249"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advance VY-AADC01 for the treatment of advanced Parkinson's disease. </w:t>
      </w:r>
      <w:r>
        <w:rPr>
          <w:rFonts w:ascii="Arial" w:cs="Arial" w:eastAsia="Arial" w:hAnsi="Arial"/>
          <w:sz w:val="16"/>
          <w:szCs w:val="16"/>
          <w:color w:val="auto"/>
        </w:rPr>
        <w:t>We continue to evaluate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dosing and delivery of VY-AADC01 to determine the optimal and safe dose to achieve meaningful clinical benefit for the tens of thousands of patients with advanced Parkinson’s disease. Fifteen patients have been treated in the ongoing Phase 1b clinical trial of VY-AADC01, including five patients in each of the three dose-ranging Cohorts. In January 2017, we completed dosing in the five patients in Cohort 3. The five patients enrolled in Cohort 3 received similar infusion volumes of VY-AADC01 compared to Cohort 2 (up to 900 µL per putamen), but three-fold higher vector genome concentrations, representing up to a three-fold higher total dose of up to</w:t>
      </w:r>
    </w:p>
    <w:p>
      <w:pPr>
        <w:spacing w:after="0" w:line="3" w:lineRule="exact"/>
        <w:rPr>
          <w:rFonts w:ascii="Arial" w:cs="Arial" w:eastAsia="Arial" w:hAnsi="Arial"/>
          <w:sz w:val="16"/>
          <w:szCs w:val="16"/>
          <w:color w:val="auto"/>
        </w:rPr>
      </w:pPr>
    </w:p>
    <w:p>
      <w:pPr>
        <w:ind w:left="740" w:right="20"/>
        <w:spacing w:after="0" w:line="239" w:lineRule="auto"/>
        <w:rPr>
          <w:rFonts w:ascii="Arial" w:cs="Arial" w:eastAsia="Arial" w:hAnsi="Arial"/>
          <w:sz w:val="16"/>
          <w:szCs w:val="16"/>
          <w:color w:val="auto"/>
        </w:rPr>
      </w:pPr>
      <w:r>
        <w:rPr>
          <w:rFonts w:ascii="Arial" w:cs="Arial" w:eastAsia="Arial" w:hAnsi="Arial"/>
          <w:sz w:val="17"/>
          <w:szCs w:val="17"/>
          <w:color w:val="auto"/>
        </w:rPr>
        <w:t>4.5×10</w:t>
      </w:r>
      <w:r>
        <w:rPr>
          <w:rFonts w:ascii="Arial" w:cs="Arial" w:eastAsia="Arial" w:hAnsi="Arial"/>
          <w:sz w:val="8"/>
          <w:szCs w:val="8"/>
          <w:color w:val="auto"/>
        </w:rPr>
        <w:t>12</w:t>
      </w:r>
      <w:r>
        <w:rPr>
          <w:rFonts w:ascii="Arial" w:cs="Arial" w:eastAsia="Arial" w:hAnsi="Arial"/>
          <w:sz w:val="17"/>
          <w:szCs w:val="17"/>
          <w:color w:val="auto"/>
        </w:rPr>
        <w:t xml:space="preserve"> vector genomes, or vg, of VY-AADC01 compared to patients in Cohort 2 (1.5 × 10</w:t>
      </w:r>
      <w:r>
        <w:rPr>
          <w:rFonts w:ascii="Arial" w:cs="Arial" w:eastAsia="Arial" w:hAnsi="Arial"/>
          <w:sz w:val="8"/>
          <w:szCs w:val="8"/>
          <w:color w:val="auto"/>
        </w:rPr>
        <w:t>12</w:t>
      </w:r>
      <w:r>
        <w:rPr>
          <w:rFonts w:ascii="Arial" w:cs="Arial" w:eastAsia="Arial" w:hAnsi="Arial"/>
          <w:sz w:val="17"/>
          <w:szCs w:val="17"/>
          <w:color w:val="auto"/>
        </w:rPr>
        <w:t xml:space="preserve"> vg). The use of real-time, intra-operative MRI-guided delivery allowed the surgical teams to visualize the delivery of VY-AADC01 and continue to achieve greater average coverage of the putamen in Cohort 3 (42%) compared to Cohort 2 (34%) with similar infusion volumes and Cohort 1 (21%) with a lower infusion volume.</w:t>
      </w:r>
    </w:p>
    <w:p>
      <w:pPr>
        <w:spacing w:after="0" w:line="178" w:lineRule="exact"/>
        <w:rPr>
          <w:sz w:val="20"/>
          <w:szCs w:val="20"/>
          <w:color w:val="auto"/>
        </w:rPr>
      </w:pPr>
    </w:p>
    <w:p>
      <w:pPr>
        <w:ind w:left="980"/>
        <w:spacing w:after="0" w:line="251" w:lineRule="auto"/>
        <w:rPr>
          <w:sz w:val="20"/>
          <w:szCs w:val="20"/>
          <w:color w:val="auto"/>
        </w:rPr>
      </w:pPr>
      <w:r>
        <w:rPr>
          <w:rFonts w:ascii="Arial" w:cs="Arial" w:eastAsia="Arial" w:hAnsi="Arial"/>
          <w:sz w:val="16"/>
          <w:szCs w:val="16"/>
          <w:color w:val="auto"/>
        </w:rPr>
        <w:t>Cohorts 1-3 employ a transfrontal (i.e., top of the head) trajectory of VY-AADC01 into the putamen. To further optimize delivery, a study exploring a posterior (i.e., back of the head) trajectory is planned. A posterior trajectory aligns the infusion of VY-AADC01 with the anatomical structure of the putamen. We believe this will result in a higher total volume of coverage of the putamen and a higher total dose of VY-AADC01, up to</w:t>
      </w:r>
    </w:p>
    <w:p>
      <w:pPr>
        <w:spacing w:after="0" w:line="3" w:lineRule="exact"/>
        <w:rPr>
          <w:sz w:val="20"/>
          <w:szCs w:val="20"/>
          <w:color w:val="auto"/>
        </w:rPr>
      </w:pPr>
    </w:p>
    <w:p>
      <w:pPr>
        <w:ind w:left="980"/>
        <w:spacing w:after="0" w:line="224" w:lineRule="auto"/>
        <w:rPr>
          <w:sz w:val="20"/>
          <w:szCs w:val="20"/>
          <w:color w:val="auto"/>
        </w:rPr>
      </w:pPr>
      <w:r>
        <w:rPr>
          <w:rFonts w:ascii="Arial" w:cs="Arial" w:eastAsia="Arial" w:hAnsi="Arial"/>
          <w:sz w:val="18"/>
          <w:szCs w:val="18"/>
          <w:color w:val="auto"/>
        </w:rPr>
        <w:t>9.4×10</w:t>
      </w:r>
      <w:r>
        <w:rPr>
          <w:rFonts w:ascii="Arial" w:cs="Arial" w:eastAsia="Arial" w:hAnsi="Arial"/>
          <w:sz w:val="8"/>
          <w:szCs w:val="8"/>
          <w:color w:val="auto"/>
        </w:rPr>
        <w:t>12</w:t>
      </w:r>
      <w:r>
        <w:rPr>
          <w:rFonts w:ascii="Arial" w:cs="Arial" w:eastAsia="Arial" w:hAnsi="Arial"/>
          <w:sz w:val="18"/>
          <w:szCs w:val="18"/>
          <w:color w:val="auto"/>
        </w:rPr>
        <w:t xml:space="preserve"> vg, representing a two-fold higher total dose than patients in Cohort 3 and a six-fold higher total dose than patients in Cohort 2. We are activating additional clinical trial sites and plan to dose the first patient with this trajectory in the second quarter of 2017. In the second half of 2017, a similar study will start in Poland using our baculovirus produced material, VY-AADC02. Data from these trials will help inform the design of the double-blind, placebo-controlled trial planned to begin in the fourth quarter of 2017, which will use VY-AADC02.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hanging="89"/>
        <w:spacing w:after="0" w:line="254"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 pipeline of gene therapy programs focused on severe CNS diseases. </w:t>
      </w:r>
      <w:r>
        <w:rPr>
          <w:rFonts w:ascii="Arial" w:cs="Arial" w:eastAsia="Arial" w:hAnsi="Arial"/>
          <w:sz w:val="16"/>
          <w:szCs w:val="16"/>
          <w:color w:val="auto"/>
        </w:rPr>
        <w:t>Beyond our clinical-stage program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advanced Parkinson's disease, we have a deep pipeline of AAV gene therapy programs in various stages of preclinical development. In February 2017, we announced the selection of VY-SOD101, a clinical candidate for the treatment of ALS due to mutations in the superoxide dismutase 1, or SOD1, gene. Preclinical pharmacology and toxicology studies are now underway to support filing of an IND for VY-SOD101 during the fourth quarter of 2017. We plan to file two additional INDs for other preclinical programs over the next 24 months. We believe that our leadership position in AAV gene therapy for severe CNS diseases and our product engine provide us with the necessary capabilities to evaluate and capitalize on external opportunities. As such, we plan to opportunistically expand our pipeline through acquisition, in-licensing or other strategic transactions.</w:t>
      </w:r>
    </w:p>
    <w:p>
      <w:pPr>
        <w:spacing w:after="0" w:line="165" w:lineRule="exact"/>
        <w:rPr>
          <w:rFonts w:ascii="Arial" w:cs="Arial" w:eastAsia="Arial" w:hAnsi="Arial"/>
          <w:sz w:val="16"/>
          <w:szCs w:val="16"/>
          <w:color w:val="auto"/>
        </w:rPr>
      </w:pPr>
    </w:p>
    <w:p>
      <w:pPr>
        <w:ind w:left="740" w:right="100" w:hanging="89"/>
        <w:spacing w:after="0" w:line="258"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commercialization rights to our programs. </w:t>
      </w:r>
      <w:r>
        <w:rPr>
          <w:rFonts w:ascii="Arial" w:cs="Arial" w:eastAsia="Arial" w:hAnsi="Arial"/>
          <w:sz w:val="16"/>
          <w:szCs w:val="16"/>
          <w:color w:val="auto"/>
        </w:rPr>
        <w:t>We have retained worldwide rights for our non-partnered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under our collaboration with Sanofi-Genzyme, have retained U.S., or co-U.S. commercialization rights to our partnered programs. As our programs advance through late-stage clinical development, we intend to build our own sales and marketing infrastructure or partner with third parties, to support our programs where we have retained commercialization rights. We are evaluating additional partnering opportunities for our pipeline and product engine with a goal of continuing to retain major commercialization rights in the U.S.</w:t>
      </w:r>
    </w:p>
    <w:p>
      <w:pPr>
        <w:spacing w:after="0" w:line="163" w:lineRule="exact"/>
        <w:rPr>
          <w:rFonts w:ascii="Arial" w:cs="Arial" w:eastAsia="Arial" w:hAnsi="Arial"/>
          <w:sz w:val="16"/>
          <w:szCs w:val="16"/>
          <w:color w:val="auto"/>
        </w:rPr>
      </w:pPr>
    </w:p>
    <w:p>
      <w:pPr>
        <w:ind w:left="740" w:right="20" w:hanging="89"/>
        <w:spacing w:after="0" w:line="242"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intellectual property portfolio. </w:t>
      </w:r>
      <w:r>
        <w:rPr>
          <w:rFonts w:ascii="Arial" w:cs="Arial" w:eastAsia="Arial" w:hAnsi="Arial"/>
          <w:sz w:val="17"/>
          <w:szCs w:val="17"/>
          <w:color w:val="auto"/>
        </w:rPr>
        <w:t>We seek to have an industry leading intellectual property portfolio.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end, we seek patent 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product engine and product candidates.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AAV Gene Therapy for CNS Diseases</w:t>
      </w:r>
    </w:p>
    <w:p>
      <w:pPr>
        <w:spacing w:after="0" w:line="54"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4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While AAV gene therapy can potentially be harnessed for multiple treatment methods, we are currently focused on gene replacement and gene knockdown approaches. Gene replacement is intended to restore the expression of a protein that is not expressed, expressed at abnormally low levels or functionally mutated with loss of function. Gene knockdown, or gene silencing, is intended to reduce the expression of a pathologically mutated protein that has detrimental effects.</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gene therapy approach uses AAV vectors which we believe are ideal vectors for gene therapy for several</w:t>
      </w:r>
    </w:p>
    <w:p>
      <w:pPr>
        <w:spacing w:after="0"/>
        <w:rPr>
          <w:sz w:val="20"/>
          <w:szCs w:val="20"/>
          <w:color w:val="auto"/>
        </w:rPr>
      </w:pPr>
      <w:r>
        <w:rPr>
          <w:rFonts w:ascii="Arial" w:cs="Arial" w:eastAsia="Arial" w:hAnsi="Arial"/>
          <w:sz w:val="18"/>
          <w:szCs w:val="18"/>
          <w:color w:val="auto"/>
        </w:rPr>
        <w:t>reasons:</w:t>
      </w:r>
    </w:p>
    <w:p>
      <w:pPr>
        <w:spacing w:after="0" w:line="30" w:lineRule="exact"/>
        <w:rPr>
          <w:sz w:val="20"/>
          <w:szCs w:val="20"/>
          <w:color w:val="auto"/>
        </w:rPr>
      </w:pPr>
    </w:p>
    <w:p>
      <w:pPr>
        <w:ind w:left="660" w:right="180"/>
        <w:spacing w:after="0" w:line="237" w:lineRule="auto"/>
        <w:rPr>
          <w:sz w:val="20"/>
          <w:szCs w:val="20"/>
          <w:color w:val="auto"/>
        </w:rPr>
      </w:pPr>
      <w:r>
        <w:rPr>
          <w:rFonts w:ascii="Arial" w:cs="Arial" w:eastAsia="Arial" w:hAnsi="Arial"/>
          <w:sz w:val="18"/>
          <w:szCs w:val="18"/>
          <w:b w:val="1"/>
          <w:bCs w:val="1"/>
          <w:color w:val="auto"/>
        </w:rPr>
        <w:t xml:space="preserve">Broad Applicability. </w:t>
      </w:r>
      <w:r>
        <w:rPr>
          <w:rFonts w:ascii="Arial" w:cs="Arial" w:eastAsia="Arial" w:hAnsi="Arial"/>
          <w:sz w:val="18"/>
          <w:szCs w:val="18"/>
          <w:color w:val="auto"/>
        </w:rPr>
        <w:t>AAV is able to transduce, or transfer a therapeutic gene, into numerous cell types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target cells in the CNS.</w:t>
      </w:r>
    </w:p>
    <w:p>
      <w:pPr>
        <w:spacing w:after="0" w:line="158" w:lineRule="exact"/>
        <w:rPr>
          <w:sz w:val="20"/>
          <w:szCs w:val="20"/>
          <w:color w:val="auto"/>
        </w:rPr>
      </w:pPr>
    </w:p>
    <w:p>
      <w:pPr>
        <w:ind w:left="660" w:right="120"/>
        <w:spacing w:after="0" w:line="226"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AAV is believed to be safe and is not known to cause any disease in humans. No vector-related SAEs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reported in the more than 1,300 patients, including over 200 patients for CNS indications, treated with AAV gene therapy to date.</w:t>
      </w:r>
    </w:p>
    <w:p>
      <w:pPr>
        <w:spacing w:after="0" w:line="158" w:lineRule="exact"/>
        <w:rPr>
          <w:sz w:val="20"/>
          <w:szCs w:val="20"/>
          <w:color w:val="auto"/>
        </w:rPr>
      </w:pPr>
    </w:p>
    <w:p>
      <w:pPr>
        <w:ind w:left="660" w:right="540"/>
        <w:spacing w:after="0" w:line="237" w:lineRule="auto"/>
        <w:rPr>
          <w:sz w:val="20"/>
          <w:szCs w:val="20"/>
          <w:color w:val="auto"/>
        </w:rPr>
      </w:pPr>
      <w:r>
        <w:rPr>
          <w:rFonts w:ascii="Arial" w:cs="Arial" w:eastAsia="Arial" w:hAnsi="Arial"/>
          <w:sz w:val="18"/>
          <w:szCs w:val="18"/>
          <w:b w:val="1"/>
          <w:bCs w:val="1"/>
          <w:color w:val="auto"/>
        </w:rPr>
        <w:t xml:space="preserve">Does Not Readily Integrate. </w:t>
      </w:r>
      <w:r>
        <w:rPr>
          <w:rFonts w:ascii="Arial" w:cs="Arial" w:eastAsia="Arial" w:hAnsi="Arial"/>
          <w:sz w:val="18"/>
          <w:szCs w:val="18"/>
          <w:color w:val="auto"/>
        </w:rPr>
        <w:t>AAV does not readily integrate into the genome of the target cell,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for oncogenesis, or the induction of cancer.</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CNS diseases are well-suited for treatment with AAV gene therapy for the following reasons: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ind w:left="660" w:right="220"/>
        <w:spacing w:after="0" w:line="237" w:lineRule="auto"/>
        <w:rPr>
          <w:sz w:val="20"/>
          <w:szCs w:val="20"/>
          <w:color w:val="auto"/>
        </w:rPr>
      </w:pPr>
      <w:r>
        <w:rPr>
          <w:rFonts w:ascii="Arial" w:cs="Arial" w:eastAsia="Arial" w:hAnsi="Arial"/>
          <w:sz w:val="18"/>
          <w:szCs w:val="18"/>
          <w:b w:val="1"/>
          <w:bCs w:val="1"/>
          <w:color w:val="auto"/>
        </w:rPr>
        <w:t xml:space="preserve">Validated Targets. </w:t>
      </w:r>
      <w:r>
        <w:rPr>
          <w:rFonts w:ascii="Arial" w:cs="Arial" w:eastAsia="Arial" w:hAnsi="Arial"/>
          <w:sz w:val="18"/>
          <w:szCs w:val="18"/>
          <w:color w:val="auto"/>
        </w:rPr>
        <w:t>Many CNS diseases are caused by well-defined mutations in genes and these genes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genetically validated drug targets for AAV gene therapy.</w:t>
      </w:r>
    </w:p>
    <w:p>
      <w:pPr>
        <w:spacing w:after="0" w:line="158"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b w:val="1"/>
          <w:bCs w:val="1"/>
          <w:color w:val="auto"/>
        </w:rPr>
        <w:t xml:space="preserve">Targeted Delivery. </w:t>
      </w:r>
      <w:r>
        <w:rPr>
          <w:rFonts w:ascii="Arial" w:cs="Arial" w:eastAsia="Arial" w:hAnsi="Arial"/>
          <w:sz w:val="18"/>
          <w:szCs w:val="18"/>
          <w:color w:val="auto"/>
        </w:rPr>
        <w:t>Advances in delivery techniques allow for direct delivery of AAV vectors to discrete regions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brain or broader delivery throughout the spinal cord via the cerebrospinal fluid, or CSF.</w:t>
      </w:r>
    </w:p>
    <w:p>
      <w:pPr>
        <w:spacing w:after="0" w:line="158" w:lineRule="exact"/>
        <w:rPr>
          <w:sz w:val="20"/>
          <w:szCs w:val="20"/>
          <w:color w:val="auto"/>
        </w:rPr>
      </w:pPr>
    </w:p>
    <w:p>
      <w:pPr>
        <w:ind w:left="660" w:right="120"/>
        <w:spacing w:after="0" w:line="217" w:lineRule="auto"/>
        <w:rPr>
          <w:sz w:val="20"/>
          <w:szCs w:val="20"/>
          <w:color w:val="auto"/>
        </w:rPr>
      </w:pPr>
      <w:r>
        <w:rPr>
          <w:rFonts w:ascii="Arial" w:cs="Arial" w:eastAsia="Arial" w:hAnsi="Arial"/>
          <w:sz w:val="18"/>
          <w:szCs w:val="18"/>
          <w:b w:val="1"/>
          <w:bCs w:val="1"/>
          <w:color w:val="auto"/>
        </w:rPr>
        <w:t xml:space="preserve">Durable Expression. </w:t>
      </w:r>
      <w:r>
        <w:rPr>
          <w:rFonts w:ascii="Arial" w:cs="Arial" w:eastAsia="Arial" w:hAnsi="Arial"/>
          <w:sz w:val="18"/>
          <w:szCs w:val="18"/>
          <w:color w:val="auto"/>
        </w:rPr>
        <w:t>Long-term gene expression may be achievable in the CNS following one-time dosing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the therapeutic gene with an AAV vector. Neurons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15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b w:val="1"/>
          <w:bCs w:val="1"/>
          <w:color w:val="auto"/>
        </w:rPr>
        <w:t xml:space="preserve">Immune Privileged Site. </w:t>
      </w:r>
      <w:r>
        <w:rPr>
          <w:rFonts w:ascii="Arial" w:cs="Arial" w:eastAsia="Arial" w:hAnsi="Arial"/>
          <w:sz w:val="18"/>
          <w:szCs w:val="18"/>
          <w:color w:val="auto"/>
        </w:rPr>
        <w:t>There is a reduced risk of harmful immune response or reduced efficacy due to localized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in a self-contained system.</w:t>
      </w:r>
    </w:p>
    <w:p>
      <w:pPr>
        <w:spacing w:after="0" w:line="41"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While we are currently focused on gene replacement and gene knockdown approaches, we are also actively exploring additional potential treatment methods that can utilize an AAV vector, including the direct delivery of monoclonal antibodies to the CNS, as well as gene editing to correct or delete a gene in the cell genome.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Voyager Product Engine</w:t>
      </w:r>
    </w:p>
    <w:p>
      <w:pPr>
        <w:spacing w:after="0" w:line="6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apply our expertise in AAV vector engineering and optimization, process research and development, manufacturing, dosing and direct CNS delivery to generate a specific AAV gene therapy for a target disease. We believe that optimizing each of these parameters is a key factor for overall program success. We expect that our current and future pipeline programs will make use of technological advances generated with our product engine.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Selection</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potential product programs based upon the following criteria:</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Unmet Need. </w:t>
      </w:r>
      <w:r>
        <w:rPr>
          <w:rFonts w:ascii="Arial" w:cs="Arial" w:eastAsia="Arial" w:hAnsi="Arial"/>
          <w:sz w:val="17"/>
          <w:szCs w:val="17"/>
          <w:color w:val="auto"/>
        </w:rPr>
        <w:t>There is a significant unmet medical need for the indication and substantial commercial potential.</w:t>
      </w:r>
    </w:p>
    <w:p>
      <w:pPr>
        <w:spacing w:after="0" w:line="196"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b w:val="1"/>
          <w:bCs w:val="1"/>
          <w:color w:val="auto"/>
        </w:rPr>
        <w:t xml:space="preserve">Target Validation. </w:t>
      </w:r>
      <w:r>
        <w:rPr>
          <w:rFonts w:ascii="Arial" w:cs="Arial" w:eastAsia="Arial" w:hAnsi="Arial"/>
          <w:sz w:val="18"/>
          <w:szCs w:val="18"/>
          <w:color w:val="auto"/>
        </w:rPr>
        <w:t>There is strong evidence that expression of a specific gene, or lack thereof, is causing, or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disease state.</w:t>
      </w:r>
    </w:p>
    <w:p>
      <w:pPr>
        <w:spacing w:after="0" w:line="15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b w:val="1"/>
          <w:bCs w:val="1"/>
          <w:color w:val="auto"/>
        </w:rPr>
        <w:t xml:space="preserve">Delivery Using AAV. </w:t>
      </w:r>
      <w:r>
        <w:rPr>
          <w:rFonts w:ascii="Arial" w:cs="Arial" w:eastAsia="Arial" w:hAnsi="Arial"/>
          <w:sz w:val="18"/>
          <w:szCs w:val="18"/>
          <w:color w:val="auto"/>
        </w:rPr>
        <w:t>There is strong evidence supporting the ability to target the relevant tissue and cells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AAV vector to achieve sufficient target gene expression.</w:t>
      </w:r>
    </w:p>
    <w:p>
      <w:pPr>
        <w:spacing w:after="0" w:line="158"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b w:val="1"/>
          <w:bCs w:val="1"/>
          <w:color w:val="auto"/>
        </w:rPr>
        <w:t xml:space="preserve">Clinical Readouts. </w:t>
      </w:r>
      <w:r>
        <w:rPr>
          <w:rFonts w:ascii="Arial" w:cs="Arial" w:eastAsia="Arial" w:hAnsi="Arial"/>
          <w:sz w:val="18"/>
          <w:szCs w:val="18"/>
          <w:color w:val="auto"/>
        </w:rPr>
        <w:t>The clinical impact of an AAV gene therapy can be clearly measured, including through well-accepted clinical endpoints and the use of both existing and novel biomarkers.</w:t>
      </w:r>
    </w:p>
    <w:p>
      <w:pPr>
        <w:spacing w:after="0" w:line="158" w:lineRule="exact"/>
        <w:rPr>
          <w:sz w:val="20"/>
          <w:szCs w:val="20"/>
          <w:color w:val="auto"/>
        </w:rPr>
      </w:pPr>
    </w:p>
    <w:p>
      <w:pPr>
        <w:ind w:left="660" w:right="1140"/>
        <w:spacing w:after="0" w:line="237" w:lineRule="auto"/>
        <w:rPr>
          <w:sz w:val="20"/>
          <w:szCs w:val="20"/>
          <w:color w:val="auto"/>
        </w:rPr>
      </w:pPr>
      <w:r>
        <w:rPr>
          <w:rFonts w:ascii="Arial" w:cs="Arial" w:eastAsia="Arial" w:hAnsi="Arial"/>
          <w:sz w:val="18"/>
          <w:szCs w:val="18"/>
          <w:b w:val="1"/>
          <w:bCs w:val="1"/>
          <w:color w:val="auto"/>
        </w:rPr>
        <w:t xml:space="preserve">Scalability of Manufacturing. </w:t>
      </w:r>
      <w:r>
        <w:rPr>
          <w:rFonts w:ascii="Arial" w:cs="Arial" w:eastAsia="Arial" w:hAnsi="Arial"/>
          <w:sz w:val="18"/>
          <w:szCs w:val="18"/>
          <w:color w:val="auto"/>
        </w:rPr>
        <w:t>Sufficient AAV vector to supply late-stage clinical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can be manufactured.</w:t>
      </w:r>
    </w:p>
    <w:p>
      <w:pPr>
        <w:spacing w:after="0" w:line="41"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In addition to the criteria above, we also look for groups of diseases where our knowledge can be transferred. For instance, we believe that some of the delivery parameters and imaging techniques that are employed in our VY-AADC01 program can be applied to AAV gene therapy delivery for Huntington's disease or other diseases where direct, targeted delivery to the brain is warranted. Likewise, we anticipate that our programs for a monogenic form of ALS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Friedreich's ataxia will all utilize intrathecal injection into the CSF within the spinal column to achieve broad transgene expression in and around the spinal cord.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Engineering and Optimization</w:t>
      </w:r>
    </w:p>
    <w:p>
      <w:pPr>
        <w:spacing w:after="0" w:line="117" w:lineRule="exact"/>
        <w:rPr>
          <w:sz w:val="20"/>
          <w:szCs w:val="20"/>
          <w:color w:val="auto"/>
        </w:rPr>
      </w:pPr>
    </w:p>
    <w:p>
      <w:pPr>
        <w:ind w:right="20" w:firstLine="648"/>
        <w:spacing w:after="0"/>
        <w:rPr>
          <w:sz w:val="20"/>
          <w:szCs w:val="20"/>
          <w:color w:val="auto"/>
        </w:rPr>
      </w:pPr>
      <w:r>
        <w:rPr>
          <w:rFonts w:ascii="Arial" w:cs="Arial" w:eastAsia="Arial" w:hAnsi="Arial"/>
          <w:sz w:val="17"/>
          <w:szCs w:val="17"/>
          <w:color w:val="auto"/>
        </w:rPr>
        <w:t>We intend to advance our multiple preclinical programs towards selection of lead clinical candidates using AAV vectors that we believe are best suited for each of our programs either through use of our existing capsids, through exercising a non-exclusive worldwide commercial license to capsid sequences covered by third parties, or by engineering or optimizing novel capsids. The key components of an AAV vector include: (i) the capsid, or the outer viral protein shell that encloses the target DNA, which includes the promoter and the therapeutic gene; (ii) the therapeutic gene, or transgene; and (iii) the promoter, or the DNA sequence that drives the expression of the transgene.</w:t>
      </w:r>
    </w:p>
    <w:p>
      <w:pPr>
        <w:spacing w:after="0" w:line="110"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 capsids using a number of different scientific approaches. We believe that the information generated by this work will enhance our ability to rationally design AAV capsids with specific properties for particular therapeutic applications. In September 2016, we announced a co-exclusive worldwide license agreement with the California Institute of Technology, or Caltech, related to novel AAV capsids. The license agreement covers all fields of use and includes novel AAV capsids that have demonstrated enhanced blood-brain barrier penetration for the potential treatment of CNS diseases following systemic administration of an AAV gene therapy vector.</w:t>
      </w:r>
    </w:p>
    <w:p>
      <w:pPr>
        <w:spacing w:after="0" w:line="114"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at Commercial Quality and Scale</w:t>
      </w:r>
    </w:p>
    <w:p>
      <w:pPr>
        <w:spacing w:after="0" w:line="63"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The ability to produce high quality AAV vectors at commercial-scale is a critical success factor in AAV gene therapy. While at the NIH, members of our current production team invented and developed a baculovirus AAV production system, which we use and have continued to improve. This system has a number of attributes that will enable high quality commercial-scale manufacturing, including:</w:t>
      </w:r>
    </w:p>
    <w:p>
      <w:pPr>
        <w:spacing w:after="0" w:line="37" w:lineRule="exact"/>
        <w:rPr>
          <w:sz w:val="20"/>
          <w:szCs w:val="20"/>
          <w:color w:val="auto"/>
        </w:rPr>
      </w:pPr>
    </w:p>
    <w:p>
      <w:pPr>
        <w:ind w:left="660" w:right="460"/>
        <w:spacing w:after="0" w:line="237" w:lineRule="auto"/>
        <w:rPr>
          <w:sz w:val="20"/>
          <w:szCs w:val="20"/>
          <w:color w:val="auto"/>
        </w:rPr>
      </w:pPr>
      <w:r>
        <w:rPr>
          <w:rFonts w:ascii="Arial" w:cs="Arial" w:eastAsia="Arial" w:hAnsi="Arial"/>
          <w:sz w:val="18"/>
          <w:szCs w:val="18"/>
          <w:b w:val="1"/>
          <w:bCs w:val="1"/>
          <w:color w:val="auto"/>
        </w:rPr>
        <w:t xml:space="preserve">High Yield. </w:t>
      </w:r>
      <w:r>
        <w:rPr>
          <w:rFonts w:ascii="Arial" w:cs="Arial" w:eastAsia="Arial" w:hAnsi="Arial"/>
          <w:sz w:val="18"/>
          <w:szCs w:val="18"/>
          <w:color w:val="auto"/>
        </w:rPr>
        <w:t>A single manufacturing run at 500-liter scale can yield many thousands of doses of an AAV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w:t>
      </w:r>
    </w:p>
    <w:p>
      <w:pPr>
        <w:spacing w:after="0" w:line="15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b w:val="1"/>
          <w:bCs w:val="1"/>
          <w:color w:val="auto"/>
        </w:rPr>
        <w:t xml:space="preserve">High Purity. </w:t>
      </w:r>
      <w:r>
        <w:rPr>
          <w:rFonts w:ascii="Arial" w:cs="Arial" w:eastAsia="Arial" w:hAnsi="Arial"/>
          <w:sz w:val="18"/>
          <w:szCs w:val="18"/>
          <w:color w:val="auto"/>
        </w:rPr>
        <w:t>A relatively high percentage of AAV vectors contain the therapeutic DNA, reducing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empty capsids compared to alternative manufacturing approaches. In addition, the baculovirus system eliminates the risk of introducing mammalian cell derived impurities.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This process is reproducible at volumes ranging from 0.02 liters to 500 liters.</w:t>
      </w:r>
    </w:p>
    <w:p>
      <w:pPr>
        <w:spacing w:after="0" w:line="18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are building a state-of-the-art process research and development production facility for manufacturing research-grade AAV vectors onsite at our Cambridge, Massachusetts headquarters and a cGMP, commercial-scale AAV manufacturing capability through our collaboration with MassBiologics, in Fall River, Massachusetts, both of which will employ our baculovirus production system. We have also established a contract manufacturing relationship with other companies specializing in the manufacture of gene therapy and AAV vectors.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Delivery and Route of Administration</w:t>
      </w:r>
    </w:p>
    <w:p>
      <w:pPr>
        <w:spacing w:after="0" w:line="63" w:lineRule="exact"/>
        <w:rPr>
          <w:sz w:val="20"/>
          <w:szCs w:val="20"/>
          <w:color w:val="auto"/>
        </w:rPr>
      </w:pPr>
    </w:p>
    <w:p>
      <w:pPr>
        <w:ind w:right="79" w:firstLine="648"/>
        <w:spacing w:after="0" w:line="212" w:lineRule="auto"/>
        <w:rPr>
          <w:sz w:val="20"/>
          <w:szCs w:val="20"/>
          <w:color w:val="auto"/>
        </w:rPr>
      </w:pPr>
      <w:r>
        <w:rPr>
          <w:rFonts w:ascii="Arial" w:cs="Arial" w:eastAsia="Arial" w:hAnsi="Arial"/>
          <w:sz w:val="18"/>
          <w:szCs w:val="18"/>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our current pipeline programs, we are either pursuing direct injection into the brain, called intraparenchymal injection (for our advanced Parkinson's disease and Huntington's disease programs) or injection into the CSF within the cerebrospinal space, called intrathecal injection (for our SOD1 ALS and Friedreich's ataxia programs).</w:t>
      </w:r>
    </w:p>
    <w:p>
      <w:pPr>
        <w:spacing w:after="0" w:line="26" w:lineRule="exact"/>
        <w:rPr>
          <w:sz w:val="20"/>
          <w:szCs w:val="20"/>
          <w:color w:val="auto"/>
        </w:rPr>
      </w:pPr>
    </w:p>
    <w:p>
      <w:pPr>
        <w:ind w:right="139"/>
        <w:spacing w:after="0" w:line="237" w:lineRule="auto"/>
        <w:rPr>
          <w:sz w:val="20"/>
          <w:szCs w:val="20"/>
          <w:color w:val="auto"/>
        </w:rPr>
      </w:pPr>
      <w:r>
        <w:rPr>
          <w:rFonts w:ascii="Arial" w:cs="Arial" w:eastAsia="Arial" w:hAnsi="Arial"/>
          <w:sz w:val="16"/>
          <w:szCs w:val="16"/>
          <w:b w:val="1"/>
          <w:bCs w:val="1"/>
          <w:color w:val="auto"/>
        </w:rPr>
        <w:t xml:space="preserve">Intraparenchymal Injection to the Brain. </w:t>
      </w:r>
      <w:r>
        <w:rPr>
          <w:rFonts w:ascii="Arial" w:cs="Arial" w:eastAsia="Arial" w:hAnsi="Arial"/>
          <w:sz w:val="16"/>
          <w:szCs w:val="16"/>
          <w:color w:val="auto"/>
        </w:rPr>
        <w:t>We are using the ClearPoint System in the Phase 1b clinical trial of VY-AADC01 and the planned posterior trajectory trials, for the treatment of advanced Parkinson's disease to provide real-time, intra-operative, magnetic resonance imaging, or MRI, as well as state-of-the-art infusion technologies. The ClearPoint System assists the physician in visualizing the delivery of VY-AADC01 to the putamen and to avoid specific blood vessels during the surgical procedure, with the goal of maximizing coverage of the putamen and reducing the risk of hemorrhages. We are also evaluating alternative devices and systems to the ClearPoint System. The surgical approach that we are using is similar, in some respects, to the approach used for deep brain stimulation, or DBS, a marketed device-based treatment for advanced Parkinson's disease. We believe that the delivery knowledge gained from our VY-AADC01 and VY-AADC02 programs can be applied to AAV gene therapy delivery for our Huntington's disease program.</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2204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Courtesy of: Okinawa Institute of Science and Technology.</w:t>
      </w:r>
    </w:p>
    <w:p>
      <w:pPr>
        <w:spacing w:after="0" w:line="237" w:lineRule="exact"/>
        <w:rPr>
          <w:sz w:val="20"/>
          <w:szCs w:val="20"/>
          <w:color w:val="auto"/>
        </w:rPr>
      </w:pPr>
    </w:p>
    <w:p>
      <w:pPr>
        <w:ind w:right="39"/>
        <w:spacing w:after="0" w:line="227" w:lineRule="auto"/>
        <w:rPr>
          <w:sz w:val="20"/>
          <w:szCs w:val="20"/>
          <w:color w:val="auto"/>
        </w:rPr>
      </w:pPr>
      <w:r>
        <w:rPr>
          <w:rFonts w:ascii="Arial" w:cs="Arial" w:eastAsia="Arial" w:hAnsi="Arial"/>
          <w:sz w:val="17"/>
          <w:szCs w:val="17"/>
          <w:b w:val="1"/>
          <w:bCs w:val="1"/>
          <w:color w:val="auto"/>
        </w:rPr>
        <w:t xml:space="preserve">Intrathecal Injection to the Spinal Cord. </w:t>
      </w:r>
      <w:r>
        <w:rPr>
          <w:rFonts w:ascii="Arial" w:cs="Arial" w:eastAsia="Arial" w:hAnsi="Arial"/>
          <w:sz w:val="17"/>
          <w:szCs w:val="17"/>
          <w:color w:val="auto"/>
        </w:rPr>
        <w:t>For spinal cord disorders, including monogenic ALS and Friedreich's ataxia,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intrathecal injection is the optimal route of administration to achieve broad transgene expression throughout the relevant cells in the spinal cord and sensory pathways. Preclinical studies completed by us and others have demonstrated that intrathecal delivery of AAV vectors can effectively transfer the therapeutic genes to relevant cells in the spinal cord, as well as in the sensory pathways. Currently, intrathecal injection is commonly used for the delivery of various types of medications, including those to treat pain and infections.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 of Intrathecal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60325</wp:posOffset>
            </wp:positionV>
            <wp:extent cx="3524885" cy="2349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248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Pipeline</w:t>
      </w:r>
    </w:p>
    <w:p>
      <w:pPr>
        <w:spacing w:after="0" w:line="67" w:lineRule="exact"/>
        <w:rPr>
          <w:sz w:val="20"/>
          <w:szCs w:val="20"/>
          <w:color w:val="auto"/>
        </w:rPr>
      </w:pPr>
    </w:p>
    <w:p>
      <w:pPr>
        <w:ind w:right="219" w:firstLine="648"/>
        <w:spacing w:after="0" w:line="216" w:lineRule="auto"/>
        <w:rPr>
          <w:sz w:val="20"/>
          <w:szCs w:val="20"/>
          <w:color w:val="auto"/>
        </w:rPr>
      </w:pPr>
      <w:r>
        <w:rPr>
          <w:rFonts w:ascii="Arial" w:cs="Arial" w:eastAsia="Arial" w:hAnsi="Arial"/>
          <w:sz w:val="18"/>
          <w:szCs w:val="18"/>
          <w:color w:val="auto"/>
        </w:rPr>
        <w:t>We have leveraged our product engine to assemble a pipeline of novel AAV gene therapies for the treatment of severe CNS diseases with high unmet medical need. Depending on the disease, our current AAV gene therapies will use either a gene replacement or gene knockdown approach. Our goal is to address the underlying cause or the predominant manifestations of a specific disease by significantly increasing or decreasing expression of the relevant proteins at targeted sites within the CNS.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Parkinson's Disease Program: VY-AADC01 and VY-AADC02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Parkinson's disease is a chronic, progressive and debilitating neurodegenerative disease that affects approximately</w:t>
      </w:r>
    </w:p>
    <w:p>
      <w:pPr>
        <w:spacing w:after="0" w:line="8" w:lineRule="exact"/>
        <w:rPr>
          <w:sz w:val="20"/>
          <w:szCs w:val="20"/>
          <w:color w:val="auto"/>
        </w:rPr>
      </w:pPr>
    </w:p>
    <w:p>
      <w:pPr>
        <w:ind w:right="39"/>
        <w:spacing w:after="0" w:line="221" w:lineRule="auto"/>
        <w:rPr>
          <w:sz w:val="20"/>
          <w:szCs w:val="20"/>
          <w:color w:val="auto"/>
        </w:rPr>
      </w:pPr>
      <w:r>
        <w:rPr>
          <w:rFonts w:ascii="Arial" w:cs="Arial" w:eastAsia="Arial" w:hAnsi="Arial"/>
          <w:sz w:val="17"/>
          <w:szCs w:val="17"/>
          <w:color w:val="auto"/>
        </w:rPr>
        <w:t>700,000 people in the U.S. and seven to 10 million people worldwide. It is estimated that up to 15% of the prevalent population with Parkinson’s disease, or approximately 100,000 patients in the U.S., have motor fluctuations that are refractory, or not well-controlled, with levodopa, the current standard of care. While the underlying cause of Parkinson's disease in most patients is unknown, the motor symptoms of the disease arise from a loss of neurons in the midbrain that produce the neurotransmitter dopamine. Declining levels of dopamine in this particular region of the brain leads to the motor symptoms associated with Parkinson’s disease including tremors, slow movement or loss of movement, rigidity, and postural instability. Motor symptoms during the advanced stages of the disease include falling, gait freezing, and difficulty with speech and swallowing, with patients often requiring the daily assistance of a caregiver.</w:t>
      </w:r>
    </w:p>
    <w:p>
      <w:pPr>
        <w:spacing w:after="0" w:line="43" w:lineRule="exact"/>
        <w:rPr>
          <w:sz w:val="20"/>
          <w:szCs w:val="20"/>
          <w:color w:val="auto"/>
        </w:rPr>
      </w:pPr>
    </w:p>
    <w:p>
      <w:pPr>
        <w:ind w:right="39" w:firstLine="648"/>
        <w:spacing w:after="0" w:line="226" w:lineRule="auto"/>
        <w:rPr>
          <w:sz w:val="20"/>
          <w:szCs w:val="20"/>
          <w:color w:val="auto"/>
        </w:rPr>
      </w:pPr>
      <w:r>
        <w:rPr>
          <w:rFonts w:ascii="Arial" w:cs="Arial" w:eastAsia="Arial" w:hAnsi="Arial"/>
          <w:sz w:val="17"/>
          <w:szCs w:val="17"/>
          <w:color w:val="auto"/>
        </w:rPr>
        <w:t>While symptomatic treatments exist, there are currently no therapies that effectively slow or reverse the progression of Parkinson’s disease. Levodopa, also known as L-Dopa, remains the standard of care treatment, with its beneficial effects on symptom control having been discovered over 40 years ago. Patients are generally well-controlled with oral levodopa in the early stages of the disease, but become less responsive to treatment as the disease progresses. Patients experience longer periods of reduced mobility and stiffness termed off-time, or the time when medication is no longer providing benefit, and shorter periods of on-time when their medication is effective.</w:t>
      </w:r>
    </w:p>
    <w:p>
      <w:pPr>
        <w:spacing w:after="0" w:line="30" w:lineRule="exact"/>
        <w:rPr>
          <w:sz w:val="20"/>
          <w:szCs w:val="20"/>
          <w:color w:val="auto"/>
        </w:rPr>
      </w:pPr>
    </w:p>
    <w:p>
      <w:pPr>
        <w:ind w:right="59" w:firstLine="648"/>
        <w:spacing w:after="0" w:line="259" w:lineRule="auto"/>
        <w:rPr>
          <w:sz w:val="20"/>
          <w:szCs w:val="20"/>
          <w:color w:val="auto"/>
        </w:rPr>
      </w:pPr>
      <w:r>
        <w:rPr>
          <w:rFonts w:ascii="Arial" w:cs="Arial" w:eastAsia="Arial" w:hAnsi="Arial"/>
          <w:sz w:val="16"/>
          <w:szCs w:val="16"/>
          <w:color w:val="auto"/>
        </w:rPr>
        <w:t>The progressive motor symptoms of Parkinson’s disease are largely due to the death of dopamine neurons in the substantia nigra, a part of the midbrain that converts levodopa to dopamine, in a single step catalyzed by the enzyme AADC. Neurons in the substantia nigra release dopamine into the putamen where the receptors for dopamine reside. In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advanced Parkinson’s disease, neurons in the substantia nigra degenerate and the enzyme AADC is markedly reduced in the putamen, which limits the brain’s ability to convert oral levodopa to dopamine. The intrinsic neurons in the putamen, however, do not degenerate in Parkinson’s disease. VY-AADC01, comprised of the AAV2 capsid and a cytomegalovirus promoter to drive AADC transgene expression, is designed to deliver the AADC gene directly into neurons of the putamen where dopamine receptors are located, bypassing the substantia nigra neurons and enabling the neurons of the putamen to express the AADC enzyme to convert levodopa into dopamine. The approach with VY-AADC01, therefore, has the potential to durably enhance the conversion of levodopa to dopamine and provide clinically meaningful improvements in motor symptoms following a single administration.</w:t>
      </w:r>
    </w:p>
    <w:p>
      <w:pPr>
        <w:spacing w:after="0" w:line="46"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UPDRS is a standard clinical rating scale for Parkinson’s disease. Part III of this scale measures motor function by physician examination. The UPDRS is conducted when patients are taking their Parkinson’s disease medications (referred to as “on” medication) and when patients are not taking their Parkinson’s disease medications (referred to as “off” medication). In addition, a patient-completed (Hauser) diary records their motor response over the course of several days as on-time, or time when they have good mobility with or without non-troublesome dyskinesia, off-time when they have poor mobility, and on-time with troublesome dyskinesia when they have uncontrolled movements. As shown in the figure below, diary on-time decreases, while off-time and dyskinesias increase as patients progress from the early honeymoon period into later stages of advanced Parkinson's disease.</w:t>
      </w:r>
    </w:p>
    <w:p>
      <w:pPr>
        <w:spacing w:after="0" w:line="3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While L-Dopa and other pharmacological approaches to augmenting dopamine provide symptomatic benefit during early stages of Parkinson's disease, there are relatively limited treatment options for patients with advanced Parkinson's disease. There are two FDA approved therapies used to specifically treat advanced Parkinson's disease patients with medically refractive motor fluctuations. The first, DBS, requires the implantation of an electrical stimulation device in the body, which is connected to electrodes that are placed into the brain during neurosurgery where the patient must stay awake during the procedure. The second, marketed as DUODOPA in Europe and DUOPA in the United States, requires the surgical placement of a tube into the intestine so that medication is delivered by a pump that resides outside the body, which patients must carry with them.</w:t>
      </w:r>
    </w:p>
    <w:p>
      <w:pPr>
        <w:spacing w:after="0" w:line="46"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We believe that the need for indwelling hardware, being awake during surgery, and the maintenance associated with each of these approaches are significant deterrents for many potential patients. Given the size of the addressable patient population with advanced Parkinson's disease and the limitations of the currently available treatment options for these patients, we believe that a significant unmet medical need exists for new treatment options.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 “Turn Back the Clock”</w:t>
      </w:r>
    </w:p>
    <w:p>
      <w:pPr>
        <w:spacing w:after="0" w:line="50"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We are developing VY-AADC01, an AAV gene therapy product candidate, for the treatment of advanced Parkinson's disease. VY-AADC01 is comprised of the AAV2 capsid, which has been used in multiple AAV gene therapy clinical trials for a number of different diseases, and the cytomegalovirus promoter that drives expression of the AADC transgene. VY-AADC01 is intended to deliver the AADC gene directly into the putamen. Our approach bypasses the dying neurons of the substantia nigra, allowing for the conversion of levodopa into dopamine within the putamen. We believe that our approach has the potential to provide patients with clinically meaningful improvements in motor symptoms following a single administration.</w:t>
      </w:r>
    </w:p>
    <w:p>
      <w:pPr>
        <w:spacing w:after="0" w:line="4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Our goal is to restore patients' responsiveness to levodopa following treatment with VY-AADC01 to "turn back the clock" on their disease such that the patients' motor symptoms are returned to a well-controlled state, consistent with the level of symptomatic benefit achieved from levodopa during the early honeymoon period. Following treatment with VY-AADC01, patients with advanced Parkinson's disease will continue to take levodopa, but we believe that the required dose will be reduced. The continued administration of levodopa will provide a means to titrate dopamine production to further optimize symptomatic control. We believe our approach will increase the conversion of dopamine from levodopa in the putamen, resulting in a clinically meaningful improvement in motor symptoms following a single administration.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60325</wp:posOffset>
            </wp:positionV>
            <wp:extent cx="4991100" cy="3018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110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63" w:lineRule="exact"/>
        <w:rPr>
          <w:sz w:val="20"/>
          <w:szCs w:val="20"/>
          <w:color w:val="auto"/>
        </w:rPr>
      </w:pPr>
    </w:p>
    <w:p>
      <w:pPr>
        <w:ind w:right="19" w:firstLine="648"/>
        <w:spacing w:after="0" w:line="249" w:lineRule="auto"/>
        <w:rPr>
          <w:sz w:val="20"/>
          <w:szCs w:val="20"/>
          <w:color w:val="auto"/>
        </w:rPr>
      </w:pPr>
      <w:r>
        <w:rPr>
          <w:rFonts w:ascii="Arial" w:cs="Arial" w:eastAsia="Arial" w:hAnsi="Arial"/>
          <w:sz w:val="16"/>
          <w:szCs w:val="16"/>
          <w:color w:val="auto"/>
        </w:rPr>
        <w:t>Preclinical studies conducted by Krystof Bankiewicz, M.D., Ph.D., one of our co-founders, and his colleagues at the University of California San Francisco, or UCSF, evaluated the safety, efficacy and pharmacological activity of AAV2-AADC gene therapy, a gene therapy substantially similar to VY-AADC01, delivered directly to the putamen in a non-human primate model of Parkinson's disease. Overall, the procedure and vector were well-tolerated with no serious toxicity issues.</w:t>
      </w:r>
    </w:p>
    <w:p>
      <w:pPr>
        <w:spacing w:after="0" w:line="33"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Positron emission tomography, or PET, imaging with tracers specific for AADC activity demonstrated a significant and sustained increase of activity in the brain region where the vector had been delivered. Increased responsiveness to levodopa was also evidenced by significant behavioral improvements observed post-treatment with the gene therapy compared to pre-treatment. In five animals, the mean improvement in behavior was determined at various doses of levodopa both one month before treatment, as a baseline measure for comparison purposes, and then again six months after treatment. A strong PET signal was observed in all five animals following treatment, confirming delivery of AADC into the putamen. Animals were significantly more sensitive to levodopa six months following treatment with the gene therapy when compared to baseline, as shown below.</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left="1440" w:right="280"/>
        <w:spacing w:after="0" w:line="237" w:lineRule="auto"/>
        <w:rPr>
          <w:sz w:val="20"/>
          <w:szCs w:val="20"/>
          <w:color w:val="auto"/>
        </w:rPr>
      </w:pPr>
      <w:r>
        <w:rPr>
          <w:rFonts w:ascii="Arial" w:cs="Arial" w:eastAsia="Arial" w:hAnsi="Arial"/>
          <w:sz w:val="18"/>
          <w:szCs w:val="18"/>
          <w:b w:val="1"/>
          <w:bCs w:val="1"/>
          <w:color w:val="auto"/>
        </w:rPr>
        <w:t>Behavioral Response to Various Doses of levodopa Pre- and Post-Treatment with AAV2-AADC in Non-Human Primates</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754370" cy="2521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40" w:hanging="333"/>
        <w:spacing w:after="0" w:line="128" w:lineRule="exact"/>
        <w:tabs>
          <w:tab w:leader="none" w:pos="621" w:val="left"/>
        </w:tabs>
        <w:numPr>
          <w:ilvl w:val="0"/>
          <w:numId w:val="7"/>
        </w:numPr>
        <w:rPr>
          <w:rFonts w:ascii="Arial" w:cs="Arial" w:eastAsia="Arial" w:hAnsi="Arial"/>
          <w:sz w:val="14"/>
          <w:szCs w:val="14"/>
          <w:color w:val="auto"/>
        </w:rPr>
      </w:pPr>
      <w:r>
        <w:rPr>
          <w:rFonts w:ascii="Arial" w:cs="Arial" w:eastAsia="Arial" w:hAnsi="Arial"/>
          <w:sz w:val="14"/>
          <w:szCs w:val="14"/>
          <w:color w:val="auto"/>
        </w:rPr>
        <w:t>Adapted by permission from Macmillan Publishers Ltd; Forsayeth et al, Molecular Therapy (2006), 14 (4); 571</w:t>
      </w:r>
      <w:r>
        <w:rPr>
          <w:rFonts w:ascii="MS PGothic" w:cs="MS PGothic" w:eastAsia="MS PGothic" w:hAnsi="MS PGothic"/>
          <w:sz w:val="14"/>
          <w:szCs w:val="14"/>
          <w:color w:val="auto"/>
        </w:rPr>
        <w:t>‑</w:t>
      </w:r>
      <w:r>
        <w:rPr>
          <w:rFonts w:ascii="Arial" w:cs="Arial" w:eastAsia="Arial" w:hAnsi="Arial"/>
          <w:sz w:val="14"/>
          <w:szCs w:val="14"/>
          <w:color w:val="auto"/>
        </w:rPr>
        <w:t>577, copyright 2006. Blue line represents base line measurements and yellow line represents six months post-treatment measurements.</w:t>
      </w:r>
    </w:p>
    <w:p>
      <w:pPr>
        <w:ind w:left="660" w:hanging="333"/>
        <w:spacing w:after="0" w:line="131" w:lineRule="exact"/>
        <w:tabs>
          <w:tab w:leader="none" w:pos="632" w:val="left"/>
        </w:tabs>
        <w:numPr>
          <w:ilvl w:val="0"/>
          <w:numId w:val="8"/>
        </w:numPr>
        <w:rPr>
          <w:rFonts w:ascii="Arial" w:cs="Arial" w:eastAsia="Arial" w:hAnsi="Arial"/>
          <w:sz w:val="14"/>
          <w:szCs w:val="14"/>
          <w:color w:val="auto"/>
        </w:rPr>
      </w:pPr>
      <w:r>
        <w:rPr>
          <w:rFonts w:ascii="Arial" w:cs="Arial" w:eastAsia="Arial" w:hAnsi="Arial"/>
          <w:sz w:val="14"/>
          <w:szCs w:val="14"/>
          <w:color w:val="auto"/>
        </w:rPr>
        <w:t>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w:t>
      </w:r>
      <w:r>
        <w:rPr>
          <w:rFonts w:ascii="MS PGothic" w:cs="MS PGothic" w:eastAsia="MS PGothic" w:hAnsi="MS PGothic"/>
          <w:sz w:val="14"/>
          <w:szCs w:val="14"/>
          <w:color w:val="auto"/>
        </w:rPr>
        <w:t>‑</w:t>
      </w:r>
      <w:r>
        <w:rPr>
          <w:rFonts w:ascii="Arial" w:cs="Arial" w:eastAsia="Arial" w:hAnsi="Arial"/>
          <w:sz w:val="14"/>
          <w:szCs w:val="14"/>
          <w:color w:val="auto"/>
        </w:rPr>
        <w:t>value,” which represents the probability that chance caused the result (e.g., a p-value = 0.001 means that there is a 0.1% or less probability that the difference between the control group and the treatment group is purely due to random chance).</w:t>
      </w:r>
    </w:p>
    <w:p>
      <w:pPr>
        <w:spacing w:after="0" w:line="163" w:lineRule="exact"/>
        <w:rPr>
          <w:sz w:val="20"/>
          <w:szCs w:val="20"/>
          <w:color w:val="auto"/>
        </w:rPr>
      </w:pPr>
    </w:p>
    <w:p>
      <w:pPr>
        <w:ind w:right="460" w:firstLine="648"/>
        <w:spacing w:after="0" w:line="219" w:lineRule="auto"/>
        <w:rPr>
          <w:sz w:val="20"/>
          <w:szCs w:val="20"/>
          <w:color w:val="auto"/>
        </w:rPr>
      </w:pPr>
      <w:r>
        <w:rPr>
          <w:rFonts w:ascii="Arial" w:cs="Arial" w:eastAsia="Arial" w:hAnsi="Arial"/>
          <w:sz w:val="18"/>
          <w:szCs w:val="18"/>
          <w:color w:val="auto"/>
        </w:rPr>
        <w:t>We believe that these results provide evidence that AADC is active and being expressed at levels sufficient to measure a clinical benefit. Two animals from this cohort were followed for up to eight years following a single administration of the gene therapy and sustained PET imaging signals for AADC and behavioral signs of efficacy were observed in these animals.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these preclinical studies provided support for the initiation of 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Phase 1 Clinical Trials</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a completed open-label Phase 1 clinical trial conducted at UCSF, VY-AADC01 was delivered directly to the putamen of Parkinson's disease patients. The primary endpoints of this trial were safety and tolerability of VY-AADC01. These endpoints were met as VY-AADC01 was well-tolerated and no treatment related SAEs were reported. Furthermore, pharmacologic activity of VY-AADC01 was observed. This trial was completed prior to our involvement in the program, but used a version of VY-AADC01 that is also currently being used in the ongoing Phase 1b clinical trial. We are currently evaluating changing manufacturing platforms from a HEK 293 triple transfection process used to produce the current clinical trial material to our scalable baculovirus system utilizing Sf9 cells. We will need to show this production platform change will result in comparable vector quality and activity. Based on our discussions with the FDA, we believe that we have a good understanding of what in vitro testing and preclinical evaluations are required, which we will need to conduct in order to demonstrate comparability between the vector made with the current process and the vector made with the new system.</w:t>
      </w:r>
    </w:p>
    <w:p>
      <w:pPr>
        <w:spacing w:after="0" w:line="163"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The Phase 1 clinical trial at USCF was conducted in a total of 10 patients with advanced Parkinson's disease. Two doses of VY-AADC01 were tested, 9 × 10</w:t>
      </w:r>
      <w:r>
        <w:rPr>
          <w:rFonts w:ascii="Arial" w:cs="Arial" w:eastAsia="Arial" w:hAnsi="Arial"/>
          <w:sz w:val="7"/>
          <w:szCs w:val="7"/>
          <w:color w:val="auto"/>
        </w:rPr>
        <w:t>10</w:t>
      </w:r>
      <w:r>
        <w:rPr>
          <w:rFonts w:ascii="Arial" w:cs="Arial" w:eastAsia="Arial" w:hAnsi="Arial"/>
          <w:sz w:val="16"/>
          <w:szCs w:val="16"/>
          <w:color w:val="auto"/>
        </w:rPr>
        <w:t xml:space="preserve"> vector genomes, or vg, and 3 × 10</w:t>
      </w:r>
      <w:r>
        <w:rPr>
          <w:rFonts w:ascii="Arial" w:cs="Arial" w:eastAsia="Arial" w:hAnsi="Arial"/>
          <w:sz w:val="7"/>
          <w:szCs w:val="7"/>
          <w:color w:val="auto"/>
        </w:rPr>
        <w:t>11</w:t>
      </w:r>
      <w:r>
        <w:rPr>
          <w:rFonts w:ascii="Arial" w:cs="Arial" w:eastAsia="Arial" w:hAnsi="Arial"/>
          <w:sz w:val="16"/>
          <w:szCs w:val="16"/>
          <w:color w:val="auto"/>
        </w:rPr>
        <w:t xml:space="preserve"> vg, with five patients per dose cohort. The infusion volume was 100µl per putamen, or 200µl per patient. Patients in both cohorts treated with VY-AADC01 showed modest improvements in motor fluctuations. At six months following treatment, diary off-time was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220"/>
        <w:spacing w:after="0" w:line="249" w:lineRule="auto"/>
        <w:rPr>
          <w:sz w:val="20"/>
          <w:szCs w:val="20"/>
          <w:color w:val="auto"/>
        </w:rPr>
      </w:pPr>
      <w:r>
        <w:rPr>
          <w:rFonts w:ascii="Arial" w:cs="Arial" w:eastAsia="Arial" w:hAnsi="Arial"/>
          <w:sz w:val="16"/>
          <w:szCs w:val="16"/>
          <w:color w:val="auto"/>
        </w:rPr>
        <w:t>observed to be reduced by an average of approximately three hours and a corresponding increase in diary on-time without dyskinesias was also observed. In addition, at six months following treatment, an approximately 30% improvement in on-medication and off-medication measures using the Total UPDRS score, a widely used rating scale that evaluates cognitive, functional, and motor deficits, as well as medication-related complications, was observed, as shown in the table below.</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UPDRS Results from Phase 1 Trial</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526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hanging="333"/>
        <w:spacing w:after="0" w:line="126" w:lineRule="exact"/>
        <w:tabs>
          <w:tab w:leader="none" w:pos="6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Christine et al, </w:t>
      </w:r>
      <w:r>
        <w:rPr>
          <w:rFonts w:ascii="Arial" w:cs="Arial" w:eastAsia="Arial" w:hAnsi="Arial"/>
          <w:sz w:val="12"/>
          <w:szCs w:val="12"/>
          <w:i w:val="1"/>
          <w:iCs w:val="1"/>
          <w:color w:val="auto"/>
        </w:rPr>
        <w:t>Neurology</w:t>
      </w:r>
      <w:r>
        <w:rPr>
          <w:rFonts w:ascii="Arial" w:cs="Arial" w:eastAsia="Arial" w:hAnsi="Arial"/>
          <w:sz w:val="12"/>
          <w:szCs w:val="12"/>
          <w:color w:val="auto"/>
        </w:rPr>
        <w:t xml:space="preserve"> (2009), 73: 1662-1669. The row titled "Low-dose cohort" represents data from the five patients treated with 9 X 10</w:t>
      </w:r>
      <w:r>
        <w:rPr>
          <w:rFonts w:ascii="Arial" w:cs="Arial" w:eastAsia="Arial" w:hAnsi="Arial"/>
          <w:sz w:val="12"/>
          <w:szCs w:val="12"/>
          <w:color w:val="auto"/>
          <w:vertAlign w:val="superscript"/>
        </w:rPr>
        <w:t>10</w:t>
      </w:r>
      <w:r>
        <w:rPr>
          <w:rFonts w:ascii="Arial" w:cs="Arial" w:eastAsia="Arial" w:hAnsi="Arial"/>
          <w:sz w:val="12"/>
          <w:szCs w:val="12"/>
          <w:color w:val="auto"/>
        </w:rPr>
        <w:t xml:space="preserve"> vg of VY-AADC01. The row titled “High-dose cohort” represents data from the five patients treated with 3 X 10</w:t>
      </w:r>
      <w:r>
        <w:rPr>
          <w:rFonts w:ascii="Arial" w:cs="Arial" w:eastAsia="Arial" w:hAnsi="Arial"/>
          <w:sz w:val="12"/>
          <w:szCs w:val="12"/>
          <w:color w:val="auto"/>
          <w:vertAlign w:val="superscript"/>
        </w:rPr>
        <w:t>11</w:t>
      </w:r>
      <w:r>
        <w:rPr>
          <w:rFonts w:ascii="Arial" w:cs="Arial" w:eastAsia="Arial" w:hAnsi="Arial"/>
          <w:sz w:val="12"/>
          <w:szCs w:val="12"/>
          <w:color w:val="auto"/>
        </w:rPr>
        <w:t xml:space="preserve"> vg of VY-AADC01. The row titled “Combined cohorts” represents data from all ten patients treated with VY-AADC01. The data in the columns under the header “Off medications” represents periods during which patients' medications were not working as measured by a patient's total UPDRS score at baseline, before treatment with VY-AADC01, and at six months following treatment with VY-AADC01, along with percent change from baseline to six months and the corresponding p-value. The data in the columns under the header "On medications" represents periods during which patients' medications were working as measured by a patient's total UPDRS score at baseline, before treatment with VY-AADC01 and at six months following treatment with VY-AADC01, along with percent change from baseline to six months and the corresponding p-value. 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w:t>
      </w:r>
      <w:r>
        <w:rPr>
          <w:rFonts w:ascii="MS PGothic" w:cs="MS PGothic" w:eastAsia="MS PGothic" w:hAnsi="MS PGothic"/>
          <w:sz w:val="12"/>
          <w:szCs w:val="12"/>
          <w:color w:val="auto"/>
        </w:rPr>
        <w:t>‑</w:t>
      </w:r>
      <w:r>
        <w:rPr>
          <w:rFonts w:ascii="Arial" w:cs="Arial" w:eastAsia="Arial" w:hAnsi="Arial"/>
          <w:sz w:val="12"/>
          <w:szCs w:val="12"/>
          <w:color w:val="auto"/>
        </w:rPr>
        <w:t>value,” which represents the probability that chance caused the result (e.g., a p-value = 0.001 means that there is a 0.1% or less probability that the difference between the control group and the treatment group is purely due to random chance). Because of the small size of this trial, the p-values may not be reliable or repeatable, and may not be duplicated in future trials.</w:t>
      </w:r>
    </w:p>
    <w:p>
      <w:pPr>
        <w:spacing w:after="0" w:line="16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While no gene therapy related SAEs were reported, three patients experienced minor hemorrhages related to the surgical procedure. Two of the hemorrhages were asymptomatic, noticed only on imaging, and one was symptomatic with the patient making an almost complete recovery. Nevertheless, the stereotactic injection protocol used in the surgical procedure was modified to avoid specific blood vessels and no further hemorrhages were reported. The implementation of real-time, intra-operative MRI guidance in the ongoing Phase 1b clinical trial is a significant advancement in vector delivery.</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 xml:space="preserve">The 10 patients were assessed clinically for up to four years after treatment and a durable, dose-dependent expression of AADC was observed. Patients treated with the low dose gene therapy were observed to have an increased PET signal, or uptake of the </w:t>
      </w:r>
      <w:r>
        <w:rPr>
          <w:rFonts w:ascii="Arial" w:cs="Arial" w:eastAsia="Arial" w:hAnsi="Arial"/>
          <w:sz w:val="16"/>
          <w:szCs w:val="16"/>
          <w:color w:val="auto"/>
          <w:vertAlign w:val="superscript"/>
        </w:rPr>
        <w:t>18</w:t>
      </w:r>
      <w:r>
        <w:rPr>
          <w:rFonts w:ascii="Arial" w:cs="Arial" w:eastAsia="Arial" w:hAnsi="Arial"/>
          <w:sz w:val="16"/>
          <w:szCs w:val="16"/>
          <w:color w:val="auto"/>
        </w:rPr>
        <w:t xml:space="preserve"> fluoro-meta-tyrosine tracer, or </w:t>
      </w:r>
      <w:r>
        <w:rPr>
          <w:rFonts w:ascii="Arial" w:cs="Arial" w:eastAsia="Arial" w:hAnsi="Arial"/>
          <w:sz w:val="16"/>
          <w:szCs w:val="16"/>
          <w:color w:val="auto"/>
          <w:vertAlign w:val="superscript"/>
        </w:rPr>
        <w:t>18</w:t>
      </w:r>
      <w:r>
        <w:rPr>
          <w:rFonts w:ascii="Arial" w:cs="Arial" w:eastAsia="Arial" w:hAnsi="Arial"/>
          <w:sz w:val="16"/>
          <w:szCs w:val="16"/>
          <w:color w:val="auto"/>
        </w:rPr>
        <w:t xml:space="preserve"> FMT, indicative of AADC expression and activity that persisted for up to four years. Patients treated with the high dose gene therapy were observed to have an increased PET signal that was greater on average when compared to the low dose cohort, which also persisted for up to four years.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 xml:space="preserve">Long-Term AADC Expression as Measured by PET Imaging in Patients Treated with High and Low Doses of AAV Gene Therapy in a Phase 1 Clinical Trial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5754370" cy="2821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right="120" w:hanging="333"/>
        <w:spacing w:after="0" w:line="219" w:lineRule="auto"/>
        <w:tabs>
          <w:tab w:leader="none" w:pos="6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Mittermeyer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(2012), 23: 377-381. The publisher for this copyrighted material is Mary Ann Liebert, Inc. publishers. Blue lines represent patients treated with the low dose and yellow lines represent patients treated with the high dose.</w:t>
      </w:r>
    </w:p>
    <w:p>
      <w:pPr>
        <w:spacing w:after="0" w:line="162" w:lineRule="exact"/>
        <w:rPr>
          <w:sz w:val="20"/>
          <w:szCs w:val="20"/>
          <w:color w:val="auto"/>
        </w:rPr>
      </w:pPr>
    </w:p>
    <w:p>
      <w:pPr>
        <w:ind w:right="20" w:firstLine="651"/>
        <w:spacing w:after="0" w:line="225" w:lineRule="auto"/>
        <w:tabs>
          <w:tab w:leader="none" w:pos="8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similar Phase 1 clinical trial was conducted at Jichi Medical University, or JMU, in Japan using the same vector that was used in the UCSF trial. The primary endpoints of this trial were safety and tolerability of the treatment. These endpoints were met as the treatment was well-tolerated and no treatment related SAEs were reported. Six patients were treated in this trial and an enhanced PET signal was observed in a subset of patients monitored 96 weeks following treatment. An open-label Phase 1/2 trial is currently being conducted at JMU. The primary endpoints of this trial are safety and tolerability of the treatment. This trial is using lower infusion volumes and doses compared to the ongoing Phase 1b trial. Importantly, the JMU trial is not using real-time, intra-operative MRI guidance.</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While the prior UCSF and JMU clinical results were encouraging and provided evidence of long-term AADC expression, the magnitude of the clinical benefits observed did not exceed placebo effects observed in previous surgical therapy trials in Parkinson's disease patients, and the UCSF and JMU trials were not blinded. Further, based on post-operative imaging and our current work using real-time, intra-operative MRI monitoring, we estimate that less than 10% of the putamen volume was covered by the infusion in these trials, which reflects suboptimal distribution of VY-AADC01 in the putamen. We believe that there is an opportunity to further optimize the delivery, dose and infusion volume of VY-AADC01 to substantially increase the coverage of the putamen in order to achieve a more substantial clinical benefit.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Voyager VY-AADC01 Phase 1b Program Status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In 2014, UCSF initiated an open-label Phase 1b clinical trial to optimize the development of VY-AADC01. The IND for the Phase 1b trial was filed by UCSF in July 2013 and was transferred to us in October 2015. We initiated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second trial site at the University of Pittsburgh Medical Center, or UPMC, in December 2015. The primary endpoints of this trial are safety and tolerability of the treatment. This trial incorporates three key design features:</w:t>
      </w:r>
    </w:p>
    <w:p>
      <w:pPr>
        <w:spacing w:after="0" w:line="162" w:lineRule="exact"/>
        <w:rPr>
          <w:sz w:val="20"/>
          <w:szCs w:val="20"/>
          <w:color w:val="auto"/>
        </w:rPr>
      </w:pPr>
    </w:p>
    <w:p>
      <w:pPr>
        <w:jc w:val="both"/>
        <w:ind w:left="820" w:right="220" w:hanging="169"/>
        <w:spacing w:after="0" w:line="235"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a real-time, intra-operative MRI system during surgery to assist the physician in visualizing the delivery of VY-AADC01 to the putamen and to avoid specific blood vessels during the surgical procedure, with the goal of reducing the risk of hemorrhages.</w:t>
      </w:r>
    </w:p>
    <w:p>
      <w:pPr>
        <w:spacing w:after="0" w:line="175" w:lineRule="exact"/>
        <w:rPr>
          <w:rFonts w:ascii="Arial" w:cs="Arial" w:eastAsia="Arial" w:hAnsi="Arial"/>
          <w:sz w:val="18"/>
          <w:szCs w:val="18"/>
          <w:color w:val="auto"/>
        </w:rPr>
      </w:pPr>
    </w:p>
    <w:p>
      <w:pPr>
        <w:ind w:left="860" w:hanging="209"/>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infusion volumes designed to increase coverage of the putamen with VY-AADC01.</w:t>
      </w:r>
    </w:p>
    <w:p>
      <w:pPr>
        <w:spacing w:after="0" w:line="198" w:lineRule="exact"/>
        <w:rPr>
          <w:rFonts w:ascii="Arial" w:cs="Arial" w:eastAsia="Arial" w:hAnsi="Arial"/>
          <w:sz w:val="18"/>
          <w:szCs w:val="18"/>
          <w:color w:val="auto"/>
        </w:rPr>
      </w:pPr>
    </w:p>
    <w:p>
      <w:pPr>
        <w:ind w:left="860" w:hanging="209"/>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doses of VY-AADC01 compared to the previously completed UCSF Phase 1 trial.</w:t>
      </w:r>
    </w:p>
    <w:p>
      <w:pPr>
        <w:spacing w:after="0" w:line="19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Secondary endpoints of this trial, which will be used to assess the potential pharmacologic activity of VY-AADC01, include UPDRS, AADC PET imaging and a behavioral test using intravenous levodopa treatment to measure changes in a patients' sensitivity to levodopa.</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December 2016, we announced interim results from this ongoing Phase 1b trial of VY-AADC01 at six and 12 months of follow-up in patients with advanced Parkinson’s disease. The interim data from Cohorts 1 and 2 of this trial demonstrated that accurate MRI-guided delivery of escalating doses of VY-AADC01 were well tolerated and resulted in increased coverage of the putamen, increased AADC enzyme activity, enhanced response to levodopa, and dose-related, clinically meaningful improvements in various measures of patients’ motor function. This was especially evident at the higher dose in Cohort 2 with improved UPDRS off medication and on medication scores, and corresponding improvements in patient-reported diary hours, suggesting higher peak effects and a longer duration of action of levodopa. These effects were maintained and in some patients improved at 12 months of follow-up. We plan to report data from Cohort 3 during mid-2017 with plans to begin a larger, double-blind, placebo-controlled trial in the fourth quarter of 2017. To further optimize delivery, a study exploring a posterior trajectory is planned with the first patient dosed in the second quarter of 2017.</w:t>
      </w:r>
    </w:p>
    <w:p>
      <w:pPr>
        <w:spacing w:after="0" w:line="41" w:lineRule="exact"/>
        <w:rPr>
          <w:sz w:val="20"/>
          <w:szCs w:val="20"/>
          <w:color w:val="auto"/>
        </w:rPr>
      </w:pPr>
    </w:p>
    <w:p>
      <w:pPr>
        <w:ind w:right="340" w:firstLine="648"/>
        <w:spacing w:after="0" w:line="226" w:lineRule="auto"/>
        <w:rPr>
          <w:sz w:val="20"/>
          <w:szCs w:val="20"/>
          <w:color w:val="auto"/>
        </w:rPr>
      </w:pPr>
      <w:r>
        <w:rPr>
          <w:rFonts w:ascii="Arial" w:cs="Arial" w:eastAsia="Arial" w:hAnsi="Arial"/>
          <w:sz w:val="17"/>
          <w:szCs w:val="17"/>
          <w:color w:val="auto"/>
        </w:rPr>
        <w:t>We plan to manufacture VY-AADC02 in our baculovirus/Sf9 system. This will be the same vector made using a different manufacturing platform. VY-AADC01 was made in HEK 293 cells using a transient transfection process. VY-AADC02 will be used in the ex-US posterior trajectory trial and subsequent trials. We believe that VY-AADC02 will be similar or comparable to VY-AADC01. Based on our discussions with the FDA, we believe that we have a good understanding of what in vitro testing and preclinical evaluation are required, which we will need to conduct in order to demonstrate comparability between the current version and the new version.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Phase 1b Data to Date – Cohorts 1 and 2</w:t>
      </w:r>
    </w:p>
    <w:p>
      <w:pPr>
        <w:spacing w:after="0" w:line="63"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The interim results reported in December 2016 included data from all 10 patients treated in Cohorts 1 and 2 at six months (five patients in each Cohort), and where indicated, data from five patients in Cohort 1 and three patients in Cohort 2 who have reached 12 months of follow-up. Two patients in Cohort 2 did not reach the 12 month timepoint at the time of the interim update. Patients in Cohorts 1 and 2 received a single administration of VY-AADC01 at a total dose of up to 7.5×10</w:t>
      </w:r>
      <w:r>
        <w:rPr>
          <w:rFonts w:ascii="Arial" w:cs="Arial" w:eastAsia="Arial" w:hAnsi="Arial"/>
          <w:sz w:val="7"/>
          <w:szCs w:val="7"/>
          <w:color w:val="auto"/>
        </w:rPr>
        <w:t>11</w:t>
      </w:r>
      <w:r>
        <w:rPr>
          <w:rFonts w:ascii="Arial" w:cs="Arial" w:eastAsia="Arial" w:hAnsi="Arial"/>
          <w:sz w:val="16"/>
          <w:szCs w:val="16"/>
          <w:color w:val="auto"/>
        </w:rPr>
        <w:t xml:space="preserve"> vg and 1.5×10</w:t>
      </w:r>
      <w:r>
        <w:rPr>
          <w:rFonts w:ascii="Arial" w:cs="Arial" w:eastAsia="Arial" w:hAnsi="Arial"/>
          <w:sz w:val="7"/>
          <w:szCs w:val="7"/>
          <w:color w:val="auto"/>
        </w:rPr>
        <w:t>12</w:t>
      </w:r>
      <w:r>
        <w:rPr>
          <w:rFonts w:ascii="Arial" w:cs="Arial" w:eastAsia="Arial" w:hAnsi="Arial"/>
          <w:sz w:val="16"/>
          <w:szCs w:val="16"/>
          <w:color w:val="auto"/>
        </w:rPr>
        <w:t xml:space="preserve"> vg, respectively. Five patients enrolled in Cohort 1 in this study received a single administration of VY-AADC01 at a concentration of 8.3 × 10</w:t>
      </w:r>
      <w:r>
        <w:rPr>
          <w:rFonts w:ascii="Arial" w:cs="Arial" w:eastAsia="Arial" w:hAnsi="Arial"/>
          <w:sz w:val="7"/>
          <w:szCs w:val="7"/>
          <w:color w:val="auto"/>
        </w:rPr>
        <w:t>11</w:t>
      </w:r>
      <w:r>
        <w:rPr>
          <w:rFonts w:ascii="Arial" w:cs="Arial" w:eastAsia="Arial" w:hAnsi="Arial"/>
          <w:sz w:val="16"/>
          <w:szCs w:val="16"/>
          <w:color w:val="auto"/>
        </w:rPr>
        <w:t xml:space="preserve"> vg per milliliter (vg/ml) using an infusion volume of up to 450 µL per putamen, or up to 900 µL per patient, for a total dose of 7.5 × 10</w:t>
      </w:r>
      <w:r>
        <w:rPr>
          <w:rFonts w:ascii="Arial" w:cs="Arial" w:eastAsia="Arial" w:hAnsi="Arial"/>
          <w:sz w:val="7"/>
          <w:szCs w:val="7"/>
          <w:color w:val="auto"/>
        </w:rPr>
        <w:t>11</w:t>
      </w:r>
      <w:r>
        <w:rPr>
          <w:rFonts w:ascii="Arial" w:cs="Arial" w:eastAsia="Arial" w:hAnsi="Arial"/>
          <w:sz w:val="16"/>
          <w:szCs w:val="16"/>
          <w:color w:val="auto"/>
        </w:rPr>
        <w:t xml:space="preserve"> vg. Five patients enrolled in Cohort 2 received a single administration of VY-AADC01 at a concentration of 8.3 × 10</w:t>
      </w:r>
      <w:r>
        <w:rPr>
          <w:rFonts w:ascii="Arial" w:cs="Arial" w:eastAsia="Arial" w:hAnsi="Arial"/>
          <w:sz w:val="7"/>
          <w:szCs w:val="7"/>
          <w:color w:val="auto"/>
        </w:rPr>
        <w:t>11</w:t>
      </w:r>
      <w:r>
        <w:rPr>
          <w:rFonts w:ascii="Arial" w:cs="Arial" w:eastAsia="Arial" w:hAnsi="Arial"/>
          <w:sz w:val="16"/>
          <w:szCs w:val="16"/>
          <w:color w:val="auto"/>
        </w:rPr>
        <w:t xml:space="preserve"> vg/ml, using an infusion volume of up to 900 µL per putamen, or up to 1,800 µL per patient, for a total dose of 1.5 × 10</w:t>
      </w:r>
      <w:r>
        <w:rPr>
          <w:rFonts w:ascii="Arial" w:cs="Arial" w:eastAsia="Arial" w:hAnsi="Arial"/>
          <w:sz w:val="7"/>
          <w:szCs w:val="7"/>
          <w:color w:val="auto"/>
        </w:rPr>
        <w:t>12</w:t>
      </w:r>
      <w:r>
        <w:rPr>
          <w:rFonts w:ascii="Arial" w:cs="Arial" w:eastAsia="Arial" w:hAnsi="Arial"/>
          <w:sz w:val="16"/>
          <w:szCs w:val="16"/>
          <w:color w:val="auto"/>
        </w:rPr>
        <w:t xml:space="preserve"> vg. Cohort 3 patients received similar infusion volumes (up to 900 µL per putamen) of VY-AADC01 to Cohort 2 but three-fold higher vg concentrations. Patients enrolled in Cohorts 1 and 2 were on average 58 years of age with a Parkinson’s disease diagnosis for an average of 10 years. Patients were candidates for surgical intervention due to disabling motor complications despite treatment with optimal anti-Parkinsonian medication. At baseline, the average UPDRS III off medication score was 37.2 and 35.8, and the average patient diary off-time was 4.9 and 4.2 hours, for Cohort 1 and 2, respectively. Patients’ average amount of Parkinson’s disease medications, levodopa and related medications, at baseline was 1,468 mg per day for Cohort 1 and 1,636 mg per day for Cohort 2. The results below are reported as mean changes from baseline to six months, or 12 months where indicated.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Putamen Coverage and Biomarker Data</w:t>
      </w:r>
    </w:p>
    <w:p>
      <w:pPr>
        <w:spacing w:after="0" w:line="144" w:lineRule="exact"/>
        <w:rPr>
          <w:sz w:val="20"/>
          <w:szCs w:val="20"/>
          <w:color w:val="auto"/>
        </w:rPr>
      </w:pPr>
    </w:p>
    <w:p>
      <w:pPr>
        <w:ind w:left="740" w:right="600" w:hanging="89"/>
        <w:spacing w:after="0" w:line="307"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use of real-time, intra-operative MRI-guided delivery and increasing infusion volumes resulted in 21% coverage of the volume of the putamen with VY-AADC01 in Cohort 1 and 34% coverage in Cohort 2.</w:t>
      </w:r>
    </w:p>
    <w:p>
      <w:pPr>
        <w:spacing w:after="0" w:line="83" w:lineRule="exact"/>
        <w:rPr>
          <w:rFonts w:ascii="Arial" w:cs="Arial" w:eastAsia="Arial" w:hAnsi="Arial"/>
          <w:sz w:val="16"/>
          <w:szCs w:val="16"/>
          <w:color w:val="auto"/>
        </w:rPr>
      </w:pPr>
    </w:p>
    <w:p>
      <w:pPr>
        <w:ind w:left="740" w:right="220" w:hanging="89"/>
        <w:spacing w:after="0" w:line="23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VY-AADC01 treatment resulted in a 13% increase in putaminal AADC enzyme activity in Cohort 1 and a 56% increase in putaminal AADC enzyme activity in Cohort 2 at six months relative to baseline as measured by 18F-DOPA PET scans.</w:t>
      </w:r>
    </w:p>
    <w:p>
      <w:pPr>
        <w:spacing w:after="0" w:line="134" w:lineRule="exact"/>
        <w:rPr>
          <w:rFonts w:ascii="Arial" w:cs="Arial" w:eastAsia="Arial" w:hAnsi="Arial"/>
          <w:sz w:val="18"/>
          <w:szCs w:val="18"/>
          <w:color w:val="auto"/>
        </w:rPr>
      </w:pPr>
    </w:p>
    <w:p>
      <w:pPr>
        <w:ind w:left="740" w:hanging="89"/>
        <w:spacing w:after="0" w:line="246"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reduced their daily oral dose of levodopa and related medications by 14% in Cohort 1 and 34% in Cohort 2 at six months. This reduction in oral medication was generally maintained at 12 months.</w:t>
      </w:r>
    </w:p>
    <w:p>
      <w:pPr>
        <w:spacing w:after="0" w:line="129" w:lineRule="exact"/>
        <w:rPr>
          <w:rFonts w:ascii="Arial" w:cs="Arial" w:eastAsia="Arial" w:hAnsi="Arial"/>
          <w:sz w:val="18"/>
          <w:szCs w:val="18"/>
          <w:color w:val="auto"/>
        </w:rPr>
      </w:pPr>
    </w:p>
    <w:p>
      <w:pPr>
        <w:ind w:left="740" w:right="160" w:hanging="89"/>
        <w:spacing w:after="0" w:line="23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VY-AADC01 treatment prolonged the duration and markedly increased the motor symptom response to levodopa measured following a controlled intravenous infusion of levodopa administered six months after surgery when compared to baseline.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Data Summary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Treatment with VY-AADC01 resulted in the following:</w:t>
      </w:r>
    </w:p>
    <w:p>
      <w:pPr>
        <w:spacing w:after="0" w:line="144" w:lineRule="exact"/>
        <w:rPr>
          <w:sz w:val="20"/>
          <w:szCs w:val="20"/>
          <w:color w:val="auto"/>
        </w:rPr>
      </w:pPr>
    </w:p>
    <w:p>
      <w:pPr>
        <w:ind w:left="740" w:right="120"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15.6-point and 17.8-point (42% and 50%) improvement (reduction) in UPDRS-III off medication at six months in Cohort 1 and Cohort 2, respectively. These improvements were 16.4-point and 14.3-point (44% and 44%) for Cohorts 1 and 2, respectively, at 12 months.</w:t>
      </w:r>
    </w:p>
    <w:p>
      <w:pPr>
        <w:spacing w:after="0" w:line="134" w:lineRule="exact"/>
        <w:rPr>
          <w:rFonts w:ascii="Arial" w:cs="Arial" w:eastAsia="Arial" w:hAnsi="Arial"/>
          <w:sz w:val="18"/>
          <w:szCs w:val="18"/>
          <w:color w:val="auto"/>
        </w:rPr>
      </w:pPr>
    </w:p>
    <w:p>
      <w:pPr>
        <w:ind w:left="740" w:right="380"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9.6-point (56%) improvement (reduction) in UPDRS-III on medication in Cohort 2 at six months that was sustained at 12 months. Cohort 1 demonstrated a 1.6-point (21%) worsening (increase) at six months that was sustained at 12 months.</w:t>
      </w:r>
    </w:p>
    <w:p>
      <w:pPr>
        <w:spacing w:after="0" w:line="134" w:lineRule="exact"/>
        <w:rPr>
          <w:rFonts w:ascii="Arial" w:cs="Arial" w:eastAsia="Arial" w:hAnsi="Arial"/>
          <w:sz w:val="18"/>
          <w:szCs w:val="18"/>
          <w:color w:val="auto"/>
        </w:rPr>
      </w:pPr>
    </w:p>
    <w:p>
      <w:pPr>
        <w:ind w:left="740" w:right="40" w:hanging="89"/>
        <w:spacing w:after="0" w:line="23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hours (20%) increase in diary on-time (with no dyskinesias or non-troublesome dyskinesias) in Cohort 2 at six months that further increased to 4.1 hours (43%) at 12 months. Cohort 1 showed a slight decrease in on-time at six months of 0.3 hours (-3%) and an increase of 1.6 hours (16%) at 12 months.</w:t>
      </w:r>
    </w:p>
    <w:p>
      <w:pPr>
        <w:spacing w:after="0" w:line="134" w:lineRule="exact"/>
        <w:rPr>
          <w:rFonts w:ascii="Arial" w:cs="Arial" w:eastAsia="Arial" w:hAnsi="Arial"/>
          <w:sz w:val="18"/>
          <w:szCs w:val="18"/>
          <w:color w:val="auto"/>
        </w:rPr>
      </w:pPr>
    </w:p>
    <w:p>
      <w:pPr>
        <w:ind w:left="740" w:right="20" w:hanging="89"/>
        <w:spacing w:after="0" w:line="23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 hour (27%) decrease in diary off-time in Cohort 2 at six months that further decreased to 2.2 hours (48%) at 12 months. Decreases in diary off-time in Cohort 2 also occurred in conjunction with a reduction in troublesome dyskinesias. Cohort 1 showed a decrease in diary off-time of 0.8 hours (16%) at six months and 1.4 hours (27%) at 12 months.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w:t>
      </w:r>
    </w:p>
    <w:p>
      <w:pPr>
        <w:spacing w:after="0" w:line="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surgical procedure was successfully completed in all 10 patients and infusions of VY-AADC01 have been well-tolerated with no vector-related serious adverse events (SAEs). Nine of the 10 patients were discharged from the hospital within one to two days following surgery. One patient experienced two SAEs; a pulmonary embolism or blood clot in the lungs, and related heart arrhythmia or irregular heartbeat. The patient was treated with an anti-coagulant and symptoms associated with the SAEs have completely resolved. Investigators determined that this was most likely related to immobility during the surgical procedure and subsequent formation of a blood clot, or deep vein thrombosis (DVT), in the lower extremity. Consequently, DVT prophylaxis was added to the surgical protocol and no subsequent events have been observed following implementation of these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Cohort 3</w:t>
      </w:r>
    </w:p>
    <w:p>
      <w:pPr>
        <w:spacing w:after="0" w:line="5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In January 2017, we disclosed completing dosing in the five patients in Cohort 3. The five patients enrolled in Cohort 3 received similar infusion volumes of VY-AADC01 compared to Cohort 2 (up to 900 µL per putamen), but three-fold higher vector genome concentrations, representing up to a three-fold higher total dose of up to 4.5×10</w:t>
      </w:r>
      <w:r>
        <w:rPr>
          <w:rFonts w:ascii="Arial" w:cs="Arial" w:eastAsia="Arial" w:hAnsi="Arial"/>
          <w:sz w:val="7"/>
          <w:szCs w:val="7"/>
          <w:color w:val="auto"/>
        </w:rPr>
        <w:t>12</w:t>
      </w:r>
      <w:r>
        <w:rPr>
          <w:rFonts w:ascii="Arial" w:cs="Arial" w:eastAsia="Arial" w:hAnsi="Arial"/>
          <w:sz w:val="16"/>
          <w:szCs w:val="16"/>
          <w:color w:val="auto"/>
        </w:rPr>
        <w:t xml:space="preserve"> vg of VY-AADC01 compared to patients in Cohort 2 (1.5 × 10</w:t>
      </w:r>
      <w:r>
        <w:rPr>
          <w:rFonts w:ascii="Arial" w:cs="Arial" w:eastAsia="Arial" w:hAnsi="Arial"/>
          <w:sz w:val="7"/>
          <w:szCs w:val="7"/>
          <w:color w:val="auto"/>
        </w:rPr>
        <w:t>12</w:t>
      </w:r>
      <w:r>
        <w:rPr>
          <w:rFonts w:ascii="Arial" w:cs="Arial" w:eastAsia="Arial" w:hAnsi="Arial"/>
          <w:sz w:val="16"/>
          <w:szCs w:val="16"/>
          <w:color w:val="auto"/>
        </w:rPr>
        <w:t xml:space="preserve"> vg). Patients enrolled in Cohort 3 were similar in baseline characteristics to Cohort 1 and 2. The use of real-time, intra-operative MRI-guided delivery allowed the surgical teams to visualize the delivery of VY-AADC01 and continue to achieve greater average coverage of the putamen in Cohort 3 (42%) compared to Cohort 2 (34%) with similar infusion volumes and Cohort 1 (21%) with a lower infusion volume.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The surgical procedure was successfully completed in all five patients. Infusions of VY-AADC01 have been well-tolerated with no vector-related serious adverse events, or SAEs, or surgical complications in Cohort 3, and all five patients were discharged from the hospital within two days following surgery.</w:t>
      </w:r>
    </w:p>
    <w:p>
      <w:pPr>
        <w:spacing w:after="0" w:line="4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Phase 1b trial remains on track to deliver six-month safety, motor function, and biomarker data from Cohort 3, as well as longer-term safety and motor function data from Cohorts 1 and 2, in mid-2017.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 Program: VY-SOD101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ALS is a fatal neurodegenerative disease that leads to muscle atrophy, spasticity and weakness as well as impaired speech, swallowing and breathing, with many patients requiring ventilator support as the disease progresses. The average age of onset of ALS is 55 years of age, and median survival is approximately three years after initial symptoms appear. It is estimated that there are approximately 20,000 patients in the United States who are living with the disease. Familial, or inherited, ALS accounts for approximately 10% of ALS cases, and an estimated 20% of familial ALS is caused by mutations in the superoxide dismutase 1, or SOD1, gene. Therefore, there are an estimated 400 patients in the United States with ALS caused by mutations in the SOD1 gene.</w:t>
      </w:r>
    </w:p>
    <w:p>
      <w:pPr>
        <w:spacing w:after="0" w:line="1" w:lineRule="exact"/>
        <w:rPr>
          <w:sz w:val="20"/>
          <w:szCs w:val="20"/>
          <w:color w:val="auto"/>
        </w:rPr>
      </w:pPr>
    </w:p>
    <w:p>
      <w:pPr>
        <w:ind w:right="200" w:firstLine="648"/>
        <w:spacing w:after="0" w:line="193" w:lineRule="auto"/>
        <w:rPr>
          <w:sz w:val="20"/>
          <w:szCs w:val="20"/>
          <w:color w:val="auto"/>
        </w:rPr>
      </w:pPr>
      <w:r>
        <w:rPr>
          <w:rFonts w:ascii="Arial" w:cs="Arial" w:eastAsia="Arial" w:hAnsi="Arial"/>
          <w:sz w:val="16"/>
          <w:szCs w:val="16"/>
          <w:color w:val="auto"/>
        </w:rPr>
        <w:t>The normal function of the SOD1 protein is to catalyze the conversion of superoxide anion (O</w:t>
      </w:r>
      <w:r>
        <w:rPr>
          <w:rFonts w:ascii="Arial" w:cs="Arial" w:eastAsia="Arial" w:hAnsi="Arial"/>
          <w:sz w:val="27"/>
          <w:szCs w:val="27"/>
          <w:color w:val="auto"/>
          <w:vertAlign w:val="subscript"/>
        </w:rPr>
        <w:t>2</w:t>
      </w:r>
      <w:r>
        <w:rPr>
          <w:rFonts w:ascii="Arial" w:cs="Arial" w:eastAsia="Arial" w:hAnsi="Arial"/>
          <w:sz w:val="8"/>
          <w:szCs w:val="8"/>
          <w:color w:val="auto"/>
        </w:rPr>
        <w:t>-</w:t>
      </w:r>
      <w:r>
        <w:rPr>
          <w:rFonts w:ascii="Arial" w:cs="Arial" w:eastAsia="Arial" w:hAnsi="Arial"/>
          <w:sz w:val="16"/>
          <w:szCs w:val="16"/>
          <w:color w:val="auto"/>
        </w:rPr>
        <w:t>) to hydrogen peroxide (H</w:t>
      </w:r>
      <w:r>
        <w:rPr>
          <w:rFonts w:ascii="Arial" w:cs="Arial" w:eastAsia="Arial" w:hAnsi="Arial"/>
          <w:sz w:val="27"/>
          <w:szCs w:val="27"/>
          <w:color w:val="auto"/>
          <w:vertAlign w:val="subscript"/>
        </w:rPr>
        <w:t>2</w:t>
      </w:r>
      <w:r>
        <w:rPr>
          <w:rFonts w:ascii="Arial" w:cs="Arial" w:eastAsia="Arial" w:hAnsi="Arial"/>
          <w:sz w:val="16"/>
          <w:szCs w:val="16"/>
          <w:color w:val="auto"/>
        </w:rPr>
        <w:t>O</w:t>
      </w:r>
      <w:r>
        <w:rPr>
          <w:rFonts w:ascii="Arial" w:cs="Arial" w:eastAsia="Arial" w:hAnsi="Arial"/>
          <w:sz w:val="27"/>
          <w:szCs w:val="27"/>
          <w:color w:val="auto"/>
          <w:vertAlign w:val="subscript"/>
        </w:rPr>
        <w:t>2</w:t>
      </w:r>
      <w:r>
        <w:rPr>
          <w:rFonts w:ascii="Arial" w:cs="Arial" w:eastAsia="Arial" w:hAnsi="Arial"/>
          <w:sz w:val="16"/>
          <w:szCs w:val="16"/>
          <w:color w:val="auto"/>
        </w:rPr>
        <w:t>) and oxygen (O</w:t>
      </w:r>
      <w:r>
        <w:rPr>
          <w:rFonts w:ascii="Arial" w:cs="Arial" w:eastAsia="Arial" w:hAnsi="Arial"/>
          <w:sz w:val="27"/>
          <w:szCs w:val="27"/>
          <w:color w:val="auto"/>
          <w:vertAlign w:val="subscript"/>
        </w:rPr>
        <w:t>2</w:t>
      </w:r>
      <w:r>
        <w:rPr>
          <w:rFonts w:ascii="Arial" w:cs="Arial" w:eastAsia="Arial" w:hAnsi="Arial"/>
          <w:sz w:val="16"/>
          <w:szCs w:val="16"/>
          <w:color w:val="auto"/>
        </w:rPr>
        <w:t>). Mutations in SOD1 have been shown to lead to the formation of toxic aggregates of the</w:t>
      </w:r>
    </w:p>
    <w:p>
      <w:pPr>
        <w:spacing w:after="0" w:line="2"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SOD1 protein, resulting in the dysfunction and death of motor neurons. Patients with familial ALS caused by certain mutations in the SOD1 gene progress more rapidly than patients with other forms of ALS, although the reason for this more rapid progression is unknown.</w:t>
      </w:r>
    </w:p>
    <w:p>
      <w:pPr>
        <w:spacing w:after="0" w:line="41"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There is currently only one FDA-approved treatment for ALS, riluzole, which has been shown to have only modest efficacy, prolonging life by just a few months.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50"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believe that AAV gene therapy is an attractive approach to treating monogenic ALS caused by SOD1 mutations. Since the SOD1 gene mutations that cause ALS are toxic gain-of-function mutations, we believe that we can employ an AAV gene therapy approach that targets the knockdown of SOD1. In addition, the primary target cells - motor neurons - reside within the spinal cord, which we believe can be effectively transduced with AAV gene therapy through intrathecal injection. The mechanism of action of VY-SOD101 is knockdown of SOD1 expression in motor neurons, thereby potentially reducing the level of toxicity associated with mutated protein, and slowing functional decline and prolonging ventilator-independent survival.</w:t>
      </w:r>
    </w:p>
    <w:p>
      <w:pPr>
        <w:spacing w:after="0" w:line="4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We believe that there is also the potential to leverage our approach for the treatment of other genetically defined forms of ALS.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Targeting SOD1 for Monogenic ALS</w:t>
      </w:r>
    </w:p>
    <w:p>
      <w:pPr>
        <w:spacing w:after="0" w:line="50"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Results from published preclinical studies conducted at The Ohio State University support targeting mutant SOD1 for the treatment of monogenic ALS. In a non-human primate model, significant knockdown of SOD1 expression was observed following intrathecal injection of an AAV vector carrying a transgene designed to inhibit SOD1 expression. As shown in the figure below, SOD1 protein levels in lumbar spinal cord were knocked down by greater than 80%, on average, in three non-human primates. In addition, SOD1 expression in motor neurons was observed to be knocked down by 95%, on average, compared to a control group. No side effects from the treatment were reported.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Knockdown of SOD1 Using AAV-Mediated Delivery in Non-Human Primates</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852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 xml:space="preserve">Reprinted by permission from Macmillan Publishers Ltd: Foust et al, </w:t>
      </w:r>
      <w:r>
        <w:rPr>
          <w:rFonts w:ascii="Arial" w:cs="Arial" w:eastAsia="Arial" w:hAnsi="Arial"/>
          <w:sz w:val="12"/>
          <w:szCs w:val="12"/>
          <w:i w:val="1"/>
          <w:iCs w:val="1"/>
          <w:color w:val="auto"/>
        </w:rPr>
        <w:t>Molecular Therapy</w:t>
      </w:r>
      <w:r>
        <w:rPr>
          <w:rFonts w:ascii="Arial" w:cs="Arial" w:eastAsia="Arial" w:hAnsi="Arial"/>
          <w:sz w:val="12"/>
          <w:szCs w:val="12"/>
          <w:color w:val="auto"/>
        </w:rPr>
        <w:t xml:space="preserve"> (2013), 21 (12); 2148-2159, copyright (2013).</w:t>
      </w:r>
    </w:p>
    <w:p>
      <w:pPr>
        <w:spacing w:after="0" w:line="92" w:lineRule="exact"/>
        <w:rPr>
          <w:sz w:val="20"/>
          <w:szCs w:val="20"/>
          <w:color w:val="auto"/>
        </w:rPr>
      </w:pPr>
    </w:p>
    <w:p>
      <w:pPr>
        <w:jc w:val="both"/>
        <w:ind w:right="159" w:firstLine="648"/>
        <w:spacing w:after="0" w:line="238" w:lineRule="auto"/>
        <w:rPr>
          <w:sz w:val="20"/>
          <w:szCs w:val="20"/>
          <w:color w:val="auto"/>
        </w:rPr>
      </w:pPr>
      <w:r>
        <w:rPr>
          <w:rFonts w:ascii="Arial" w:cs="Arial" w:eastAsia="Arial" w:hAnsi="Arial"/>
          <w:sz w:val="17"/>
          <w:szCs w:val="17"/>
          <w:color w:val="auto"/>
        </w:rPr>
        <w:t>The knockdown of SOD1 has also been reported to provide significant survival benefits in animal models of ALS. As shown in the example below, mice with a SOD1 mutation treated with an AAV vector to knock down expression of the SOD1 gene extended median survival by 87 days compared to mice treated with a control vector.</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Improved Survival Post Knockdown of SOD1</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5754370" cy="1886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459" w:hanging="333"/>
        <w:spacing w:after="0" w:line="219" w:lineRule="auto"/>
        <w:tabs>
          <w:tab w:leader="none" w:pos="628"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Reprinted by permission from Macmillan Publishers Ltd: Foust et al, </w:t>
      </w:r>
      <w:r>
        <w:rPr>
          <w:rFonts w:ascii="Arial" w:cs="Arial" w:eastAsia="Arial" w:hAnsi="Arial"/>
          <w:sz w:val="14"/>
          <w:szCs w:val="14"/>
          <w:i w:val="1"/>
          <w:iCs w:val="1"/>
          <w:color w:val="auto"/>
        </w:rPr>
        <w:t>Molecular Therapy</w:t>
      </w:r>
      <w:r>
        <w:rPr>
          <w:rFonts w:ascii="Arial" w:cs="Arial" w:eastAsia="Arial" w:hAnsi="Arial"/>
          <w:sz w:val="14"/>
          <w:szCs w:val="14"/>
          <w:color w:val="auto"/>
        </w:rPr>
        <w:t xml:space="preserve"> (2013), 21 (12); 2148-2159, copyright (2013). Purple line represents mice treated with AAV gene therapy, while gray line represents control mice.</w:t>
      </w:r>
    </w:p>
    <w:p>
      <w:pPr>
        <w:spacing w:after="0" w:line="94" w:lineRule="exact"/>
        <w:rPr>
          <w:sz w:val="20"/>
          <w:szCs w:val="20"/>
          <w:color w:val="auto"/>
        </w:rPr>
      </w:pPr>
    </w:p>
    <w:p>
      <w:pPr>
        <w:ind w:right="779" w:firstLine="648"/>
        <w:spacing w:after="0" w:line="246" w:lineRule="auto"/>
        <w:rPr>
          <w:sz w:val="20"/>
          <w:szCs w:val="20"/>
          <w:color w:val="auto"/>
        </w:rPr>
      </w:pPr>
      <w:r>
        <w:rPr>
          <w:rFonts w:ascii="Arial" w:cs="Arial" w:eastAsia="Arial" w:hAnsi="Arial"/>
          <w:sz w:val="18"/>
          <w:szCs w:val="18"/>
          <w:color w:val="auto"/>
        </w:rPr>
        <w:t>These published studies as well as our own studies provide proof-of-principle for our approach to treating monogenic ALS due to SOD1 mutations with VY-SOD101.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198" w:lineRule="exact"/>
        <w:rPr>
          <w:sz w:val="20"/>
          <w:szCs w:val="20"/>
          <w:color w:val="auto"/>
        </w:rPr>
      </w:pPr>
    </w:p>
    <w:p>
      <w:pPr>
        <w:ind w:right="199" w:firstLine="648"/>
        <w:spacing w:after="0" w:line="258" w:lineRule="auto"/>
        <w:rPr>
          <w:sz w:val="20"/>
          <w:szCs w:val="20"/>
          <w:color w:val="auto"/>
        </w:rPr>
      </w:pPr>
      <w:r>
        <w:rPr>
          <w:rFonts w:ascii="Arial" w:cs="Arial" w:eastAsia="Arial" w:hAnsi="Arial"/>
          <w:sz w:val="16"/>
          <w:szCs w:val="16"/>
          <w:color w:val="auto"/>
        </w:rPr>
        <w:t>VY-SOD101 is in preclinical development. We have selected the clinical candidate after screening a series of capsids, microRNA expression cassettes, (a segment of DNA than contains the sequence that targets SOD1 selectively for knockdown), and encoded payloads. Multiple rounds of optimization resulted in a candidate that is potent and selective for knocking down SOD1. In addition, many construct configurations were evaluated toward the identification of one which would provide excellent yield and genome integrity for manufacturing scale-up in our baculovirus AAV manufacturing system in insect-derived cells. Preclinical data in large mammals demonstrated that a single inthrathecal</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administration resulted in significant knockdown of SOD1 in motor neurons, and based on these results, the VY-SOD101 clinical candidate was selected.</w:t>
      </w:r>
    </w:p>
    <w:p>
      <w:pPr>
        <w:spacing w:after="0" w:line="102" w:lineRule="exact"/>
        <w:rPr>
          <w:sz w:val="20"/>
          <w:szCs w:val="20"/>
          <w:color w:val="auto"/>
        </w:rPr>
      </w:pPr>
    </w:p>
    <w:p>
      <w:pPr>
        <w:ind w:right="280" w:firstLine="648"/>
        <w:spacing w:after="0" w:line="307" w:lineRule="auto"/>
        <w:rPr>
          <w:sz w:val="20"/>
          <w:szCs w:val="20"/>
          <w:color w:val="auto"/>
        </w:rPr>
      </w:pPr>
      <w:r>
        <w:rPr>
          <w:rFonts w:ascii="Arial" w:cs="Arial" w:eastAsia="Arial" w:hAnsi="Arial"/>
          <w:sz w:val="16"/>
          <w:szCs w:val="16"/>
          <w:color w:val="auto"/>
        </w:rPr>
        <w:t>We screened more than 100 RNAi sequences, each represented by a bar in the graph below, and successfully identified multiple, highly-potent RNAi sequences targeting SOD1, as highlighted by the yellow bars in the figure below:</w:t>
      </w:r>
    </w:p>
    <w:p>
      <w:pPr>
        <w:spacing w:after="0" w:line="3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103505</wp:posOffset>
            </wp:positionV>
            <wp:extent cx="5445760" cy="1844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4576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firstLine="648"/>
        <w:spacing w:after="0" w:line="231" w:lineRule="auto"/>
        <w:rPr>
          <w:sz w:val="20"/>
          <w:szCs w:val="20"/>
          <w:color w:val="auto"/>
        </w:rPr>
      </w:pPr>
      <w:r>
        <w:rPr>
          <w:rFonts w:ascii="Arial" w:cs="Arial" w:eastAsia="Arial" w:hAnsi="Arial"/>
          <w:sz w:val="18"/>
          <w:szCs w:val="18"/>
          <w:color w:val="auto"/>
        </w:rPr>
        <w:t>The most potent RNAi sequences targeting SOD1 were evaluated in multiple microRNA expression cassettes and with a number of vector genome configurations. We have completed the necessary experiments to evaluate these potential lead candidates based upon criteria that include safety, selectivity, potency, and efficiency and precision of microRNA processing.</w:t>
      </w:r>
    </w:p>
    <w:p>
      <w:pPr>
        <w:spacing w:after="0" w:line="94"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In addition, we have evaluated multiple intrathecal dosing paradigms for the best distribution and delivery to the relevant regions and cell types of the spinal cord. We have studied parameters such as site of intrathecal administration, volume of administration and rate of infusion to identify the dosing paradigm that we believe will translate into an effective therapy in patients.</w:t>
      </w:r>
    </w:p>
    <w:p>
      <w:pPr>
        <w:spacing w:after="0" w:line="10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With the clinical candidate and intrathecal dosing paradigm that have been selected, we plan to complete IND-enabling studies during 2017, to support filing of an IND for VY-SOD101 during the fourth quarter of 2017. We expect that the first clinical trial of VY-SOD101 will enroll ALS patients with relevant mutations in the SOD1 gene.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Friedreich's Ataxia Program: VY-FXN01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 According to the Friedreich's Ataxia Research Alliance, there are approximately 6,400 patients living with the disease in the United States. There are currently no FDA-approved treatments for the disease.</w:t>
      </w:r>
    </w:p>
    <w:p>
      <w:pPr>
        <w:spacing w:after="0" w:line="16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therefore believe that restoring FXN protein levels to at least 50% of normal levels by AAV gene therapy might lead to a successful therapy.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63"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We are developing an AAV gene therapy approach that we believe will deliver a functional version of the FXN gene to the sensory pathways through intrathecal or intravenous injection. We think this approach has the potential to improve balance, ability to walk, sensory capability, coordination, strength and functional capacity of Friedreich's ataxia patients. Most Friedreich's ataxia patients produce low levels of the frataxin protein, which although insufficient to prevent the disease, exposes the patient's immune system to frataxin. This reduces the likelihood that the FXN protein expressed by AAV gene therapy will trigger a harmful immune response.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63"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conducted preclinical studies in non-human primates and achieved high FXN expression levels within the target sensory ganglia, or clusters of neurons, along the spinal region following intrathecal injection. As depicted in the figure below, FXN expression was normalized as a fold increase relative to FXN expression in a human brain reference sample. The levels of FXN expression observed using an AAV vector were, on average, greater than FXN levels present in normal human brain tissue. The increased levels of FXN were achieved in cervical, thoracic, lumbar and sacral levels. Relatively low, but measurable, levels of FXN expression were also observed in the cerebellar dentate nucleus, another area of the CNS that is often affected in Friedreich's ataxia, and that is often considered difficult to target therapeutically.</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FXN Expression in Sensory Ganglia Following Intrathecal Delivery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51435</wp:posOffset>
            </wp:positionV>
            <wp:extent cx="4570730" cy="2204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073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63"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VY-FXN01 is currently in preclinical development. We are in the process of identifying a lead candidate which will comprise an optimal capsid, promoter, and FXN transgene. We are completing several AAV capsid screening experiments to identify capsids that effectively distribute to disease target tissues in a desired manner. We are comparing capsids in non-human primates following intrathecal and intravenous injection, and evaluating these capsids based upon multiple criteria including safety, overall level of transgene expression achieved, distribution of transgene expression and the specific cell types transduced. In addition, we are optimizing the promoter and specific characteristics of the FXN transgene that we expect to use for VY-FXN01. To evaluate the therapeutic potential of our vectors, we have initiated testing in a new genetic mouse model of Friedreich’s ataxia. We also have a significant effort focused on better understanding the clinical course of Friedreich's ataxia and identifying potential clinical endpoints for future clinical trials.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80" w:firstLine="648"/>
        <w:spacing w:after="0" w:line="238" w:lineRule="auto"/>
        <w:rPr>
          <w:sz w:val="20"/>
          <w:szCs w:val="20"/>
          <w:color w:val="auto"/>
        </w:rPr>
      </w:pPr>
      <w:r>
        <w:rPr>
          <w:rFonts w:ascii="Arial" w:cs="Arial" w:eastAsia="Arial" w:hAnsi="Arial"/>
          <w:sz w:val="17"/>
          <w:szCs w:val="17"/>
          <w:color w:val="auto"/>
        </w:rPr>
        <w:t>Once we identify a lead candidate for this program, we plan to complete preclinical studies to evaluate the safety and efficacy of our lead candidate, including studies in a relevant animal model of Friedreich's ataxia and IND-enabling studies. We expect that the first clinical trial of VY-FXN01 will enroll Friedreich's ataxia patients.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Huntington's Disease Program: VY-HTT01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Huntington's disease is a fatal, inherited neurodegenerative disease that results in the progressive decline of motor and cognitive functions and a range of behavioral and psychiatric disturbances. The average age of onset is 39, with patients typically dying approximately 15 to 20 years following diagnosis. According to the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More than 200,000 individuals in the United States are at risk for inheriting the mutant gene from an affected parent.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 no approved treatments targeting the underlying cause of the disease and only one drug, tetrabenazine, has been approved for the treatment of the specific motor symptoms of Huntington's disease.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50"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believe that AAV gene therapy is an attractive approach to treating Huntington's disease. Since HTT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 the striatum and the cortex - that can be targeted with AAV gene therapy delivered directly into the brain. The mechanism of action of VY-HTT01 is knockdown of HTT expression in neurons in the striatum and cortex, thereby reducing the level of toxicity associated with mutated protein in these brain regions, and slowing the progression of cognitive and motor symptoms. We believe that we can use the same surgical approach for this program that has been used for VY-AADC01 delivery to the brain, allowing us to leverage prior clinical experience.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Our collaborators at Sanofi-Genzyme have completed significant preclinical work focused on AAV gene therapy for Huntington's disease. Sanofi-Genzyme's preclinical studies in a mouse model of Huntington's disease demonstrated the safety and efficacy of AAV gene therapy targeting the knockdown of the HTT gene in the CNS.</w:t>
      </w:r>
    </w:p>
    <w:p>
      <w:pPr>
        <w:spacing w:after="0" w:line="2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As shown in the figure below, using an AAV vector delivered directly to the CNS, HTT gene expression was observed to be reduced by over 50%, on average, in the treatment group as compared to the control group. No signs of toxicity were reported.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Knockdown of HTT Following AAV Delivery</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5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right="1000" w:firstLine="7"/>
        <w:spacing w:after="0" w:line="219" w:lineRule="auto"/>
        <w:tabs>
          <w:tab w:leader="none" w:pos="6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16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In addition, significant functional benefit was observed in the treatment group, as measured by the rotarod test to assess motor function, and the Porsolt Swim Test to measure depressive behavior in mice. In the figure below, both normal or wild type mice, and mice with the HTT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 whereas knocking down HTT in YAC128 mice was observed to have significant functional benefit.</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Reduction of Behavioral Deficits in an Animal Model of Huntington's Disease</w:t>
      </w:r>
      <w:r>
        <w:rPr>
          <w:rFonts w:ascii="Arial" w:cs="Arial" w:eastAsia="Arial" w:hAnsi="Arial"/>
          <w:sz w:val="18"/>
          <w:szCs w:val="18"/>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246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right="1000" w:firstLine="7"/>
        <w:spacing w:after="0" w:line="219" w:lineRule="auto"/>
        <w:tabs>
          <w:tab w:leader="none" w:pos="6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VY-HTT01 is in preclinical development. Sanofi-Genzyme's Huntington's disease gene therapy program was combined with our efforts in connection with entering into our collaboration agreement in February 2015. We are screening a series of microRNA expression cassettes and encoded payloads. Multiple rounds of optimization have resulted in candidates that are potent and selective for knocking down HTT. In addition, many construct configurations were evaluated toward the identification of one which would provide excellent yield and genome integrity for manufacturing scale-up in our baculovirus AAV manufacturing system in insect-derived cells. Preclinical data in large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mammals have demonstrated that a single intrastriatal administration results in robust knockdown of HTT in the striatum.</w:t>
      </w:r>
    </w:p>
    <w:p>
      <w:pPr>
        <w:spacing w:after="0" w:line="20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Through our product engine efforts, we constructed and have screened multiple RNAi sequences within a number of miRNA cassettes. Multiple vector genome configurations have been compared as well. We are conducting the necessary experiments to evaluate these potential lead candidates based upon criteria that include safety, selectivity, potency, and efficiency and precision of microRNA processing. This work leverages the learnings from the VY-SOD101 program, as the miRNA cassettes and vector genome configurations that we have designed for the VY-SOD101 program are anticipated to be applicable to all of our RNAi programs, including the VY-HTT01 program.</w:t>
      </w:r>
    </w:p>
    <w:p>
      <w:pPr>
        <w:spacing w:after="0" w:line="44"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In addition, we are in the process of confirming in non-human primate studies that the current lead capsid is optimal for the VY-HTT01 program. The criteria include safety, overall level of transgene expression achieved, distribution of transgene expression, and the specific cell types transduced.</w:t>
      </w:r>
    </w:p>
    <w:p>
      <w:pPr>
        <w:spacing w:after="0" w:line="2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We are evaluating direct injection into the brain for the best distribution and delivery to the regions relevant to Huntington’s disease - striatum and cortex. Parameters such as site of administration, volume of administration, and rate of infusion are being studied to identify the dosing paradigm that we believe will translate into an effective therapy in patients.</w:t>
      </w:r>
    </w:p>
    <w:p>
      <w:pPr>
        <w:spacing w:after="0" w:line="26"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Once we select a clinical candidate and dosing paradigm for this program, we plan to complete a number of preclinical studies to evaluate the safety, biodistribution, pharmacology and efficacy of our lead candidate, including studies in relevant animal models and IND-enabling studies. We expect that the first clinical trial of VY-HTT01 will enroll Huntington's disease patients.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FTD/Alzheimer’s Disease Program: VY-TAU01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healthy individuals, tau is an abundant soluble cytoplasmic protein that binds to microtubules (key structural proteins in cells) to promote their stability and function. In Alzheimer’s disease, or AD, and other tauopathies, tau aggregates and forms insoluble tau-containing neurofibrillary tangles, or NFTs. The progressive spread of tau pathology along distinct anatomical pathways in the brain closely correlates with disease progression and severity in a number of tauopathies, including AD, frontotemporal lobar degeneration, or FTD, Pick’s disease, progressive supranuclear palsy, or PSP, and corticobasal degeneration. Because the extent of tau pathology in AD and other tauopathies closely correlates with the severity of neurodegeneration, synapse loss, and cognitive deficits, attempts to prevent, reduce, or slow the development of tau pathology have become important therapeutic strategies for these diseases.</w:t>
      </w:r>
    </w:p>
    <w:p>
      <w:pPr>
        <w:spacing w:after="0" w:line="46"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In previous preclinical studies, despite high weekly or biweekly systemic doses of anti-tau monoclonal antibodies administered over three to six months, only very low levels of antibody reached the brain, resulting in a modest reduction of tau pathology by ~40–50%. This incomplete and modest reduction in tau pathology following treatment with very high and frequent systemic doses of these antibodies may pose therapeutic challenges in humans with various tauopathies.</w:t>
      </w:r>
    </w:p>
    <w:p>
      <w:pPr>
        <w:spacing w:after="0" w:line="20"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To address these limitations, our scientists, working in collaboration with Weill Cornell Medical College, carried out a study published in the January 2017 issue of the Journal of Neuroscience where we injected an AAV vector containing a tau monoclonal antibody, PHF1, directly into the brains of P301S mice. PHF1 was previously shown to reduce tau pathology in the brain following frequent systemic dosing. P301S mice contain a mutant form of tau that causes severe age-dependent tau pathology and neurodegeneration. In our study, a single injection of AAV vector containing PHF1 into the hippocampus of the brains of these mice resulted in ~50-fold higher level of PHF1 antibody measured in the brain than the levels observed following a single systemic dose of the monoclonal antibody at 45 mg/kg</w:t>
      </w:r>
      <w:r>
        <w:rPr>
          <w:rFonts w:ascii="Arial" w:cs="Arial" w:eastAsia="Arial" w:hAnsi="Arial"/>
          <w:sz w:val="7"/>
          <w:szCs w:val="7"/>
          <w:color w:val="auto"/>
        </w:rPr>
        <w:t>9</w:t>
      </w:r>
      <w:r>
        <w:rPr>
          <w:rFonts w:ascii="Arial" w:cs="Arial" w:eastAsia="Arial" w:hAnsi="Arial"/>
          <w:sz w:val="16"/>
          <w:szCs w:val="16"/>
          <w:color w:val="auto"/>
        </w:rPr>
        <w:t xml:space="preserve"> and a marked reduction (up to 90%) in hippocampal insoluble pathological tau and neurofibrillary tangles, compared with mice treated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a control vector. In addition, the hippocampal atrophy observed in untreated P301S mice was fully rescued by treatment with the AAV vector containing PHF1.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50"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These preclinical studies provide proof of principle in an animal model of disease that AAV vectors can be used to deliver monoclonal antibodies to misfolded pathological proteins like tau to increase brain antibody levels beyond what can be achieved by traditional passive immunization (systemic injection of antibody) and to potentially enhance their therapeutic effects. With the VY-TAU01 program, using a variety of proprietary AAV capsids and routes of administration, we are optimizing the delivery of monoclonal antibodies directed against tau to treat FTD and AD.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Chronic Pain Program: VY-NAV01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3" w:lineRule="exact"/>
        <w:rPr>
          <w:sz w:val="20"/>
          <w:szCs w:val="20"/>
          <w:color w:val="auto"/>
        </w:rPr>
      </w:pPr>
    </w:p>
    <w:p>
      <w:pPr>
        <w:ind w:right="40" w:firstLine="648"/>
        <w:spacing w:after="0" w:line="201" w:lineRule="auto"/>
        <w:rPr>
          <w:sz w:val="20"/>
          <w:szCs w:val="20"/>
          <w:color w:val="auto"/>
        </w:rPr>
      </w:pPr>
      <w:r>
        <w:rPr>
          <w:rFonts w:ascii="Arial" w:cs="Arial" w:eastAsia="Arial" w:hAnsi="Arial"/>
          <w:sz w:val="16"/>
          <w:szCs w:val="16"/>
          <w:color w:val="auto"/>
        </w:rPr>
        <w:t>Na</w:t>
      </w:r>
      <w:r>
        <w:rPr>
          <w:rFonts w:ascii="Arial" w:cs="Arial" w:eastAsia="Arial" w:hAnsi="Arial"/>
          <w:sz w:val="26"/>
          <w:szCs w:val="26"/>
          <w:color w:val="auto"/>
          <w:vertAlign w:val="subscript"/>
        </w:rPr>
        <w:t>v</w:t>
      </w:r>
      <w:r>
        <w:rPr>
          <w:rFonts w:ascii="Arial" w:cs="Arial" w:eastAsia="Arial" w:hAnsi="Arial"/>
          <w:sz w:val="16"/>
          <w:szCs w:val="16"/>
          <w:color w:val="auto"/>
        </w:rPr>
        <w:t>1.7 is a sodium ion channel that is required for transmission of pain signals to the CNS. We believe that an AAV gene therapy approach targeting the knockdown of Na</w:t>
      </w:r>
      <w:r>
        <w:rPr>
          <w:rFonts w:ascii="Arial" w:cs="Arial" w:eastAsia="Arial" w:hAnsi="Arial"/>
          <w:sz w:val="26"/>
          <w:szCs w:val="26"/>
          <w:color w:val="auto"/>
          <w:vertAlign w:val="subscript"/>
        </w:rPr>
        <w:t>v</w:t>
      </w:r>
      <w:r>
        <w:rPr>
          <w:rFonts w:ascii="Arial" w:cs="Arial" w:eastAsia="Arial" w:hAnsi="Arial"/>
          <w:sz w:val="16"/>
          <w:szCs w:val="16"/>
          <w:color w:val="auto"/>
        </w:rPr>
        <w:t>1.7 in sensory neurons could be an effective treatment for certain</w:t>
      </w:r>
    </w:p>
    <w:p>
      <w:pPr>
        <w:spacing w:after="0" w:line="1" w:lineRule="exact"/>
        <w:rPr>
          <w:sz w:val="20"/>
          <w:szCs w:val="20"/>
          <w:color w:val="auto"/>
        </w:rPr>
      </w:pPr>
    </w:p>
    <w:p>
      <w:pPr>
        <w:ind w:right="80"/>
        <w:spacing w:after="0" w:line="201" w:lineRule="auto"/>
        <w:rPr>
          <w:sz w:val="20"/>
          <w:szCs w:val="20"/>
          <w:color w:val="auto"/>
        </w:rPr>
      </w:pPr>
      <w:r>
        <w:rPr>
          <w:rFonts w:ascii="Arial" w:cs="Arial" w:eastAsia="Arial" w:hAnsi="Arial"/>
          <w:sz w:val="16"/>
          <w:szCs w:val="16"/>
          <w:color w:val="auto"/>
        </w:rPr>
        <w:t>forms of severe, chronic pain. A major challenge for the successful development of small molecules and antibodies targeting Na</w:t>
      </w:r>
      <w:r>
        <w:rPr>
          <w:rFonts w:ascii="Arial" w:cs="Arial" w:eastAsia="Arial" w:hAnsi="Arial"/>
          <w:sz w:val="26"/>
          <w:szCs w:val="26"/>
          <w:color w:val="auto"/>
          <w:vertAlign w:val="subscript"/>
        </w:rPr>
        <w:t>v</w:t>
      </w:r>
      <w:r>
        <w:rPr>
          <w:rFonts w:ascii="Arial" w:cs="Arial" w:eastAsia="Arial" w:hAnsi="Arial"/>
          <w:sz w:val="16"/>
          <w:szCs w:val="16"/>
          <w:color w:val="auto"/>
        </w:rPr>
        <w:t>1.7 has been the selective inhibition of Na</w:t>
      </w:r>
      <w:r>
        <w:rPr>
          <w:rFonts w:ascii="Arial" w:cs="Arial" w:eastAsia="Arial" w:hAnsi="Arial"/>
          <w:sz w:val="26"/>
          <w:szCs w:val="26"/>
          <w:color w:val="auto"/>
          <w:vertAlign w:val="subscript"/>
        </w:rPr>
        <w:t>v</w:t>
      </w:r>
      <w:r>
        <w:rPr>
          <w:rFonts w:ascii="Arial" w:cs="Arial" w:eastAsia="Arial" w:hAnsi="Arial"/>
          <w:sz w:val="16"/>
          <w:szCs w:val="16"/>
          <w:color w:val="auto"/>
        </w:rPr>
        <w:t>1.7 over closely related sodium channels such as Na</w:t>
      </w:r>
      <w:r>
        <w:rPr>
          <w:rFonts w:ascii="Arial" w:cs="Arial" w:eastAsia="Arial" w:hAnsi="Arial"/>
          <w:sz w:val="26"/>
          <w:szCs w:val="26"/>
          <w:color w:val="auto"/>
          <w:vertAlign w:val="subscript"/>
        </w:rPr>
        <w:t>v</w:t>
      </w:r>
      <w:r>
        <w:rPr>
          <w:rFonts w:ascii="Arial" w:cs="Arial" w:eastAsia="Arial" w:hAnsi="Arial"/>
          <w:sz w:val="16"/>
          <w:szCs w:val="16"/>
          <w:color w:val="auto"/>
        </w:rPr>
        <w:t>1.5 which are important</w:t>
      </w:r>
    </w:p>
    <w:p>
      <w:pPr>
        <w:spacing w:after="0" w:line="1" w:lineRule="exact"/>
        <w:rPr>
          <w:sz w:val="20"/>
          <w:szCs w:val="20"/>
          <w:color w:val="auto"/>
        </w:rPr>
      </w:pPr>
    </w:p>
    <w:p>
      <w:pPr>
        <w:ind w:right="100"/>
        <w:spacing w:after="0" w:line="201" w:lineRule="auto"/>
        <w:rPr>
          <w:sz w:val="20"/>
          <w:szCs w:val="20"/>
          <w:color w:val="auto"/>
        </w:rPr>
      </w:pPr>
      <w:r>
        <w:rPr>
          <w:rFonts w:ascii="Arial" w:cs="Arial" w:eastAsia="Arial" w:hAnsi="Arial"/>
          <w:sz w:val="16"/>
          <w:szCs w:val="16"/>
          <w:color w:val="auto"/>
        </w:rPr>
        <w:t>for cardiac function. MicroRNAs, which work by harnessing the RNA interference pathway, can achieve a high level of specificity for their messenger RNA targets, and can inhibit Na</w:t>
      </w:r>
      <w:r>
        <w:rPr>
          <w:rFonts w:ascii="Arial" w:cs="Arial" w:eastAsia="Arial" w:hAnsi="Arial"/>
          <w:sz w:val="26"/>
          <w:szCs w:val="26"/>
          <w:color w:val="auto"/>
          <w:vertAlign w:val="subscript"/>
        </w:rPr>
        <w:t>v</w:t>
      </w:r>
      <w:r>
        <w:rPr>
          <w:rFonts w:ascii="Arial" w:cs="Arial" w:eastAsia="Arial" w:hAnsi="Arial"/>
          <w:sz w:val="16"/>
          <w:szCs w:val="16"/>
          <w:color w:val="auto"/>
        </w:rPr>
        <w:t>1.7 selectively over other sodium channel subtypes. Such an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approach could avoid the dose-limiting side effects associated with the non-selective profile of many current drugs used to treat severe, chronic pain, and also achieve a durable clinical benefit following a single administration of the therapy. VY-NAV01 leverages our extensive experience designing novel microRNA knockdown cassettes and delivering them using AAV, an approach that we are using for our ALS (VY-SOD101) and Huntington’s disease (VY-HTT01) programs.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63" w:lineRule="exact"/>
        <w:rPr>
          <w:sz w:val="20"/>
          <w:szCs w:val="20"/>
          <w:color w:val="auto"/>
        </w:rPr>
      </w:pPr>
    </w:p>
    <w:p>
      <w:pPr>
        <w:ind w:right="400" w:firstLine="648"/>
        <w:spacing w:after="0" w:line="209" w:lineRule="auto"/>
        <w:rPr>
          <w:sz w:val="20"/>
          <w:szCs w:val="20"/>
          <w:color w:val="auto"/>
        </w:rPr>
      </w:pPr>
      <w:r>
        <w:rPr>
          <w:rFonts w:ascii="Arial" w:cs="Arial" w:eastAsia="Arial" w:hAnsi="Arial"/>
          <w:sz w:val="16"/>
          <w:szCs w:val="16"/>
          <w:color w:val="auto"/>
        </w:rPr>
        <w:t>VY-NAV01 is currently in the research stage. We are in the process of conducting proof-of-concept studies to establish the level of Na</w:t>
      </w:r>
      <w:r>
        <w:rPr>
          <w:rFonts w:ascii="Arial" w:cs="Arial" w:eastAsia="Arial" w:hAnsi="Arial"/>
          <w:sz w:val="26"/>
          <w:szCs w:val="26"/>
          <w:color w:val="auto"/>
          <w:vertAlign w:val="subscript"/>
        </w:rPr>
        <w:t>v</w:t>
      </w:r>
      <w:r>
        <w:rPr>
          <w:rFonts w:ascii="Arial" w:cs="Arial" w:eastAsia="Arial" w:hAnsi="Arial"/>
          <w:sz w:val="16"/>
          <w:szCs w:val="16"/>
          <w:color w:val="auto"/>
        </w:rPr>
        <w:t>1.7 knockdown needed to relieve pain in animal models. We will then identify a lead candidate</w:t>
      </w:r>
    </w:p>
    <w:p>
      <w:pPr>
        <w:spacing w:after="0" w:line="184" w:lineRule="auto"/>
        <w:rPr>
          <w:sz w:val="20"/>
          <w:szCs w:val="20"/>
          <w:color w:val="auto"/>
        </w:rPr>
      </w:pPr>
      <w:r>
        <w:rPr>
          <w:rFonts w:ascii="Arial" w:cs="Arial" w:eastAsia="Arial" w:hAnsi="Arial"/>
          <w:sz w:val="16"/>
          <w:szCs w:val="16"/>
          <w:color w:val="auto"/>
        </w:rPr>
        <w:t>which will comprise an optimal capsid, promoter, and microRNA targeting Na</w:t>
      </w:r>
      <w:r>
        <w:rPr>
          <w:rFonts w:ascii="Arial" w:cs="Arial" w:eastAsia="Arial" w:hAnsi="Arial"/>
          <w:sz w:val="26"/>
          <w:szCs w:val="26"/>
          <w:color w:val="auto"/>
          <w:vertAlign w:val="subscript"/>
        </w:rPr>
        <w:t>v</w:t>
      </w:r>
      <w:r>
        <w:rPr>
          <w:rFonts w:ascii="Arial" w:cs="Arial" w:eastAsia="Arial" w:hAnsi="Arial"/>
          <w:sz w:val="16"/>
          <w:szCs w:val="16"/>
          <w:color w:val="auto"/>
        </w:rPr>
        <w:t>1.7. We are completing several AAV capsid</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screening experiments to identify capsids that effectively distribute to pain sensory neurons in a desired manner. We are comparing capsids in non-human primates following intrathecal and intravenous injection, and evaluating these capsids based upon multiple criteria including safety, overall level of transgene expression achieved, distribution of transgene expression and the specific cell types transduced.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Programs</w:t>
      </w:r>
    </w:p>
    <w:p>
      <w:pPr>
        <w:spacing w:after="0" w:line="67"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We are evaluating additional severe neurological diseases that could be treated using AAV gene therapy through application of either a gene replacement or a gene knockdown approach. Beyond these approaches, we are also actively exploring additional potential treatment methods that can utilize an AAV vector, including gene editing to correct or delete a gene in the cell genome.</w:t>
      </w:r>
    </w:p>
    <w:p>
      <w:pPr>
        <w:spacing w:after="0" w:line="41"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For information regarding amounts spent during each of the last three fiscal years on company-sponsored research and development activities, see Part II “Item 6 – Selected Financial Data” of this Annual Report on Form 10-K.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Sanofi-Genzyme Collaboration</w:t>
      </w:r>
    </w:p>
    <w:p>
      <w:pPr>
        <w:spacing w:after="0" w:line="50"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February 2015, we entered into a strategic collaboration with Sanofi-Genzyme to leverage our combined expertise and assets to develop AAV gene therapies for CNS diseases. Under the agreement, we retained U.S. rights to VY-AADC01 and VY-FXN01, as well as at least co-commercialization rights to VY-HTT01 in the United States. VY-SOD101 is not included as part of the Sanofi-Genzyme collaboration and we retain unencumbered worldwide rights to this program. We have granted Sanofi-Genzyme an exclusive option to license, develop and commercialize (i) ex-U.S. rights to the following programs, which we refer to as the Split Territory Programs, VY-AADC01, VY-FXN01, a future program to be designated by Sanofi-Genzyme, or Future Program, and VY-HTT01 with an incremental option to co-commercialize VY-HTT01 in the United States, and (ii) worldwide rights to VY-SMN101. Sanofi-Genzyme's option for the Split Territory Programs and VY-SMN101 is triggered following the completion of the first proof-of-principle human clinical study, or POP Study, on a program-by-program basis. In November 2016, we elected to deprioritize the development of VY-SMN101 for spinal muscular atrophy due to, among other things, the significant progress we have made in our other preclinical programs and the evolving competitive landscape.</w:t>
      </w:r>
    </w:p>
    <w:p>
      <w:pPr>
        <w:spacing w:after="0" w:line="41"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Prior to any option exercise by Sanofi-Genzyme, we will collaborate with Sanofi-Genzyme in the development of products under each Split Territory Program and VY-SMN101 pursuant to a written development plan and under the guidance of an alliance joint steering committee, comprised of an equal number of our employees and Sanofi-Genzyme employees.</w:t>
      </w:r>
    </w:p>
    <w:p>
      <w:pPr>
        <w:spacing w:after="0" w:line="41"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We are required to use commercially reasonable efforts to develop products under each Split Territory Program and VY-SMN101 through completion of the applicable POP Study. During the development of our joint programs, our and Sanofi-Genzyme's activities are guided by a Development Advisory Committee, which we refer to as the DAC. The DAC may elect to utilize certain Sanofi-Genzyme technology relating to the VY-AADC01 program, the VY-HTT01 Program, or generally with the manufacture of Split Territory Program products.</w:t>
      </w:r>
    </w:p>
    <w:p>
      <w:pPr>
        <w:spacing w:after="0" w:line="26"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We will be solely responsible for all costs incurred in connection with the development of Split Territory Programs and VY-SMN101 products prior to option exercise, subject to the following: (i) Sanofi-Genzyme may agree to provide additional funds in return for agreed-upon payback or other agreed economic terms; (ii) we may request, and upon mutual agreement, Sanofi-Genzyme will provide in-kind services valued at up to $5.0 million; and (iii) expenses of certain activities under the VY-HTT01 development plan may be funded to the extent such activities are reimbursed through financial support that Sanofi-Genzyme may receive from a disease foundation group.</w:t>
      </w:r>
    </w:p>
    <w:p>
      <w:pPr>
        <w:spacing w:after="0" w:line="4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Other than the VY-AADC01 program (for which a POP Study has already been commenced), if we do not initiate a POP Study for a given Split Territory Program by December 31, 2026 (or for the Future Program by the tenth anniversary of the date the Future Program is nominated by Sanofi-Genzyme), and Sanofi-Genzyme has not terminated this agreement with respect to such Collaboration program, then Sanofi-Genzyme shall be entitled, at its sole and exclusive remedy, to a credit of $10.0 million for each such program against other amounts payable by Sanofi-Genzyme under the Collaboration. However, if we do not initiate a POP Study by such date as a result of a regulatory delay or a force majeure event, such time period shall be extended for so long as such regulatory delay or force majeure event continues and we shall not be deemed to have failed to initiate a POP Study.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Post-Option Exercise</w:t>
      </w:r>
    </w:p>
    <w:p>
      <w:pPr>
        <w:spacing w:after="0" w:line="50"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Upon Sanofi-Genzyme's exercise of its option to license a given product in a Split Territory Program, which we refer to as a Split Territory Licensed Product, we will have sole responsibility for the development of such Split Territory Licensed Product in the United States and Sanofi-Genzyme shall have sole responsibility for development of such Split Territory Licensed Product in the rest of the world. We and Sanofi-Genzyme will have shared responsibility for execution of ongoing development of such Split Territory Licensed Product that is not specific to either of our territories, including costs associated therewith.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A steering committee for each Program will review and approve a written plan and budget for each relevant program. In addition, all development activities to be undertaken with respect to each Split Territory Licensed Product by or on behalf of either party will be set forth in a written development plan.</w:t>
      </w:r>
    </w:p>
    <w:p>
      <w:pPr>
        <w:spacing w:after="0" w:line="4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Sanofi-Genzyme shall have the sole right to develop VY-SMN101 worldwide. Sanofi-Genzyme shall be responsible for all of the development costs that occur after the option exercise date for VY-SMN101.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63"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We shall be solely responsible, at our expense, for all commercialization activities relating to Split Territory Licensed Products in the United States. Sanofi-Genzyme shall be solely responsible, at its expense, for all commercialization activities relating to Split Territory Licensed Products in the rest of the world. For VY-HTT01, if Sanofi-Genzyme has exercised its option to co-commercialize VY-HTT01 in the United States, then Sanofi-Genzyme will be the lead party responsible for all VY-HTT01 commercialization activities in the United States, and these activities will be set forth in reasonable detail in a written commercialization plan.</w:t>
      </w:r>
    </w:p>
    <w:p>
      <w:pPr>
        <w:spacing w:after="0" w:line="41"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6"/>
          <w:szCs w:val="16"/>
          <w:color w:val="auto"/>
        </w:rPr>
        <w:t>Sanofi-Genzyme shall be solely responsible, at its expense, for all commercialization activities relating to VY-SMN101 worldwide. Sanofi-Genzyme shall use commercially reasonable efforts to commercialize VY-SMN101 in each major market specified in the agreement where Sanofi-Genzyme has obtained required governmental approvals.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Terms</w:t>
      </w:r>
    </w:p>
    <w:p>
      <w:pPr>
        <w:spacing w:after="0" w:line="63"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received $65.0 million in upfront cash, a $30.0 million upfront equity investment and an in-kind commitment of $5.0 million, totaling $100.0 million. If Sanofi-Genzyme exercises its option for a collaboration program, with the exception of VY-AADC01, Sanofi-Genzyme is required to make an option exercise payment of $20.0 million or $30.0 million for each program. In addition, Sanofi-Genzyme shall pay us up to $645.0 million across product programs upon the achievement of specified regulatory and commercial milestones.</w:t>
      </w:r>
    </w:p>
    <w:p>
      <w:pPr>
        <w:spacing w:after="0" w:line="4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addition, to the extent any Split Territory Licensed Product or the VY-SMN101 Product is commercialized, we are entitled to receive tiered royalty payments ranging from the mid-single digits to mid-teens based on a percentage of net sales. Sanofi-Genzyme is entitled to receive royalty payments from us related to sales of the Split Territory Licensed Products ranging from the low-single digits to mid-single digits, depending on whether we use Sanofi-Genzyme technology in a Split Territory Licensed Product or the VY-SMN101 Product. If Sanofi-Genzyme exercises its option to co-commercialize VY-HTT01 in the United States, we will share any profits or losses from VY-HTT01 product sales.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 Remedies</w:t>
      </w:r>
    </w:p>
    <w:p>
      <w:pPr>
        <w:spacing w:after="0" w:line="63"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Our collaboration agreement with Sanofi-Genzyme will continue in effect until the later of (i) the expiration of the last to expire of the option rights and (ii) the expiration of all payment obligations unless sooner terminated by us or Sanofi-Genzyme.</w:t>
      </w:r>
    </w:p>
    <w:p>
      <w:pPr>
        <w:spacing w:after="0" w:line="42" w:lineRule="exact"/>
        <w:rPr>
          <w:sz w:val="20"/>
          <w:szCs w:val="20"/>
          <w:color w:val="auto"/>
        </w:rPr>
      </w:pPr>
    </w:p>
    <w:p>
      <w:pPr>
        <w:ind w:right="80" w:firstLine="648"/>
        <w:spacing w:after="0" w:line="281" w:lineRule="auto"/>
        <w:rPr>
          <w:sz w:val="20"/>
          <w:szCs w:val="20"/>
          <w:color w:val="auto"/>
        </w:rPr>
      </w:pPr>
      <w:r>
        <w:rPr>
          <w:rFonts w:ascii="Arial" w:cs="Arial" w:eastAsia="Arial" w:hAnsi="Arial"/>
          <w:sz w:val="16"/>
          <w:szCs w:val="16"/>
          <w:color w:val="auto"/>
        </w:rPr>
        <w:t>We and Sanofi-Genzyme have customary termination rights including the right to terminate for an uncured material breach of the agreement committed by the other party and Sanofi-Genzyme has the right to terminate for convenience.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University of Massachusetts</w:t>
      </w:r>
    </w:p>
    <w:p>
      <w:pPr>
        <w:spacing w:after="0" w:line="63"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 government 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United States, and UMass reserves the right to use the licensed patents for education and research and, with our consent, for non-commercial patient care, without the payment of any compensation to us.</w:t>
      </w:r>
    </w:p>
    <w:p>
      <w:pPr>
        <w:spacing w:after="0" w:line="40" w:lineRule="exact"/>
        <w:rPr>
          <w:sz w:val="20"/>
          <w:szCs w:val="20"/>
          <w:color w:val="auto"/>
        </w:rPr>
      </w:pPr>
    </w:p>
    <w:p>
      <w:pPr>
        <w:ind w:right="360" w:firstLine="648"/>
        <w:spacing w:after="0" w:line="239" w:lineRule="auto"/>
        <w:rPr>
          <w:sz w:val="20"/>
          <w:szCs w:val="20"/>
          <w:color w:val="auto"/>
        </w:rPr>
      </w:pPr>
      <w:r>
        <w:rPr>
          <w:rFonts w:ascii="Arial" w:cs="Arial" w:eastAsia="Arial" w:hAnsi="Arial"/>
          <w:sz w:val="16"/>
          <w:szCs w:val="16"/>
          <w:color w:val="auto"/>
        </w:rPr>
        <w:t>In consideration for rights granted to us under the agreement, we made an upfront payment of $0.2 million to UMass. We are obligated to pay UMass (i) low-single digit royalty payments based on net sales of the licensed products,</w:t>
      </w:r>
    </w:p>
    <w:p>
      <w:pPr>
        <w:ind w:left="260" w:hanging="257"/>
        <w:spacing w:after="0" w:line="216"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 maintenance payments of $30.0 thousand, which are creditable against royalties payable in such period,</w:t>
      </w:r>
    </w:p>
    <w:p>
      <w:pPr>
        <w:ind w:right="300" w:firstLine="3"/>
        <w:spacing w:after="0" w:line="236"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$0.7 million for patent related expenses incurred by UMass as of the effective date of the agreement over a two year period.</w:t>
      </w:r>
    </w:p>
    <w:p>
      <w:pPr>
        <w:spacing w:after="0" w:line="28" w:lineRule="exact"/>
        <w:rPr>
          <w:sz w:val="20"/>
          <w:szCs w:val="20"/>
          <w:color w:val="auto"/>
        </w:rPr>
      </w:pPr>
    </w:p>
    <w:p>
      <w:pPr>
        <w:jc w:val="both"/>
        <w:ind w:right="660" w:firstLine="648"/>
        <w:spacing w:after="0" w:line="289" w:lineRule="auto"/>
        <w:rPr>
          <w:sz w:val="20"/>
          <w:szCs w:val="20"/>
          <w:color w:val="auto"/>
        </w:rPr>
      </w:pPr>
      <w:r>
        <w:rPr>
          <w:rFonts w:ascii="Arial" w:cs="Arial" w:eastAsia="Arial" w:hAnsi="Arial"/>
          <w:sz w:val="16"/>
          <w:szCs w:val="16"/>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3"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agreement will terminate on the date that is the later of (i) seven years after the first commercial sale of the last licensed product under the agreement or (ii) 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MassBiologics and UMass Collaboration Agreement</w:t>
      </w:r>
    </w:p>
    <w:p>
      <w:pPr>
        <w:spacing w:after="0" w:line="50"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November 2014, we agreed to the first project under this agreement whereby we will fund approximately</w:t>
      </w:r>
    </w:p>
    <w:p>
      <w:pPr>
        <w:ind w:right="40"/>
        <w:spacing w:after="0" w:line="218" w:lineRule="auto"/>
        <w:rPr>
          <w:sz w:val="20"/>
          <w:szCs w:val="20"/>
          <w:color w:val="auto"/>
        </w:rPr>
      </w:pPr>
      <w:r>
        <w:rPr>
          <w:rFonts w:ascii="Arial" w:cs="Arial" w:eastAsia="Arial" w:hAnsi="Arial"/>
          <w:sz w:val="18"/>
          <w:szCs w:val="18"/>
          <w:color w:val="auto"/>
        </w:rPr>
        <w:t>$2.9 million over a 16-month period for certain research and development services performed by MassBiologics. The project commenced in January 2015 and completed during 2016. We and UMass and/or MassBiologics may agree to conduct other projects in the future, the terms of which will be agreed upon at such time.</w:t>
      </w:r>
    </w:p>
    <w:p>
      <w:pPr>
        <w:spacing w:after="0" w:line="4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This agreement will remain in effect for a period of five years and automatically renews for additional one 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2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REGENX</w:t>
      </w:r>
    </w:p>
    <w:p>
      <w:pPr>
        <w:spacing w:after="0" w:line="6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6"/>
          <w:szCs w:val="16"/>
          <w:color w:val="auto"/>
        </w:rPr>
        <w:t>In May 2014, we entered into a license agreement with REGENXBIO Inc., formerly known as ReGenX Biosciences, LLC, or REGENX, for the development and commercialization of gene therapies to treat ALS, Friedreich's ataxia and Huntington's disease. Under this license agreement, REGENX granted us a non-exclusive worldwide license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59"/>
        <w:spacing w:after="0" w:line="216" w:lineRule="auto"/>
        <w:rPr>
          <w:sz w:val="20"/>
          <w:szCs w:val="20"/>
          <w:color w:val="auto"/>
        </w:rPr>
      </w:pPr>
      <w:r>
        <w:rPr>
          <w:rFonts w:ascii="Arial" w:cs="Arial" w:eastAsia="Arial" w:hAnsi="Arial"/>
          <w:sz w:val="18"/>
          <w:szCs w:val="18"/>
          <w:color w:val="auto"/>
        </w:rPr>
        <w:t>to make, have made and use its technology solely for internal research and preclinical development for the identification of specific vectors that could be commercialized. Following identification, we have an option to obtain a non-exclusive worldwide license under the licensed intellectual property to a single specified AAV vector to make, have made, use, import, sell and offer for sale licensed products using the selected vector, which can be exercised for each of ALS, Friedreich's ataxia, or Huntington's disease.</w:t>
      </w:r>
    </w:p>
    <w:p>
      <w:pPr>
        <w:spacing w:after="0" w:line="41" w:lineRule="exact"/>
        <w:rPr>
          <w:sz w:val="20"/>
          <w:szCs w:val="20"/>
          <w:color w:val="auto"/>
        </w:rPr>
      </w:pPr>
    </w:p>
    <w:p>
      <w:pPr>
        <w:ind w:right="19" w:firstLine="648"/>
        <w:spacing w:after="0" w:line="239" w:lineRule="auto"/>
        <w:rPr>
          <w:sz w:val="20"/>
          <w:szCs w:val="20"/>
          <w:color w:val="auto"/>
        </w:rPr>
      </w:pPr>
      <w:r>
        <w:rPr>
          <w:rFonts w:ascii="Arial" w:cs="Arial" w:eastAsia="Arial" w:hAnsi="Arial"/>
          <w:sz w:val="16"/>
          <w:szCs w:val="16"/>
          <w:color w:val="auto"/>
        </w:rPr>
        <w:t>Under the terms of this license agreement, we paid REGENX an upfront fee of $0.5 million, an extension fee of $0.1 million and are required to make an annual maintenance fee in the five digits. If we exercise any or all of the commercial options by a specified date, we will be required to make upfront payments to REGENX of up to $1.5 million and to pay to REGENX an annual maintenance fee payment ranging from five digits to six digits depending on the number of disease indication options exercised. In addition, we will be required to pay to REGENX up to $5.0 million in milestone fees per disease indication, mid- to high-single digit royalty percentages on net sales of licensed products, and low- to mid-single digit percentages of any sublicense fees that we receive from sublicensees for the licensed intellectual property rights.</w:t>
      </w:r>
    </w:p>
    <w:p>
      <w:pPr>
        <w:spacing w:after="0" w:line="27"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Our license agreement with REGENX will expire upon the expiration, lapse, abandonment, or invalidation of the last claim of the licensed intellectual property to expire, lapse, or become abandoned or unenforceable in all the countries of the world. The license agreement will automatically terminate if we do not exercise any commercial options within a specified time period after entering into the license agreement, which may be extended. We may terminate the license agreement upon a specified number of days prior written notice. REGENX may terminate the license agreement if we, our affiliates, or sublicensees experience insolvency, if we are more than a specified number of days late in paying money due under the license agreement, or, effective immediately, if we or our affiliates commence any action against REGENX or its licensors to declare or render any claim of the licensed patent rights invalid or unenforceable. Either party may terminate the license agreement for material breach that is not cured within a specified number of days.</w:t>
      </w:r>
    </w:p>
    <w:p>
      <w:pPr>
        <w:spacing w:after="0" w:line="46" w:lineRule="exact"/>
        <w:rPr>
          <w:sz w:val="20"/>
          <w:szCs w:val="20"/>
          <w:color w:val="auto"/>
        </w:rPr>
      </w:pPr>
    </w:p>
    <w:p>
      <w:pPr>
        <w:ind w:right="19" w:firstLine="693"/>
        <w:spacing w:after="0" w:line="212" w:lineRule="auto"/>
        <w:rPr>
          <w:sz w:val="20"/>
          <w:szCs w:val="20"/>
          <w:color w:val="auto"/>
        </w:rPr>
      </w:pPr>
      <w:r>
        <w:rPr>
          <w:rFonts w:ascii="Arial" w:cs="Arial" w:eastAsia="Arial" w:hAnsi="Arial"/>
          <w:sz w:val="18"/>
          <w:szCs w:val="18"/>
          <w:color w:val="auto"/>
        </w:rPr>
        <w:t>In November 2016, Voyager exercised commercial options for the use of REGENXBIO’s NAV® Technology Platform, or NAV, vectors for the development and commercialization of gene therapies for specific neurological diseases. Upon exercise of the options, REGENXBIO has granted Voyager a non-exclusive worldwide commercial license, with rights to sublicense, to three specific NAV vector sequences covered by REGENXBIO’s NAV Technology Platform, each for the treatment of a specific neurological disease. In return for these rights, REGENXBIO will receive undisclosed upfront payments, ongoing fees, milestone payments and royalties on net sales of products incorporating the licensed intellectual property.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54"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product engine,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41" w:lineRule="exact"/>
        <w:rPr>
          <w:sz w:val="20"/>
          <w:szCs w:val="20"/>
          <w:color w:val="auto"/>
        </w:rPr>
      </w:pPr>
    </w:p>
    <w:p>
      <w:pPr>
        <w:ind w:right="19" w:firstLine="648"/>
        <w:spacing w:after="0" w:line="239" w:lineRule="auto"/>
        <w:rPr>
          <w:sz w:val="20"/>
          <w:szCs w:val="20"/>
          <w:color w:val="auto"/>
        </w:rPr>
      </w:pPr>
      <w:r>
        <w:rPr>
          <w:rFonts w:ascii="Arial" w:cs="Arial" w:eastAsia="Arial" w:hAnsi="Arial"/>
          <w:sz w:val="16"/>
          <w:szCs w:val="16"/>
          <w:color w:val="auto"/>
        </w:rPr>
        <w:t>We are aware of several companies focused on developing gene therapies in various indications, including bluebird bio, Inc., Abeona Therapeutics, Inc., Adverum Biotechnologies, Inc., Agilis Biotherapeutics, LLC, Applied Genetic Technologies Corporation, Asklepios BioPharmaceutical, Inc., Audentes Therapeutics, Inc., AveXis, Inc., Bamboo Therapeutics (now Pfizer Inc., or Pfizer), Dimension Therapeutics, Inc., GenSight Biologics SA, MeiraGTx Ltd., NightstaRx Ltd, REGENXBio Inc., uniQure NV, or uniQure, and Spark Therapeutics, Inc. or Spark,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We expect that VY-AADC01 will compete with a variety of therapies currently marketed and in development for advanced Parkinson's disease, including DBS marketed by Medtronic plc, Abbott Laboratories (recently acquired from St Jude Medical), and other medical device companies, DUOPA/Duodopa marketed by AbbVie Inc., as well as other novel, non-oral forms of levodopa in development, including NeuroDerm’s ND0612, Acorda Therapeutic’s CVT-301, and sublingual apomorphine in development at Sunovion Pharmaceuticals (acquired from Cynapsus Therapeutics). Gene therapy competition for advanced Parkinson’s disease previously included AMT-090 or AAV-GDNF, but this was recently deprioritized by uniQure. Oxford Biomedica plc could commence a Phase 1/2 trial in 2017 of OXB-102/Prosavin subject to successfully out-licensing or spinning out the product.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23" w:lineRule="exact"/>
        <w:rPr>
          <w:sz w:val="20"/>
          <w:szCs w:val="20"/>
          <w:color w:val="auto"/>
        </w:rPr>
      </w:pPr>
    </w:p>
    <w:p>
      <w:pPr>
        <w:ind w:left="740" w:right="339" w:hanging="89"/>
        <w:spacing w:after="0" w:line="21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VY-SOD101 for a monogenic form of ALS will potentially compete with IONIS-SOD1R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Pharmaceuticals, Inc., or Ionis, in collaboration with Biogen, and Tirasemtiv being developed by Cytokinetics, Inc., or Cytokinetics;</w:t>
      </w:r>
    </w:p>
    <w:p>
      <w:pPr>
        <w:spacing w:after="0" w:line="176" w:lineRule="exact"/>
        <w:rPr>
          <w:rFonts w:ascii="Arial" w:cs="Arial" w:eastAsia="Arial" w:hAnsi="Arial"/>
          <w:sz w:val="18"/>
          <w:szCs w:val="18"/>
          <w:color w:val="auto"/>
        </w:rPr>
      </w:pPr>
    </w:p>
    <w:p>
      <w:pPr>
        <w:ind w:left="740" w:right="99" w:hanging="89"/>
        <w:spacing w:after="0" w:line="23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AAV-FXN being developed by Adverum Biotechnologies, AAV-FXN being developed by Bamboo Therapeutics (now Pfizer Inc., or Pfizer), and frataxin targeted gene therapy being developed by Agilis Biotherapeutics, LLC in collaboration with Intrexon Corporation and BB-FA being developed by BioBlast Pharma Ltd., or BioBlast;</w:t>
      </w:r>
    </w:p>
    <w:p>
      <w:pPr>
        <w:spacing w:after="0" w:line="46" w:lineRule="exact"/>
        <w:rPr>
          <w:rFonts w:ascii="Arial" w:cs="Arial" w:eastAsia="Arial" w:hAnsi="Arial"/>
          <w:sz w:val="18"/>
          <w:szCs w:val="18"/>
          <w:color w:val="auto"/>
        </w:rPr>
      </w:pPr>
    </w:p>
    <w:p>
      <w:pPr>
        <w:ind w:left="740" w:right="39" w:hanging="8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IONIS-HTTR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in collaboration with F. Hoffmann-La Roche Ltd., or Roche, WVE-120101 being developed by WAVE Life Sciences, a gene editing approach being developed by Sangamo Biosciences, Inc. in collaboration with Shire plc, and gene therapies being developed by uniQure and Spark;</w:t>
      </w:r>
    </w:p>
    <w:p>
      <w:pPr>
        <w:spacing w:after="0" w:line="108" w:lineRule="exact"/>
        <w:rPr>
          <w:rFonts w:ascii="Arial" w:cs="Arial" w:eastAsia="Arial" w:hAnsi="Arial"/>
          <w:sz w:val="18"/>
          <w:szCs w:val="18"/>
          <w:color w:val="auto"/>
        </w:rPr>
      </w:pPr>
    </w:p>
    <w:p>
      <w:pPr>
        <w:ind w:left="740" w:right="39" w:hanging="89"/>
        <w:spacing w:after="0" w:line="264"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VY-TAU01 for FTD/Alzheimer’s disease will potentially compete with Tau antibodies being developed by Roche Genentech Inc. in collaboration with AC Immune SA, Eli Lilly &amp; Co., Bristol-Myers Squibb, AbbVie Inc., Biogen Inc., and several other companies, as well as an antisense oligonucleotide program being developed by Ionis; and</w:t>
      </w:r>
    </w:p>
    <w:p>
      <w:pPr>
        <w:spacing w:after="0" w:line="1" w:lineRule="exact"/>
        <w:rPr>
          <w:rFonts w:ascii="Arial" w:cs="Arial" w:eastAsia="Arial" w:hAnsi="Arial"/>
          <w:sz w:val="16"/>
          <w:szCs w:val="16"/>
          <w:color w:val="auto"/>
        </w:rPr>
      </w:pPr>
    </w:p>
    <w:p>
      <w:pPr>
        <w:ind w:left="740" w:right="159" w:hanging="89"/>
        <w:spacing w:after="0" w:line="23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VY-NAV01 for severe, chronic pain will potentially compete with Na</w:t>
      </w:r>
      <w:r>
        <w:rPr>
          <w:rFonts w:ascii="Arial" w:cs="Arial" w:eastAsia="Arial" w:hAnsi="Arial"/>
          <w:sz w:val="30"/>
          <w:szCs w:val="30"/>
          <w:color w:val="auto"/>
          <w:vertAlign w:val="subscript"/>
        </w:rPr>
        <w:t>v</w:t>
      </w:r>
      <w:r>
        <w:rPr>
          <w:rFonts w:ascii="Arial" w:cs="Arial" w:eastAsia="Arial" w:hAnsi="Arial"/>
          <w:sz w:val="18"/>
          <w:szCs w:val="18"/>
          <w:color w:val="auto"/>
        </w:rPr>
        <w:t>1.7 inhibitors being developed by Pfizer, Teva Pharmaceuticals, Biogen Inc., Roche Genentech Inc. in collaboration with Xenon Pharmaceuticals, Amgen, and Astellas Pharma Inc.</w:t>
      </w:r>
    </w:p>
    <w:p>
      <w:pPr>
        <w:spacing w:after="0" w:line="202"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In addition, companies that are currently engaged in gene therapy for non-CNS diseases could at any time decide to develop gene therapies for CNS diseases.</w:t>
      </w:r>
    </w:p>
    <w:p>
      <w:pPr>
        <w:spacing w:after="0" w:line="40" w:lineRule="exact"/>
        <w:rPr>
          <w:sz w:val="20"/>
          <w:szCs w:val="20"/>
          <w:color w:val="auto"/>
        </w:rPr>
      </w:pPr>
    </w:p>
    <w:p>
      <w:pPr>
        <w:ind w:right="99" w:firstLine="648"/>
        <w:spacing w:after="0" w:line="239" w:lineRule="auto"/>
        <w:rPr>
          <w:sz w:val="20"/>
          <w:szCs w:val="20"/>
          <w:color w:val="auto"/>
        </w:rPr>
      </w:pPr>
      <w:r>
        <w:rPr>
          <w:rFonts w:ascii="Arial" w:cs="Arial" w:eastAsia="Arial" w:hAnsi="Arial"/>
          <w:sz w:val="16"/>
          <w:szCs w:val="16"/>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27" w:lineRule="exact"/>
        <w:rPr>
          <w:sz w:val="20"/>
          <w:szCs w:val="20"/>
          <w:color w:val="auto"/>
        </w:rPr>
      </w:pPr>
    </w:p>
    <w:p>
      <w:pPr>
        <w:ind w:right="139" w:firstLine="648"/>
        <w:spacing w:after="0" w:line="214" w:lineRule="auto"/>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40" w:firstLine="648"/>
        <w:spacing w:after="0" w:line="219" w:lineRule="auto"/>
        <w:rPr>
          <w:sz w:val="20"/>
          <w:szCs w:val="20"/>
          <w:color w:val="auto"/>
        </w:rPr>
      </w:pPr>
      <w:r>
        <w:rPr>
          <w:rFonts w:ascii="Arial" w:cs="Arial" w:eastAsia="Arial" w:hAnsi="Arial"/>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4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67"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 AAV production system, a technology for producing AAV vectors at scale in insect-derived cells. The process has been successfully transferred to our contract manufacturing organizations where it is used in manufacturing clinical materials in accordance with the FDA’s current good manufacturing practices, or cGMPs. We are also building an onsite, state-of-the-art process research and development facility to enable the manufacturing of high quality AAV gene therapies.</w:t>
      </w:r>
    </w:p>
    <w:p>
      <w:pPr>
        <w:spacing w:after="0" w:line="46"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63"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We strive to protect the proprietary technology, inventions, and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30"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have 28 patent applications pending in the United States and foreign jurisdictions. At least 14 patent applications have been filed and are pending in the United States and foreign jurisdictions by or on behalf of universities which have granted us exclusive license rights to the technology. To date, 61 patents have issued to our licensors which have granted us exclusive license rights to the technology. To date, 96 patents have issued to our licensors which have granted us non-exclusive license rights to the technology with 38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 (PD)</w:t>
      </w:r>
    </w:p>
    <w:p>
      <w:pPr>
        <w:spacing w:after="0" w:line="63"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We own three pending patent families with a total of five patent applications directed to AAV constructs encoding the gene AADC for therapeutic uses. Patents that grant from this patent family are generally expected to start to expire in 2035,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Amyotrophic Lateral Sclerosis (ALS)</w:t>
      </w:r>
    </w:p>
    <w:p>
      <w:pPr>
        <w:spacing w:after="0" w:line="50"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own two pending patent families with a total of two patent applications directed to targeting SOD1 for the treatment of ALS and we have filed a third patent family with one patent application directed to pharmaceutical compositions and methods for the treatment of ALS to protect our intellectual property arising from a funded grant from The Amyotrophic Lateral Sclerosis Association. Patents that grant from these patent families are generally expected to start to expire in 2035, subject to possible patent term extensions.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Friedreich’s Ataxia (FA) and Delivery</w:t>
      </w:r>
    </w:p>
    <w:p>
      <w:pPr>
        <w:spacing w:after="0" w:line="6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We own two pending patent families with the first family having one patent application directed to delivery of AAV gene therapies to the CNS and AAVs encoding frataxin constructs for the treatment of Friedreich's Ataxia and the second family having one patent application directed to the delivery of AAV gene therapies to the CNS. Patents that grant from this patent family are generally expected to start to expire in 2036, subject to possible patent term extensions.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Huntington’s Disease (HD)</w:t>
      </w:r>
    </w:p>
    <w:p>
      <w:pPr>
        <w:spacing w:after="0" w:line="63"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We own one pending patent family with one patent application directed to pharmaceutical compositions and methods for targeting HTT for the treatment of HD. Patents from this family are generally expected to start to expire in 2037,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Tauopathies and Antibodies</w:t>
      </w:r>
    </w:p>
    <w:p>
      <w:pPr>
        <w:spacing w:after="0" w:line="50"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We own five pending patent families directed to antibodies with a total of nine patent applications. The first patent family has two patent applications directed to assays for the detection of neutralizing antibodies. The other four patent families have a total of seven patent applications directed to vectorized antibodies. Patents from these families are generally expected to start to expire in 2036, subject to possible patent term extensions.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Neuropathic Pain</w:t>
      </w:r>
    </w:p>
    <w:p>
      <w:pPr>
        <w:spacing w:after="0" w:line="63"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We own one pending patent family with one patent application directed to pharmaceutical compositions and methods for the treatment of neuropathic pain. Patents from this family are generally expected to start to expire in 2037, subject to possible patent term extensions.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Regulatable Expression</w:t>
      </w:r>
    </w:p>
    <w:p>
      <w:pPr>
        <w:spacing w:after="0" w:line="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own two pending patent families with a total of two patent applications directed to regulatable expression control of AAV transgenes. Patents that grant from this patent family are generally expected to start to expire in 2036,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Vector Engineering and Production</w:t>
      </w:r>
    </w:p>
    <w:p>
      <w:pPr>
        <w:spacing w:after="0" w:line="50"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own four pending patent families directed to AAV production and/or engineering. The first family has two patent applications directed to capsid engineering and domain swapping and AAV production . The second family has one patent application directed to the production of scAAV particles. The last two families have a total of two patent applications directed to the design of AAV drug delivery cassettes. Patents that grant from this patent family are generally expected to start to expire in 2035, subject to possible patent term extensions.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63"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We have obtained exclusive licenses and non-exclusive licenses to patents directed to both compositions of matter and methods of use.</w:t>
      </w:r>
    </w:p>
    <w:p>
      <w:pPr>
        <w:spacing w:after="0" w:line="27"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We have licensed six families of patents and patent applications, in the exclusive field of gene therapy for human diseases, directed to RNAi constructs as vector payloads, their design and use in the treatment of CNS disorders from the University of Massachusetts. These families of patents and applications are pending and/or granted in the United States and other territories and comprises 62 granted patents and 12 applications. Patents have been granted in the United States, Canada, Europe, Israel, Japan, Korea and Australia. Nationalization for some members has taken place in Germany, Spain, France, Great Britain, Italy, and Netherlands. Patents that grant from these patent families are generally expected to expire between 2022 and 2025, subject to possible patent term extensions.</w:t>
      </w:r>
    </w:p>
    <w:p>
      <w:pPr>
        <w:spacing w:after="0" w:line="4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have exclusively licensed three families of patents and patent applications directed to novel AAV capsids from the University of Massachusetts. These families of patents and applications, pending and/or granted in the United States and other territories, and comprises 14 granted patents and 8 applications. Patents have been granted in the United States, Europe and Japan. Nationalization for some members has taken place in Switzerland, Germany, Denmark, Spain, France, Great Britain, Ireland, Italy, Netherlands, and Sweden. Patents that grant from these patent families are generally expected to expire between 2030 and 2035, subject to possible patent term extensions.</w:t>
      </w:r>
    </w:p>
    <w:p>
      <w:pPr>
        <w:spacing w:after="0" w:line="44"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 Great Britain and comprises eight granted patents. Patents that grant from this patent family are generally expected to expire in 2022, subject to possible patent term extensions.</w:t>
      </w:r>
    </w:p>
    <w:p>
      <w:pPr>
        <w:spacing w:after="0" w:line="20" w:lineRule="exact"/>
        <w:rPr>
          <w:sz w:val="20"/>
          <w:szCs w:val="20"/>
          <w:color w:val="auto"/>
        </w:rPr>
      </w:pPr>
    </w:p>
    <w:p>
      <w:pPr>
        <w:ind w:right="300" w:firstLine="648"/>
        <w:spacing w:after="0" w:line="249" w:lineRule="auto"/>
        <w:rPr>
          <w:sz w:val="20"/>
          <w:szCs w:val="20"/>
          <w:color w:val="auto"/>
        </w:rPr>
      </w:pPr>
      <w:r>
        <w:rPr>
          <w:rFonts w:ascii="Arial" w:cs="Arial" w:eastAsia="Arial" w:hAnsi="Arial"/>
          <w:sz w:val="16"/>
          <w:szCs w:val="16"/>
          <w:color w:val="auto"/>
        </w:rPr>
        <w:t>We have non-exclusively licensed two families of patents and patent applications directed to novel AAV capsids from the Board of Trustees of the Leland Stanford Junior University. These families of patents and applications, pending and/or granted in the United States, comprise 6 granted patents and 3 applications. Patents that grant from these patent families are generally expected to expire between 2027 and 2032, subject to possible patent term extensions.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have non-exclusively licensed two families of patents and patent applications directed to AAV capsids from REGENXBIO® Inc. These families of patents and patent applications are pending and/or granted in the United States and other territories and comprises 66 granted patents and 22 applications. Patents have been granted in Australia, Brazil, Canada, China, Europe, Hong Kong, Israel, India, Japan, Korea, Mexico, New Zealand, Philippines, Singapore, and the United States. Patents that grant from these patent families are generally expected to expire between 2022 and 2024, subject to possible patent term extensions.</w:t>
      </w:r>
    </w:p>
    <w:p>
      <w:pPr>
        <w:spacing w:after="0" w:line="4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We have non-exclusively licensed three families of patent applications directed to AAV capsids from the California Institute of Technology. These families are pending in the United States and have been filed Internationally. Patents that grant from these patent families are generally expected to start to expire in 2034, subject to possible patent term extensions.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63" w:lineRule="exact"/>
        <w:rPr>
          <w:sz w:val="20"/>
          <w:szCs w:val="20"/>
          <w:color w:val="auto"/>
        </w:rPr>
      </w:pPr>
    </w:p>
    <w:p>
      <w:pPr>
        <w:jc w:val="both"/>
        <w:ind w:right="720" w:firstLine="648"/>
        <w:spacing w:after="0" w:line="224" w:lineRule="auto"/>
        <w:rPr>
          <w:sz w:val="20"/>
          <w:szCs w:val="20"/>
          <w:color w:val="auto"/>
        </w:rPr>
      </w:pPr>
      <w:r>
        <w:rPr>
          <w:rFonts w:ascii="Arial" w:cs="Arial" w:eastAsia="Arial" w:hAnsi="Arial"/>
          <w:sz w:val="18"/>
          <w:szCs w:val="18"/>
          <w:color w:val="auto"/>
        </w:rPr>
        <w:t>We have filed and obtained trademark protection for the VOYAGER THERAPEUTICS character mark for pharmaceutical research and development in the field of gene therapy. The mark is listed on the Principal Register, Registration No. 4545283.</w:t>
      </w:r>
    </w:p>
    <w:p>
      <w:pPr>
        <w:spacing w:after="0" w:line="42" w:lineRule="exact"/>
        <w:rPr>
          <w:sz w:val="20"/>
          <w:szCs w:val="20"/>
          <w:color w:val="auto"/>
        </w:rPr>
      </w:pPr>
    </w:p>
    <w:p>
      <w:pPr>
        <w:ind w:right="500" w:firstLine="648"/>
        <w:spacing w:after="0" w:line="224" w:lineRule="auto"/>
        <w:rPr>
          <w:sz w:val="20"/>
          <w:szCs w:val="20"/>
          <w:color w:val="auto"/>
        </w:rPr>
      </w:pPr>
      <w:r>
        <w:rPr>
          <w:rFonts w:ascii="Arial" w:cs="Arial" w:eastAsia="Arial" w:hAnsi="Arial"/>
          <w:sz w:val="18"/>
          <w:szCs w:val="18"/>
          <w:color w:val="auto"/>
        </w:rPr>
        <w:t>We have filed and obtained trademark protection for the VOYAGER THERAPEUTICS service mark logo for pharmaceutical research and development in the field of gene therapy. The mark is listed on the Principal Register, Registration No. 4621083.</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register trademarks in connection with our biological products.</w:t>
      </w:r>
    </w:p>
    <w:p>
      <w:pPr>
        <w:spacing w:after="0" w:line="63"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5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40"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54"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purity, potency, efficacy, labeling, packaging, storage, record keeping,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color w:val="auto"/>
        </w:rPr>
        <w:t>distribution, import, export, reporting, advertising and other promotional practices involving biological products. FDA approval must be obtained before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44"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Within CBER, the Office of Tissues and Advanced Therapies (OTAT) is responsible for gene therapy review and evaluation.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63"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40" w:lineRule="exact"/>
        <w:rPr>
          <w:sz w:val="20"/>
          <w:szCs w:val="20"/>
          <w:color w:val="auto"/>
        </w:rPr>
      </w:pPr>
    </w:p>
    <w:p>
      <w:pPr>
        <w:ind w:left="740" w:right="160" w:hanging="89"/>
        <w:spacing w:after="0" w:line="241"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completion of nonclinical laboratory tests and animal studies according to good laboratory practice, or GLPs, and applicable requirements for the humane use of laboratory animals or other applicable regulations;</w:t>
      </w:r>
    </w:p>
    <w:p>
      <w:pPr>
        <w:spacing w:after="0" w:line="1" w:lineRule="exact"/>
        <w:rPr>
          <w:rFonts w:ascii="Arial" w:cs="Arial" w:eastAsia="Arial" w:hAnsi="Arial"/>
          <w:sz w:val="17"/>
          <w:szCs w:val="17"/>
          <w:color w:val="auto"/>
        </w:rPr>
      </w:pPr>
    </w:p>
    <w:p>
      <w:pPr>
        <w:ind w:left="740" w:hanging="89"/>
        <w:spacing w:after="0" w:line="219"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ind w:left="740" w:hanging="89"/>
        <w:spacing w:after="0" w:line="219"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purity and potency, or efficacy, of the proposed biological product for its intended use;</w:t>
      </w:r>
    </w:p>
    <w:p>
      <w:pPr>
        <w:ind w:left="740" w:right="760" w:hanging="89"/>
        <w:spacing w:after="0" w:line="246"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submission to the FDA of a Biologics License Application, or BLA, for marketing approval that includes substantive evidence of safety, purity, and potency from results of nonclinical testing and clinical trials;</w:t>
      </w:r>
    </w:p>
    <w:p>
      <w:pPr>
        <w:ind w:left="740" w:right="560" w:hanging="89"/>
        <w:spacing w:after="0" w:line="232"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ind w:left="740" w:hanging="89"/>
        <w:spacing w:after="0" w:line="232"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study sites that generated the data in support of the BLA; and</w:t>
      </w:r>
    </w:p>
    <w:p>
      <w:pPr>
        <w:ind w:left="780" w:hanging="12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47"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Before testing any biological product candidate, including a gene therapy product, in humans, the product candidate enters the preclinical testing stage. Preclinical tests, also referred to as nonclinical tests,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33"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7"/>
          <w:szCs w:val="17"/>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 Recent changes in the procedures for the RAC process issued by the NIH now include evaluation and assessment by IRBs and may result in some delay before initiation of a clinical trial.</w:t>
      </w:r>
    </w:p>
    <w:p>
      <w:pPr>
        <w:spacing w:after="0" w:line="11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typically continues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28"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trials involving recombinant or synthetic (or both) nucleic acid molecules performed at or sponsored by an institution that receives any NIH funding for such research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63" w:lineRule="exact"/>
        <w:rPr>
          <w:sz w:val="20"/>
          <w:szCs w:val="20"/>
          <w:color w:val="auto"/>
        </w:rPr>
      </w:pPr>
    </w:p>
    <w:p>
      <w:pPr>
        <w:ind w:left="740" w:right="260" w:hanging="89"/>
        <w:spacing w:after="0" w:line="238"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biological product is initially introduced into healthy human subjects and tested for safety.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case of some products for severe or life-threatening diseases, especially when the product may be too inherently toxic to ethically administer to healthy volunteers, the initial human testing is often conducted in</w:t>
      </w:r>
    </w:p>
    <w:p>
      <w:pPr>
        <w:spacing w:after="0" w:line="1" w:lineRule="exact"/>
        <w:rPr>
          <w:rFonts w:ascii="Arial" w:cs="Arial" w:eastAsia="Arial" w:hAnsi="Arial"/>
          <w:sz w:val="17"/>
          <w:szCs w:val="17"/>
          <w:color w:val="auto"/>
        </w:rPr>
      </w:pPr>
    </w:p>
    <w:p>
      <w:pPr>
        <w:ind w:left="740" w:right="40"/>
        <w:spacing w:after="0" w:line="246" w:lineRule="auto"/>
        <w:rPr>
          <w:rFonts w:ascii="Arial" w:cs="Arial" w:eastAsia="Arial" w:hAnsi="Arial"/>
          <w:sz w:val="17"/>
          <w:szCs w:val="17"/>
          <w:color w:val="auto"/>
        </w:rPr>
      </w:pPr>
      <w:r>
        <w:rPr>
          <w:rFonts w:ascii="Arial" w:cs="Arial" w:eastAsia="Arial" w:hAnsi="Arial"/>
          <w:sz w:val="16"/>
          <w:szCs w:val="16"/>
          <w:color w:val="auto"/>
        </w:rPr>
        <w:t>patients. Guidelines on clinical trials with gene therapy products issued by OTAT state that the FDA has determined that the benefit-risk ratio of these products does not warrant their evaluation in healthy human subjects.</w:t>
      </w:r>
    </w:p>
    <w:p>
      <w:pPr>
        <w:ind w:left="740" w:right="20" w:hanging="89"/>
        <w:spacing w:after="0" w:line="22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biological product is evaluated in a limited patient population to identify possible adverse effects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risks, to preliminarily evaluate the efficacy of the product for specific targeted diseases and to determine dosage tolerance, optimal dosage and dosing schedule.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380" w:hanging="89"/>
        <w:spacing w:after="0" w:line="276" w:lineRule="auto"/>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are undertaken to further evaluate dosage, clinical efficacy, potency and safety in an</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patient population at geographically dispersed clinical trial sites. These clinical trials are intended to establish the overall risk/benefit ratio of the product and provide an adequate basis for product labeling.</w:t>
      </w:r>
    </w:p>
    <w:p>
      <w:pPr>
        <w:spacing w:after="0" w:line="27"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trial subjects.</w:t>
      </w:r>
    </w:p>
    <w:p>
      <w:pPr>
        <w:spacing w:after="0" w:line="2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44"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4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63" w:lineRule="exact"/>
        <w:rPr>
          <w:sz w:val="20"/>
          <w:szCs w:val="20"/>
          <w:color w:val="auto"/>
        </w:rPr>
      </w:pPr>
    </w:p>
    <w:p>
      <w:pPr>
        <w:ind w:right="140" w:firstLine="648"/>
        <w:spacing w:after="0" w:line="226" w:lineRule="auto"/>
        <w:rPr>
          <w:sz w:val="20"/>
          <w:szCs w:val="20"/>
          <w:color w:val="auto"/>
        </w:rPr>
      </w:pPr>
      <w:r>
        <w:rPr>
          <w:rFonts w:ascii="Arial" w:cs="Arial" w:eastAsia="Arial" w:hAnsi="Arial"/>
          <w:sz w:val="17"/>
          <w:szCs w:val="17"/>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41" w:lineRule="exact"/>
        <w:rPr>
          <w:sz w:val="20"/>
          <w:szCs w:val="20"/>
          <w:color w:val="auto"/>
        </w:rPr>
      </w:pPr>
    </w:p>
    <w:p>
      <w:pPr>
        <w:jc w:val="both"/>
        <w:ind w:right="140" w:firstLine="648"/>
        <w:spacing w:after="0" w:line="234" w:lineRule="auto"/>
        <w:rPr>
          <w:sz w:val="20"/>
          <w:szCs w:val="20"/>
          <w:color w:val="auto"/>
        </w:rPr>
      </w:pPr>
      <w:r>
        <w:rPr>
          <w:rFonts w:ascii="Arial" w:cs="Arial" w:eastAsia="Arial" w:hAnsi="Arial"/>
          <w:sz w:val="16"/>
          <w:szCs w:val="16"/>
          <w:color w:val="auto"/>
        </w:rPr>
        <w:t>Under the Prescription Drug User Fee Act, or PDUFA, as amended, each BLA must be accompanied by a user fee. The FDA adjusts the PDUFA user fees on an annual basis. PDUFA also imposes an annual product fee for biologics and an annual establishment fee on facilities used to manufacture prescription biologics. Fee waivers or reductions are available in certain circumstances, including a waiver of the application fee for the first application filed by a small business.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Additionally, no user fees are assessed on BLAs for products designated as orphan drugs, unless the product also includes a non-orphan indication.</w:t>
      </w:r>
    </w:p>
    <w:p>
      <w:pPr>
        <w:spacing w:after="0" w:line="26"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to file.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4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4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32"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color w:val="auto"/>
        </w:rPr>
        <w:t>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41"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63"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41"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8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6"/>
          <w:szCs w:val="16"/>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5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46"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50"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 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4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 FDA may give a priority review designation to biological products that treats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are also likely to be considered appropriate to receive a priority review.</w:t>
      </w:r>
    </w:p>
    <w:p>
      <w:pPr>
        <w:spacing w:after="0" w:line="41"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4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Moreover, under the Food and Drug Administration Safety and Innovation Act, or FDASIA, enacted in 2012, a sponsor can request designation of a product candidate as a "breakthrough therapy." A breakthrough therapy is defined as a biological product that is intended, alone or in combination with one or more other drugs, to treat a serious or life-threatening disease or condition, and preliminary clinical evidence indicates that the biological product may demonstrate substantial improvement over existing therapies on one or more clinically significant endpoints, such as substantial treatment effects observed early in clinical development.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33"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for regenerative advanced therapies</w:t>
      </w:r>
    </w:p>
    <w:p>
      <w:pPr>
        <w:spacing w:after="0" w:line="63" w:lineRule="exact"/>
        <w:rPr>
          <w:sz w:val="20"/>
          <w:szCs w:val="20"/>
          <w:color w:val="auto"/>
        </w:rPr>
      </w:pPr>
    </w:p>
    <w:p>
      <w:pPr>
        <w:ind w:right="40" w:firstLine="648"/>
        <w:spacing w:after="0" w:line="230" w:lineRule="auto"/>
        <w:rPr>
          <w:sz w:val="20"/>
          <w:szCs w:val="20"/>
          <w:color w:val="auto"/>
        </w:rPr>
      </w:pPr>
      <w:r>
        <w:rPr>
          <w:rFonts w:ascii="Arial" w:cs="Arial" w:eastAsia="Arial" w:hAnsi="Arial"/>
          <w:sz w:val="16"/>
          <w:szCs w:val="16"/>
          <w:color w:val="auto"/>
        </w:rPr>
        <w:t>As part of the 21st Century Cures Act, Congress recently amended the FD&amp;C Act to create an accelerated approval program for regenerative advanced therapies, which include cell therapies, therapeutic tissue engineering products, human cell and tissue products, and combination products using any such therapies or products. At this time, the FDA has not made a determination of what gene therapy products if any, may qualify as a regenerative advanced therapy based on this definition. Regenerative advanced therapies do not include those human cells, tissues, and cellular and tissue 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drug sponsor may request that FDA designate a drug as a regenerative advanced therapy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review or accelerated approval through</w:t>
      </w:r>
    </w:p>
    <w:p>
      <w:pPr>
        <w:spacing w:after="0" w:line="7" w:lineRule="exact"/>
        <w:rPr>
          <w:sz w:val="20"/>
          <w:szCs w:val="20"/>
          <w:color w:val="auto"/>
        </w:rPr>
      </w:pPr>
    </w:p>
    <w:p>
      <w:pPr>
        <w:ind w:right="40" w:firstLine="3"/>
        <w:spacing w:after="0" w:line="210"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advanced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63"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less any time the applicant failed to act with due diligence. Only one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94"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Patient Protection and Affordable Care Act, or Affordable Care Act, signed into law on March 23, 2010, includes a subtitle called the Biologics Price Competition and Innovation Act of 2009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including clinical pharmacology trials and assessment of immunogenicity.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41"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w:t>
      </w:r>
    </w:p>
    <w:p>
      <w:pPr>
        <w:spacing w:after="0" w:line="1" w:lineRule="exact"/>
        <w:rPr>
          <w:sz w:val="20"/>
          <w:szCs w:val="20"/>
          <w:color w:val="auto"/>
        </w:rPr>
      </w:pPr>
    </w:p>
    <w:p>
      <w:pPr>
        <w:jc w:val="both"/>
        <w:ind w:right="80" w:firstLine="3"/>
        <w:spacing w:after="0" w:line="268"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50"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1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addition, the Affordable Care Act is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Affordable Care Act, among other things, the Affordable Care Act expanded and increased industry rebates for drugs covered under Medicaid programs and made changes to the coverage requirements under the Medicare prescription drug benefit. Some of the provisions of the Affordable Care Act have yet to be fully implemented, while certain provisions have been subject to judicial and Congressional challenges. In January 2017,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Congress voted to adopt a budget resolution for fiscal year 2017, that while not a law, is widely viewed as the first step toward the passage of legislation that would repeal certain aspects of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In the coming years, additional legislative and regulatory changes could be made to governmental health programs that could significantly impact the biopharmaceutical industry and the success of our product candidates. The Affordable Care Act, as well as other federal, state and foreign healthcare reform measures that have been and may be adopted in the future, could harm our future revenues.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5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Corrupt Practices Act</w:t>
      </w:r>
    </w:p>
    <w:p>
      <w:pPr>
        <w:spacing w:after="0" w:line="63"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26"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94"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Pricing and Reimbursement for Biopharmaceutical Products</w:t>
      </w:r>
    </w:p>
    <w:p>
      <w:pPr>
        <w:spacing w:after="0" w:line="63"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and Initial Public Offering</w:t>
      </w:r>
    </w:p>
    <w:p>
      <w:pPr>
        <w:spacing w:after="0" w:line="54"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We were incorporated under the laws of Delaware on June 2013. On November 16, 2015, we closed our Initial Public Offering, or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commissions, and offering expenses payable by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67"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As of December 31, 2016, we employed 77 full-time employees in the United States, including 58 in research and development and 20 in general and administrative. We have one part-time employee. Thirty-one of our employees have either an M.D. or a Ph.D. We have never had a work stoppage, and none of our employees is represented by a labor organization or under any collective-bargaining arrangements. We consider our employee relations to be good.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7"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We lease our office and laboratory space, which consists of approximately 19,000 square feet located in Cambridge, Massachusetts. Our lease expires in 2019. In January 2016, we signed an agreement to lease an additional facility of approximately 26,000 square feet in Cambridge, Massachusetts, to support our continued growth. The additional facility will include laboratory and office space, and was ready for occupancy in early 2017. We believe our current office and laboratory space, combined with the new lease, is sufficient to meet our needs until the expiration of our leases.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As of the date of this Annual Report on Form 10-K,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6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Our Internet address is http://www.voyagertherapeutics.com. We make available, free of charge, on or through our website our annual reports on Form 10-k, quarterly reports on Form 10-Q, current reports on Form 8-K, proxy statements and any amendments to those reports filed or furnished pursuant to Section 13(a) or 15(d) of the Securities and Exchange Act as soon as reasonably practicable after such material is electronically filed with or furnished to the Securities and Exchange Commission. The information on our website is not part of this Annual Report for the year ended December 31, 2016.</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Annual Report on Form 10-K, including our financial statements and related notes hereto, before deciding to invest in our common stock. The occurrence of any of the following risks could have a material adverse effect on our business, financial condition, results of operations and future growth prospects. In these circumstances, the market price of our common stock could decline, and you may lose all or part of your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8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have incurred net losses since inception and anticipate that we will continue to incur losses for the foreseeable future and may never achieve or maintain profitability.</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biotechnology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w:t>
      </w:r>
      <w:r>
        <w:rPr>
          <w:rFonts w:ascii="MS PGothic" w:cs="MS PGothic" w:eastAsia="MS PGothic" w:hAnsi="MS PGothic"/>
          <w:sz w:val="17"/>
          <w:szCs w:val="17"/>
          <w:color w:val="auto"/>
        </w:rPr>
        <w:t>‑</w:t>
      </w:r>
      <w:r>
        <w:rPr>
          <w:rFonts w:ascii="Arial" w:cs="Arial" w:eastAsia="Arial" w:hAnsi="Arial"/>
          <w:sz w:val="17"/>
          <w:szCs w:val="17"/>
          <w:color w:val="auto"/>
        </w:rPr>
        <w:t>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 was $40.2 million, $29.7 million, and $16.3 million for the years ended December 31, 2016, 2015, and 2014 respectively. As of December 31, 2016, we had an accumulated deficit of $90.0 million.</w:t>
      </w:r>
    </w:p>
    <w:p>
      <w:pPr>
        <w:spacing w:after="0" w:line="16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historically have financed our operations primarily through private placements of our redeemable convertible preferred stock and our recent collaboration agreement with Sanofi-Genzyme. On November 16, 2015 we closed our Initial Public Offering, or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To date, we have devoted substantially all of our financial resources to building our product engine, selecting product programs, conducting research and development, including preclinical development of our product candidates, building our intellectual property portfolio, building our team and establishing our collaboration with Sanofi-Genzyme.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3" w:lineRule="exact"/>
        <w:rPr>
          <w:sz w:val="20"/>
          <w:szCs w:val="20"/>
          <w:color w:val="auto"/>
        </w:rPr>
      </w:pPr>
    </w:p>
    <w:p>
      <w:pPr>
        <w:ind w:left="740" w:right="260" w:hanging="89"/>
        <w:spacing w:after="0" w:line="246"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investing in our product engine to optimize vector engineering, manufacturing and dosing and delivery techniques;</w:t>
      </w:r>
    </w:p>
    <w:p>
      <w:pPr>
        <w:spacing w:after="0" w:line="169" w:lineRule="exact"/>
        <w:rPr>
          <w:rFonts w:ascii="Arial" w:cs="Arial" w:eastAsia="Arial" w:hAnsi="Arial"/>
          <w:sz w:val="18"/>
          <w:szCs w:val="18"/>
          <w:color w:val="auto"/>
        </w:rPr>
      </w:pPr>
    </w:p>
    <w:p>
      <w:pPr>
        <w:ind w:left="780" w:hanging="129"/>
        <w:spacing w:after="0" w:line="207" w:lineRule="exact"/>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development of our clinical candidate, VY</w:t>
      </w:r>
      <w:r>
        <w:rPr>
          <w:rFonts w:ascii="MS PGothic" w:cs="MS PGothic" w:eastAsia="MS PGothic" w:hAnsi="MS PGothic"/>
          <w:sz w:val="18"/>
          <w:szCs w:val="18"/>
          <w:color w:val="auto"/>
        </w:rPr>
        <w:t>‑</w:t>
      </w:r>
      <w:r>
        <w:rPr>
          <w:rFonts w:ascii="Arial" w:cs="Arial" w:eastAsia="Arial" w:hAnsi="Arial"/>
          <w:sz w:val="18"/>
          <w:szCs w:val="18"/>
          <w:color w:val="auto"/>
        </w:rPr>
        <w:t>AADC01;</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our other programs;</w:t>
      </w:r>
    </w:p>
    <w:p>
      <w:pPr>
        <w:spacing w:after="0" w:line="198" w:lineRule="exact"/>
        <w:rPr>
          <w:rFonts w:ascii="Arial" w:cs="Arial" w:eastAsia="Arial" w:hAnsi="Arial"/>
          <w:sz w:val="18"/>
          <w:szCs w:val="18"/>
          <w:color w:val="auto"/>
        </w:rPr>
      </w:pPr>
    </w:p>
    <w:p>
      <w:pPr>
        <w:ind w:left="740" w:right="160" w:hanging="89"/>
        <w:spacing w:after="0" w:line="210" w:lineRule="exact"/>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Arial" w:cs="Arial" w:eastAsia="Arial" w:hAnsi="Arial"/>
          <w:sz w:val="18"/>
          <w:szCs w:val="18"/>
          <w:color w:val="auto"/>
        </w:rPr>
        <w:t>grade and commercial manufacturing capabilities;</w:t>
      </w:r>
    </w:p>
    <w:p>
      <w:pPr>
        <w:spacing w:after="0" w:line="175" w:lineRule="exact"/>
        <w:rPr>
          <w:rFonts w:ascii="Arial" w:cs="Arial" w:eastAsia="Arial" w:hAnsi="Arial"/>
          <w:sz w:val="18"/>
          <w:szCs w:val="18"/>
          <w:color w:val="auto"/>
        </w:rPr>
      </w:pPr>
    </w:p>
    <w:p>
      <w:pPr>
        <w:ind w:left="760" w:hanging="109"/>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additional CNS diseases for treatment with our AAV gene therapies;</w:t>
      </w:r>
    </w:p>
    <w:p>
      <w:pPr>
        <w:spacing w:after="0" w:line="198" w:lineRule="exact"/>
        <w:rPr>
          <w:rFonts w:ascii="Arial" w:cs="Arial" w:eastAsia="Arial" w:hAnsi="Arial"/>
          <w:sz w:val="18"/>
          <w:szCs w:val="18"/>
          <w:color w:val="auto"/>
        </w:rPr>
      </w:pPr>
    </w:p>
    <w:p>
      <w:pPr>
        <w:ind w:left="740" w:right="760" w:hanging="89"/>
        <w:spacing w:after="0" w:line="210" w:lineRule="exact"/>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marketing approvals for VY</w:t>
      </w:r>
      <w:r>
        <w:rPr>
          <w:rFonts w:ascii="MS PGothic" w:cs="MS PGothic" w:eastAsia="MS PGothic" w:hAnsi="MS PGothic"/>
          <w:sz w:val="18"/>
          <w:szCs w:val="18"/>
          <w:color w:val="auto"/>
        </w:rPr>
        <w:t>‑</w:t>
      </w:r>
      <w:r>
        <w:rPr>
          <w:rFonts w:ascii="Arial" w:cs="Arial" w:eastAsia="Arial" w:hAnsi="Arial"/>
          <w:sz w:val="18"/>
          <w:szCs w:val="18"/>
          <w:color w:val="auto"/>
        </w:rPr>
        <w:t>AADC01 or other product candidates that arise from our programs that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219" w:hanging="89"/>
        <w:spacing w:after="0" w:line="246"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69" w:lineRule="exact"/>
        <w:rPr>
          <w:rFonts w:ascii="Arial" w:cs="Arial" w:eastAsia="Arial" w:hAnsi="Arial"/>
          <w:sz w:val="18"/>
          <w:szCs w:val="18"/>
          <w:color w:val="auto"/>
        </w:rPr>
      </w:pPr>
    </w:p>
    <w:p>
      <w:pPr>
        <w:ind w:left="760" w:hanging="109"/>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98" w:lineRule="exact"/>
        <w:rPr>
          <w:rFonts w:ascii="Arial" w:cs="Arial" w:eastAsia="Arial" w:hAnsi="Arial"/>
          <w:sz w:val="18"/>
          <w:szCs w:val="18"/>
          <w:color w:val="auto"/>
        </w:rPr>
      </w:pPr>
    </w:p>
    <w:p>
      <w:pPr>
        <w:ind w:left="760" w:hanging="109"/>
        <w:spacing w:after="0" w:line="207" w:lineRule="exact"/>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sz w:val="20"/>
          <w:szCs w:val="20"/>
          <w:color w:val="auto"/>
        </w:rPr>
      </w:pPr>
    </w:p>
    <w:p>
      <w:pPr>
        <w:ind w:right="19" w:firstLine="648"/>
        <w:spacing w:after="0" w:line="181" w:lineRule="exact"/>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9"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profitable.</w:t>
      </w:r>
    </w:p>
    <w:p>
      <w:pPr>
        <w:spacing w:after="0" w:line="162" w:lineRule="exact"/>
        <w:rPr>
          <w:sz w:val="20"/>
          <w:szCs w:val="20"/>
          <w:color w:val="auto"/>
        </w:rPr>
      </w:pPr>
    </w:p>
    <w:p>
      <w:pPr>
        <w:ind w:right="39" w:firstLine="648"/>
        <w:spacing w:after="0" w:line="185" w:lineRule="exact"/>
        <w:rPr>
          <w:sz w:val="20"/>
          <w:szCs w:val="20"/>
          <w:color w:val="auto"/>
        </w:rPr>
      </w:pPr>
      <w:r>
        <w:rPr>
          <w:rFonts w:ascii="Arial" w:cs="Arial" w:eastAsia="Arial" w:hAnsi="Arial"/>
          <w:sz w:val="18"/>
          <w:szCs w:val="18"/>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w:t>
      </w:r>
      <w:r>
        <w:rPr>
          <w:rFonts w:ascii="MS PGothic" w:cs="MS PGothic" w:eastAsia="MS PGothic" w:hAnsi="MS PGothic"/>
          <w:sz w:val="18"/>
          <w:szCs w:val="18"/>
          <w:color w:val="auto"/>
        </w:rPr>
        <w:t>‑</w:t>
      </w:r>
      <w:r>
        <w:rPr>
          <w:rFonts w:ascii="Arial" w:cs="Arial" w:eastAsia="Arial" w:hAnsi="Arial"/>
          <w:sz w:val="18"/>
          <w:szCs w:val="18"/>
          <w:color w:val="auto"/>
        </w:rPr>
        <w:t>AADC01 is being evaluated in a Phase 1b clinical trial, and we do not anticipate generating revenues from product sales for the next several years, and we may never succeed in doing so. Our ability to generate future revenues from product sales depends heavily on our and our collaborators’ success in:</w:t>
      </w:r>
    </w:p>
    <w:p>
      <w:pPr>
        <w:spacing w:after="0" w:line="162" w:lineRule="exact"/>
        <w:rPr>
          <w:sz w:val="20"/>
          <w:szCs w:val="20"/>
          <w:color w:val="auto"/>
        </w:rPr>
      </w:pPr>
    </w:p>
    <w:p>
      <w:pPr>
        <w:ind w:left="740" w:hanging="89"/>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completing preclinical and clinical development of our product candidates and identifying new product candidates;</w:t>
      </w:r>
    </w:p>
    <w:p>
      <w:pPr>
        <w:spacing w:after="0" w:line="221" w:lineRule="exact"/>
        <w:rPr>
          <w:rFonts w:ascii="Arial" w:cs="Arial" w:eastAsia="Arial" w:hAnsi="Arial"/>
          <w:sz w:val="16"/>
          <w:szCs w:val="16"/>
          <w:color w:val="auto"/>
        </w:rPr>
      </w:pPr>
    </w:p>
    <w:p>
      <w:pPr>
        <w:ind w:left="740" w:right="199" w:hanging="89"/>
        <w:spacing w:after="0" w:line="246"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69" w:lineRule="exact"/>
        <w:rPr>
          <w:rFonts w:ascii="Arial" w:cs="Arial" w:eastAsia="Arial" w:hAnsi="Arial"/>
          <w:sz w:val="18"/>
          <w:szCs w:val="18"/>
          <w:color w:val="auto"/>
        </w:rPr>
      </w:pPr>
    </w:p>
    <w:p>
      <w:pPr>
        <w:ind w:left="740" w:right="379" w:hanging="89"/>
        <w:spacing w:after="0" w:line="23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75" w:lineRule="exact"/>
        <w:rPr>
          <w:rFonts w:ascii="Arial" w:cs="Arial" w:eastAsia="Arial" w:hAnsi="Arial"/>
          <w:sz w:val="18"/>
          <w:szCs w:val="18"/>
          <w:color w:val="auto"/>
        </w:rPr>
      </w:pPr>
    </w:p>
    <w:p>
      <w:pPr>
        <w:ind w:left="740" w:right="599" w:hanging="89"/>
        <w:spacing w:after="0" w:line="210" w:lineRule="exact"/>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our product candidates if and when approved;</w:t>
      </w:r>
    </w:p>
    <w:p>
      <w:pPr>
        <w:spacing w:after="0" w:line="175" w:lineRule="exact"/>
        <w:rPr>
          <w:rFonts w:ascii="Arial" w:cs="Arial" w:eastAsia="Arial" w:hAnsi="Arial"/>
          <w:sz w:val="18"/>
          <w:szCs w:val="18"/>
          <w:color w:val="auto"/>
        </w:rPr>
      </w:pPr>
    </w:p>
    <w:p>
      <w:pPr>
        <w:ind w:left="740" w:right="299" w:hanging="89"/>
        <w:spacing w:after="0" w:line="246"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69" w:lineRule="exact"/>
        <w:rPr>
          <w:rFonts w:ascii="Arial" w:cs="Arial" w:eastAsia="Arial" w:hAnsi="Arial"/>
          <w:sz w:val="18"/>
          <w:szCs w:val="18"/>
          <w:color w:val="auto"/>
        </w:rPr>
      </w:pPr>
    </w:p>
    <w:p>
      <w:pPr>
        <w:jc w:val="both"/>
        <w:ind w:left="740" w:right="139" w:hanging="89"/>
        <w:spacing w:after="0" w:line="23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175" w:lineRule="exact"/>
        <w:rPr>
          <w:rFonts w:ascii="Arial" w:cs="Arial" w:eastAsia="Arial" w:hAnsi="Arial"/>
          <w:sz w:val="18"/>
          <w:szCs w:val="18"/>
          <w:color w:val="auto"/>
        </w:rPr>
      </w:pPr>
    </w:p>
    <w:p>
      <w:pPr>
        <w:ind w:left="740" w:hanging="8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60" w:hanging="109"/>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98" w:lineRule="exact"/>
        <w:rPr>
          <w:rFonts w:ascii="Arial" w:cs="Arial" w:eastAsia="Arial" w:hAnsi="Arial"/>
          <w:sz w:val="18"/>
          <w:szCs w:val="18"/>
          <w:color w:val="auto"/>
        </w:rPr>
      </w:pPr>
    </w:p>
    <w:p>
      <w:pPr>
        <w:ind w:left="740" w:right="380" w:hanging="89"/>
        <w:spacing w:after="0" w:line="246"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69" w:lineRule="exact"/>
        <w:rPr>
          <w:rFonts w:ascii="Arial" w:cs="Arial" w:eastAsia="Arial" w:hAnsi="Arial"/>
          <w:sz w:val="18"/>
          <w:szCs w:val="18"/>
          <w:color w:val="auto"/>
        </w:rPr>
      </w:pPr>
    </w:p>
    <w:p>
      <w:pPr>
        <w:ind w:left="740" w:right="140" w:hanging="89"/>
        <w:spacing w:after="0" w:line="210" w:lineRule="exact"/>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75"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avoiding and defending against third</w:t>
      </w:r>
      <w:r>
        <w:rPr>
          <w:rFonts w:ascii="MS PGothic" w:cs="MS PGothic" w:eastAsia="MS PGothic" w:hAnsi="MS PGothic"/>
          <w:sz w:val="18"/>
          <w:szCs w:val="18"/>
          <w:color w:val="auto"/>
        </w:rPr>
        <w:t>‑</w:t>
      </w:r>
      <w:r>
        <w:rPr>
          <w:rFonts w:ascii="Arial" w:cs="Arial" w:eastAsia="Arial" w:hAnsi="Arial"/>
          <w:sz w:val="18"/>
          <w:szCs w:val="18"/>
          <w:color w:val="auto"/>
        </w:rPr>
        <w:t>party interference or infringement claims; and</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9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European Medicines Agency, or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further clinical trials of and seek marketing approval for, our product candidates. In addition, if we obtain marketing approval for any of our product candidates, we expect to incur significant expenses related to product sales, medical affairs, marketing, manufacturing and distribution. Since the completion of our IPO on November 16, 2015, we have incurred costs associated with operating as a public company. Accordingly, we need to obtain substantial additional funding in connection with our continuing operations. If we are unable to raise capital when needed or on acceptable terms, we would be forced to delay, reduce or eliminate certain of our research and development programs.</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Our operations have consumed significant amounts of cash since inception. As of December 31, 2016, our cash, cash equivalents, and marketable debt securities were $174.4 million. Based upon our current operating plan, we expect that our existing cash, cash equivalents, and marketable debt securities, will enable us to fund our operating expenses and capital expenditure requirements into 2019.</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740" w:right="340" w:hanging="89"/>
        <w:spacing w:after="0" w:line="246"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98" w:lineRule="exact"/>
        <w:rPr>
          <w:rFonts w:ascii="Arial" w:cs="Arial" w:eastAsia="Arial" w:hAnsi="Arial"/>
          <w:sz w:val="18"/>
          <w:szCs w:val="18"/>
          <w:color w:val="auto"/>
        </w:rPr>
      </w:pPr>
    </w:p>
    <w:p>
      <w:pPr>
        <w:ind w:left="740" w:right="600" w:hanging="89"/>
        <w:spacing w:after="0" w:line="246"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Sanofi-Genzyme Collaboration and any other collaboration agreements we obtain;</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of our collaboration partners to exercise options to extend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620" w:hanging="89"/>
        <w:spacing w:after="0" w:line="246"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collaboration agreements, if any;</w:t>
      </w:r>
    </w:p>
    <w:p>
      <w:pPr>
        <w:spacing w:after="0" w:line="169" w:lineRule="exact"/>
        <w:rPr>
          <w:rFonts w:ascii="Arial" w:cs="Arial" w:eastAsia="Arial" w:hAnsi="Arial"/>
          <w:sz w:val="18"/>
          <w:szCs w:val="18"/>
          <w:color w:val="auto"/>
        </w:rPr>
      </w:pPr>
    </w:p>
    <w:p>
      <w:pPr>
        <w:ind w:left="740" w:right="580" w:hanging="89"/>
        <w:spacing w:after="0" w:line="210" w:lineRule="exact"/>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98" w:lineRule="exact"/>
        <w:rPr>
          <w:rFonts w:ascii="Arial" w:cs="Arial" w:eastAsia="Arial" w:hAnsi="Arial"/>
          <w:sz w:val="18"/>
          <w:szCs w:val="18"/>
          <w:color w:val="auto"/>
        </w:rPr>
      </w:pPr>
    </w:p>
    <w:p>
      <w:pPr>
        <w:ind w:left="740" w:right="340" w:hanging="89"/>
        <w:spacing w:after="0" w:line="246"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Identifying potential product candidates and conducting preclinical studies and clinical trials is a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or based on sales of products that may not be commercially available for many years, if at all. Accordingly, we will need to continue to rely on additional financing to achieve our business objectives. To the extent that additional capital is raised through the sale of equity or equity</w:t>
      </w:r>
      <w:r>
        <w:rPr>
          <w:rFonts w:ascii="MS PGothic" w:cs="MS PGothic" w:eastAsia="MS PGothic" w:hAnsi="MS PGothic"/>
          <w:sz w:val="17"/>
          <w:szCs w:val="17"/>
          <w:color w:val="auto"/>
        </w:rPr>
        <w:t>‑</w:t>
      </w:r>
      <w:r>
        <w:rPr>
          <w:rFonts w:ascii="Arial" w:cs="Arial" w:eastAsia="Arial" w:hAnsi="Arial"/>
          <w:sz w:val="17"/>
          <w:szCs w:val="17"/>
          <w:color w:val="auto"/>
        </w:rPr>
        <w:t>linked securities, the issuance of those securities could result in substantial dilution for our current stockholders and the terms may include liquidation or other preferences that adversely affect the rights of our current stockholders. To the extent that additional capital is raised through the issuance of debt, the agreement governing such debt may contain restrictive covenants related to our capital raising and other financial and operational matters, which may make it more difficult for us to obtain additional capital and to pursue business operations, including potential acquisitions. Furthermore, the issuance of additional securities, whether equity or debt, by us, or the possibility of such issuance, may cause the market price of our common stock to decline and our existing stockholders may not agree with the terms of such financings. Adequate additional financing may not be available to us on acceptable terms, or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189"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b w:val="1"/>
          <w:bCs w:val="1"/>
          <w:i w:val="1"/>
          <w:iCs w:val="1"/>
          <w:color w:val="auto"/>
        </w:rPr>
        <w:t>Our AAV gene therapy product candidates are based on a relatively novel technology, which makes it difficult to predict the time and cost of development and of subsequently obtaining regulatory approval, if at all. No gene therapy product has been approved in the United States and only two such products have been approved in the European Union.</w:t>
      </w:r>
    </w:p>
    <w:p>
      <w:pPr>
        <w:spacing w:after="0" w:line="130"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concentrated our research and development efforts to date on our product engine, identifying our initial targeted disease indications, and our initial product candidates, and our future success depends on our successful development of viable AAV gene therapy product candidates. Currently, only one of our product candidates, VY</w:t>
      </w:r>
      <w:r>
        <w:rPr>
          <w:rFonts w:ascii="MS PGothic" w:cs="MS PGothic" w:eastAsia="MS PGothic" w:hAnsi="MS PGothic"/>
          <w:sz w:val="17"/>
          <w:szCs w:val="17"/>
          <w:color w:val="auto"/>
        </w:rPr>
        <w:t>‑</w:t>
      </w:r>
      <w:r>
        <w:rPr>
          <w:rFonts w:ascii="Arial" w:cs="Arial" w:eastAsia="Arial" w:hAnsi="Arial"/>
          <w:sz w:val="17"/>
          <w:szCs w:val="17"/>
          <w:color w:val="auto"/>
        </w:rPr>
        <w:t>AADC01, is in clinical development, and the remainder of our product candidates are in preclinical development. There can be no assurance that we will not experience problems or delays in developing our product candidates and that such problems or delays will not cause unanticipated costs, or that any such development problems can be solved. We also may experience unanticipated problems or delays in expanding our manufacturing capacity.</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Only two gene therapy products, uniQure N.V.’s, or uniQure, Glybera, and GlaxoSmithKline’s Strimvelis have received marketing authorization from the European Commission and no gene therapy products have received marketing authorization in the United States. It is difficult to determine how long it will take or how much it will cost to obtain regulatory approvals for our product candidates in either the United States or the European Union or how long it will take to commercialize our product candidates. Approvals by the European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187" w:lineRule="exact"/>
        <w:rPr>
          <w:sz w:val="20"/>
          <w:szCs w:val="20"/>
          <w:color w:val="auto"/>
        </w:rPr>
      </w:pPr>
      <w:r>
        <w:rPr>
          <w:rFonts w:ascii="Arial" w:cs="Arial" w:eastAsia="Arial" w:hAnsi="Arial"/>
          <w:sz w:val="18"/>
          <w:szCs w:val="18"/>
          <w:color w:val="auto"/>
        </w:rPr>
        <w:t>Commission may not be indicative of what the FDA may require for approval and different or additional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FDA has established the Office of Cellular, Tissue and Gene Therapies (now named the Office of Tissues and Advances Therapies, or OTAT) within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National Institute of Health, or NIH, are also potentially subject to review by the NIH Office of Biotechnology Activities’ Recombinant DNA Advisory Committee, or the RAC. The ongoing Phase 1b clinical trial of VY</w:t>
      </w:r>
      <w:r>
        <w:rPr>
          <w:rFonts w:ascii="MS PGothic" w:cs="MS PGothic" w:eastAsia="MS PGothic" w:hAnsi="MS PGothic"/>
          <w:sz w:val="16"/>
          <w:szCs w:val="16"/>
          <w:color w:val="auto"/>
        </w:rPr>
        <w:t>‑</w:t>
      </w:r>
      <w:r>
        <w:rPr>
          <w:rFonts w:ascii="Arial" w:cs="Arial" w:eastAsia="Arial" w:hAnsi="Arial"/>
          <w:sz w:val="16"/>
          <w:szCs w:val="16"/>
          <w:color w:val="auto"/>
        </w:rPr>
        <w:t>AADC01 is being conducted at UCSF and UPMC and therefore is subject to oversight by these authorities. Even though the FDA decides whether individual gene therapy protocols may proceed, the RAC public review process, if undertaken, can delay the initiation of a clinical trial, even if the FDA has reviewed the trial design and details and permitted its initiation. Conversely, the FDA may place an IND on a clinical hold even if the RAC has provided a favorable review or an exemption from in</w:t>
      </w:r>
      <w:r>
        <w:rPr>
          <w:rFonts w:ascii="MS PGothic" w:cs="MS PGothic" w:eastAsia="MS PGothic" w:hAnsi="MS PGothic"/>
          <w:sz w:val="16"/>
          <w:szCs w:val="16"/>
          <w:color w:val="auto"/>
        </w:rPr>
        <w:t>‑</w:t>
      </w:r>
      <w:r>
        <w:rPr>
          <w:rFonts w:ascii="Arial" w:cs="Arial" w:eastAsia="Arial" w:hAnsi="Arial"/>
          <w:sz w:val="16"/>
          <w:szCs w:val="16"/>
          <w:color w:val="auto"/>
        </w:rPr>
        <w:t>depth, public review. In addition, NIH</w:t>
      </w:r>
      <w:r>
        <w:rPr>
          <w:rFonts w:ascii="MS PGothic" w:cs="MS PGothic" w:eastAsia="MS PGothic" w:hAnsi="MS PGothic"/>
          <w:sz w:val="16"/>
          <w:szCs w:val="16"/>
          <w:color w:val="auto"/>
        </w:rPr>
        <w:t>‑</w:t>
      </w:r>
      <w:r>
        <w:rPr>
          <w:rFonts w:ascii="Arial" w:cs="Arial" w:eastAsia="Arial" w:hAnsi="Arial"/>
          <w:sz w:val="16"/>
          <w:szCs w:val="16"/>
          <w:color w:val="auto"/>
        </w:rPr>
        <w:t>funded institutions need to have their institutional biosafety committee as well as their institutional review board, or IRB, review proposed clinical trials to assess the safety of the trial. The ongoing Phase 1b clinical trial of VY</w:t>
      </w:r>
      <w:r>
        <w:rPr>
          <w:rFonts w:ascii="MS PGothic" w:cs="MS PGothic" w:eastAsia="MS PGothic" w:hAnsi="MS PGothic"/>
          <w:sz w:val="16"/>
          <w:szCs w:val="16"/>
          <w:color w:val="auto"/>
        </w:rPr>
        <w:t>‑</w:t>
      </w:r>
      <w:r>
        <w:rPr>
          <w:rFonts w:ascii="Arial" w:cs="Arial" w:eastAsia="Arial" w:hAnsi="Arial"/>
          <w:sz w:val="16"/>
          <w:szCs w:val="16"/>
          <w:color w:val="auto"/>
        </w:rPr>
        <w:t>AADC01 has been reviewed by the Institutional Review Boards, or IRBs, of UCSF and UPMC, and such trials will need to be re</w:t>
      </w:r>
      <w:r>
        <w:rPr>
          <w:rFonts w:ascii="MS PGothic" w:cs="MS PGothic" w:eastAsia="MS PGothic" w:hAnsi="MS PGothic"/>
          <w:sz w:val="16"/>
          <w:szCs w:val="16"/>
          <w:color w:val="auto"/>
        </w:rPr>
        <w:t>‑</w:t>
      </w:r>
      <w:r>
        <w:rPr>
          <w:rFonts w:ascii="Arial" w:cs="Arial" w:eastAsia="Arial" w:hAnsi="Arial"/>
          <w:sz w:val="16"/>
          <w:szCs w:val="16"/>
          <w:color w:val="auto"/>
        </w:rPr>
        <w:t>reviewed by both institutional IRBs if the protocol for the trial is further amended. For any new protocol, the same processes and issues apply. In addition, adverse developments in clinical trials of gene therapy products conducted by us or others may cause the FDA or other oversight bodies to change the requirements for approval of any of our product candidates. Similarly, EMA and local health authorities of individual counties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w:t>
      </w:r>
    </w:p>
    <w:p>
      <w:pPr>
        <w:spacing w:after="0" w:line="232"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7"/>
          <w:szCs w:val="17"/>
          <w:color w:val="auto"/>
        </w:rPr>
        <w:t>‑</w:t>
      </w:r>
      <w:r>
        <w:rPr>
          <w:rFonts w:ascii="Arial" w:cs="Arial" w:eastAsia="Arial" w:hAnsi="Arial"/>
          <w:sz w:val="17"/>
          <w:szCs w:val="17"/>
          <w:color w:val="auto"/>
        </w:rPr>
        <w: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64" w:lineRule="exact"/>
        <w:rPr>
          <w:sz w:val="20"/>
          <w:szCs w:val="20"/>
          <w:color w:val="auto"/>
        </w:rPr>
      </w:pPr>
    </w:p>
    <w:p>
      <w:pPr>
        <w:ind w:right="560"/>
        <w:spacing w:after="0" w:line="203" w:lineRule="exact"/>
        <w:rPr>
          <w:sz w:val="20"/>
          <w:szCs w:val="20"/>
          <w:color w:val="auto"/>
        </w:rPr>
      </w:pPr>
      <w:r>
        <w:rPr>
          <w:rFonts w:ascii="Arial" w:cs="Arial" w:eastAsia="Arial" w:hAnsi="Arial"/>
          <w:sz w:val="18"/>
          <w:szCs w:val="18"/>
          <w:b w:val="1"/>
          <w:bCs w:val="1"/>
          <w:i w:val="1"/>
          <w:iCs w:val="1"/>
          <w:color w:val="auto"/>
        </w:rPr>
        <w:t>Positive results from preclinical studies and early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may not be indicative of efficacy in late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All of our product candidates are in early stages of development. Study designs and results from previous clinical trials are not necessarily predictive of our future clinical trial designs or results, and initial results may not be confirmed upon full analysis of the complete trial or study data. Our product candidates may fail to show the desired safety and efficacy in later stages of clinical development despite having successfully advanced through preclinical studies and initial clinical trials.</w:t>
      </w:r>
    </w:p>
    <w:p>
      <w:pPr>
        <w:spacing w:after="0" w:line="15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A number of companies in the pharmaceutical and biotechnology industries have suffered significant setbacks in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even after achieving promising results in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If a larger population of patients does not experience positive results, if these results are not reproducible, or if our products show diminishing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185" w:lineRule="exact"/>
        <w:rPr>
          <w:sz w:val="20"/>
          <w:szCs w:val="20"/>
          <w:color w:val="auto"/>
        </w:rPr>
      </w:pPr>
      <w:r>
        <w:rPr>
          <w:rFonts w:ascii="Arial" w:cs="Arial" w:eastAsia="Arial" w:hAnsi="Arial"/>
          <w:sz w:val="17"/>
          <w:szCs w:val="17"/>
          <w:color w:val="auto"/>
        </w:rPr>
        <w:t>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with larger patient populations could harm our business and we may never succeed in commercialization or generating product revenue.</w:t>
      </w:r>
    </w:p>
    <w:p>
      <w:pPr>
        <w:spacing w:after="0" w:line="16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The doses and coverage of the putamen being employed in the ongoing VY-AADC01 Phase 1b clinical trial are higher than those used in prior trials, and may need to be further optimized or we may not generate sufficient clinical data in a placebo-controlled trial to achieve market authorization.</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clinical trial results of some of our collaborators have been negatively affected by factors that had not been fully anticipated prior to examination of the trial results. For example, the magnitude of the clinical responses seen in the Phase 1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conducted by UCSF were similar to placebo effects observed in previous surgical therapies for Parkinson’s disease. As a result, we are unable to rely on the results of this Phase 1 trial for an indication of the efficacy of treatment with VY</w:t>
      </w:r>
      <w:r>
        <w:rPr>
          <w:rFonts w:ascii="MS PGothic" w:cs="MS PGothic" w:eastAsia="MS PGothic" w:hAnsi="MS PGothic"/>
          <w:sz w:val="17"/>
          <w:szCs w:val="17"/>
          <w:color w:val="auto"/>
        </w:rPr>
        <w:t>‑</w:t>
      </w:r>
      <w:r>
        <w:rPr>
          <w:rFonts w:ascii="Arial" w:cs="Arial" w:eastAsia="Arial" w:hAnsi="Arial"/>
          <w:sz w:val="17"/>
          <w:szCs w:val="17"/>
          <w:color w:val="auto"/>
        </w:rPr>
        <w:t>AADC01. We believe that there is a need to optimize the dose and volume of infusion of VY</w:t>
      </w:r>
      <w:r>
        <w:rPr>
          <w:rFonts w:ascii="MS PGothic" w:cs="MS PGothic" w:eastAsia="MS PGothic" w:hAnsi="MS PGothic"/>
          <w:sz w:val="17"/>
          <w:szCs w:val="17"/>
          <w:color w:val="auto"/>
        </w:rPr>
        <w:t>‑</w:t>
      </w:r>
      <w:r>
        <w:rPr>
          <w:rFonts w:ascii="Arial" w:cs="Arial" w:eastAsia="Arial" w:hAnsi="Arial"/>
          <w:sz w:val="17"/>
          <w:szCs w:val="17"/>
          <w:color w:val="auto"/>
        </w:rPr>
        <w:t>AADC01 to substantially increase the coverage of the putamen, the region of the brain targeted by VY</w:t>
      </w:r>
      <w:r>
        <w:rPr>
          <w:rFonts w:ascii="MS PGothic" w:cs="MS PGothic" w:eastAsia="MS PGothic" w:hAnsi="MS PGothic"/>
          <w:sz w:val="17"/>
          <w:szCs w:val="17"/>
          <w:color w:val="auto"/>
        </w:rPr>
        <w:t>‑</w:t>
      </w:r>
      <w:r>
        <w:rPr>
          <w:rFonts w:ascii="Arial" w:cs="Arial" w:eastAsia="Arial" w:hAnsi="Arial"/>
          <w:sz w:val="17"/>
          <w:szCs w:val="17"/>
          <w:color w:val="auto"/>
        </w:rPr>
        <w:t>AADC01, to achieve a clinical benefit. However, we can provide no assurances that we will be able to optimize these parameters and thereby achieve sufficient coverage of the putamen to achieve a clinical benefit.</w:t>
      </w:r>
    </w:p>
    <w:p>
      <w:pPr>
        <w:spacing w:after="0" w:line="168"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incorporates several design features that are different from those used in UCSF’s previously completed Phase 1 clinical trial, in an attempt to increase the area of the putamen, particularly the posterior putamen, which receives VY</w:t>
      </w:r>
      <w:r>
        <w:rPr>
          <w:rFonts w:ascii="MS PGothic" w:cs="MS PGothic" w:eastAsia="MS PGothic" w:hAnsi="MS PGothic"/>
          <w:sz w:val="17"/>
          <w:szCs w:val="17"/>
          <w:color w:val="auto"/>
        </w:rPr>
        <w:t>‑</w:t>
      </w:r>
      <w:r>
        <w:rPr>
          <w:rFonts w:ascii="Arial" w:cs="Arial" w:eastAsia="Arial" w:hAnsi="Arial"/>
          <w:sz w:val="17"/>
          <w:szCs w:val="17"/>
          <w:color w:val="auto"/>
        </w:rPr>
        <w:t>AADC01 treatment. Larger infusion volumes of VY</w:t>
      </w:r>
      <w:r>
        <w:rPr>
          <w:rFonts w:ascii="MS PGothic" w:cs="MS PGothic" w:eastAsia="MS PGothic" w:hAnsi="MS PGothic"/>
          <w:sz w:val="17"/>
          <w:szCs w:val="17"/>
          <w:color w:val="auto"/>
        </w:rPr>
        <w:t>‑</w:t>
      </w:r>
      <w:r>
        <w:rPr>
          <w:rFonts w:ascii="Arial" w:cs="Arial" w:eastAsia="Arial" w:hAnsi="Arial"/>
          <w:sz w:val="17"/>
          <w:szCs w:val="17"/>
          <w:color w:val="auto"/>
        </w:rPr>
        <w:t>AADC01 are being employed along with higher doses of VY</w:t>
      </w:r>
      <w:r>
        <w:rPr>
          <w:rFonts w:ascii="MS PGothic" w:cs="MS PGothic" w:eastAsia="MS PGothic" w:hAnsi="MS PGothic"/>
          <w:sz w:val="17"/>
          <w:szCs w:val="17"/>
          <w:color w:val="auto"/>
        </w:rPr>
        <w:t>‑</w:t>
      </w:r>
      <w:r>
        <w:rPr>
          <w:rFonts w:ascii="Arial" w:cs="Arial" w:eastAsia="Arial" w:hAnsi="Arial"/>
          <w:sz w:val="17"/>
          <w:szCs w:val="17"/>
          <w:color w:val="auto"/>
        </w:rPr>
        <w:t>AADC01. In addition, the ClearPoint System, which is manufactured by MRI Interventions, Inc., is being used during the surgical procedure to provide accurate placement of the cannula, or small tube used in the procedure, in the putamen to allow for real</w:t>
      </w:r>
      <w:r>
        <w:rPr>
          <w:rFonts w:ascii="MS PGothic" w:cs="MS PGothic" w:eastAsia="MS PGothic" w:hAnsi="MS PGothic"/>
          <w:sz w:val="17"/>
          <w:szCs w:val="17"/>
          <w:color w:val="auto"/>
        </w:rPr>
        <w:t>‑</w:t>
      </w:r>
      <w:r>
        <w:rPr>
          <w:rFonts w:ascii="Arial" w:cs="Arial" w:eastAsia="Arial" w:hAnsi="Arial"/>
          <w:sz w:val="17"/>
          <w:szCs w:val="17"/>
          <w:color w:val="auto"/>
        </w:rPr>
        <w:t>time, intra</w:t>
      </w:r>
      <w:r>
        <w:rPr>
          <w:rFonts w:ascii="MS PGothic" w:cs="MS PGothic" w:eastAsia="MS PGothic" w:hAnsi="MS PGothic"/>
          <w:sz w:val="17"/>
          <w:szCs w:val="17"/>
          <w:color w:val="auto"/>
        </w:rPr>
        <w:t>‑</w:t>
      </w:r>
      <w:r>
        <w:rPr>
          <w:rFonts w:ascii="Arial" w:cs="Arial" w:eastAsia="Arial" w:hAnsi="Arial"/>
          <w:sz w:val="17"/>
          <w:szCs w:val="17"/>
          <w:color w:val="auto"/>
        </w:rPr>
        <w:t>operative MRI to assist the physician in visualizing the delivery of VY</w:t>
      </w:r>
      <w:r>
        <w:rPr>
          <w:rFonts w:ascii="MS PGothic" w:cs="MS PGothic" w:eastAsia="MS PGothic" w:hAnsi="MS PGothic"/>
          <w:sz w:val="17"/>
          <w:szCs w:val="17"/>
          <w:color w:val="auto"/>
        </w:rPr>
        <w:t>‑</w:t>
      </w:r>
      <w:r>
        <w:rPr>
          <w:rFonts w:ascii="Arial" w:cs="Arial" w:eastAsia="Arial" w:hAnsi="Arial"/>
          <w:sz w:val="17"/>
          <w:szCs w:val="17"/>
          <w:color w:val="auto"/>
        </w:rPr>
        <w:t>AADC01 to the putamen and to avoid specific blood vessels during the surgical procedure, with the goal of reducing the risk of hemorrhages, and minimizing off target distribution. In the prior Phase 1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conducted by UCSF, physicians surgically administered VY</w:t>
      </w:r>
      <w:r>
        <w:rPr>
          <w:rFonts w:ascii="MS PGothic" w:cs="MS PGothic" w:eastAsia="MS PGothic" w:hAnsi="MS PGothic"/>
          <w:sz w:val="17"/>
          <w:szCs w:val="17"/>
          <w:color w:val="auto"/>
        </w:rPr>
        <w:t>‑</w:t>
      </w:r>
      <w:r>
        <w:rPr>
          <w:rFonts w:ascii="Arial" w:cs="Arial" w:eastAsia="Arial" w:hAnsi="Arial"/>
          <w:sz w:val="17"/>
          <w:szCs w:val="17"/>
          <w:color w:val="auto"/>
        </w:rPr>
        <w:t>AADC01 without the use of the ClearPoint System and intra-operative MRI, and therefore did not have real</w:t>
      </w:r>
      <w:r>
        <w:rPr>
          <w:rFonts w:ascii="MS PGothic" w:cs="MS PGothic" w:eastAsia="MS PGothic" w:hAnsi="MS PGothic"/>
          <w:sz w:val="17"/>
          <w:szCs w:val="17"/>
          <w:color w:val="auto"/>
        </w:rPr>
        <w:t>‑</w:t>
      </w:r>
      <w:r>
        <w:rPr>
          <w:rFonts w:ascii="Arial" w:cs="Arial" w:eastAsia="Arial" w:hAnsi="Arial"/>
          <w:sz w:val="17"/>
          <w:szCs w:val="17"/>
          <w:color w:val="auto"/>
        </w:rPr>
        <w:t>time visualization of treatment delivery.</w:t>
      </w:r>
    </w:p>
    <w:p>
      <w:pPr>
        <w:spacing w:after="0" w:line="164"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Due to the nature of the techniques being used in the Phase 1b clinical trial and the numerous variables that can be changed, it is possible that the data generated from this trial may not provide evidence of clinical benefit. For example, physicians may use cannulas of differing lengths in the infusion procedure, or may use differing infusion speeds or infusion angles. These differences could affect the dose of VY</w:t>
      </w:r>
      <w:r>
        <w:rPr>
          <w:rFonts w:ascii="MS PGothic" w:cs="MS PGothic" w:eastAsia="MS PGothic" w:hAnsi="MS PGothic"/>
          <w:sz w:val="18"/>
          <w:szCs w:val="18"/>
          <w:color w:val="auto"/>
        </w:rPr>
        <w:t>‑</w:t>
      </w:r>
      <w:r>
        <w:rPr>
          <w:rFonts w:ascii="Arial" w:cs="Arial" w:eastAsia="Arial" w:hAnsi="Arial"/>
          <w:sz w:val="18"/>
          <w:szCs w:val="18"/>
          <w:color w:val="auto"/>
        </w:rPr>
        <w:t>AADC01 that ultimately reaches the putamen, leading to highly variable results.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Furthermore, we plan to use VY-AADC02 in our ex-U.S. posterior trajectory trials and later-stage clinical trials as opposed to VY-AADC01. VY-AADC02 uses the same vector as VY-AADC01, but is manufactured using our baclovirus/Sf9 system as opposed to in HEK 293 cells, which is the platform used to manufacture VY-AADC01. Based on our discussions with the FDA, we believe that we have a good understanding of what in vitro testing and preclinical evaluation are required, which we will need to conduct in order to demonstrate comparability between the current version and the new version. Although we believe that VY-AADC02 will be similar or comparable to VY-AADC01, we can provide no assurances that we will be able to successfully complete the necessary in vitro testing and preclinical studies or that the results of such studies and tests will demonstrate the comparability between VY-AADC01 and VY-AADC02.</w:t>
      </w:r>
    </w:p>
    <w:p>
      <w:pPr>
        <w:spacing w:after="0" w:line="16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b w:val="1"/>
          <w:bCs w:val="1"/>
          <w:i w:val="1"/>
          <w:iCs w:val="1"/>
          <w:color w:val="auto"/>
        </w:rPr>
        <w:t>We may encounter substantial delays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61" w:lineRule="exact"/>
        <w:rPr>
          <w:sz w:val="20"/>
          <w:szCs w:val="20"/>
          <w:color w:val="auto"/>
        </w:rPr>
      </w:pPr>
    </w:p>
    <w:p>
      <w:pPr>
        <w:ind w:right="500" w:firstLine="648"/>
        <w:spacing w:after="0" w:line="194" w:lineRule="exact"/>
        <w:rPr>
          <w:sz w:val="20"/>
          <w:szCs w:val="20"/>
          <w:color w:val="auto"/>
        </w:rPr>
      </w:pPr>
      <w:r>
        <w:rPr>
          <w:rFonts w:ascii="Arial" w:cs="Arial" w:eastAsia="Arial" w:hAnsi="Arial"/>
          <w:sz w:val="18"/>
          <w:szCs w:val="18"/>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w:t>
      </w:r>
      <w:r>
        <w:rPr>
          <w:rFonts w:ascii="MS PGothic" w:cs="MS PGothic" w:eastAsia="MS PGothic" w:hAnsi="MS PGothic"/>
          <w:sz w:val="18"/>
          <w:szCs w:val="18"/>
          <w:color w:val="auto"/>
        </w:rPr>
        <w:t>‑</w:t>
      </w:r>
      <w:r>
        <w:rPr>
          <w:rFonts w:ascii="Arial" w:cs="Arial" w:eastAsia="Arial" w:hAnsi="Arial"/>
          <w:sz w:val="18"/>
          <w:szCs w:val="18"/>
          <w:color w:val="auto"/>
        </w:rPr>
        <w:t>consuming and outcomes are uncertain.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8"/>
          <w:szCs w:val="18"/>
          <w:color w:val="auto"/>
        </w:rPr>
        <w:t>We have very limited experience with clinical trials. To date, we have neither commenced nor completed any clinical trials. The ongoing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is being conducted at UCSF and UPMC. We cannot guarantee that any clinical trials will be conducted as planned or completed on schedule, if at all. A clinical trial failure can occur at any stage of testing.</w:t>
      </w:r>
    </w:p>
    <w:p>
      <w:pPr>
        <w:spacing w:after="0" w:line="163"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63" w:lineRule="exact"/>
        <w:rPr>
          <w:sz w:val="20"/>
          <w:szCs w:val="20"/>
          <w:color w:val="auto"/>
        </w:rPr>
      </w:pPr>
    </w:p>
    <w:p>
      <w:pPr>
        <w:ind w:left="740" w:hanging="89"/>
        <w:spacing w:after="0" w:line="207" w:lineRule="exact"/>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AAV gene therapy</w:t>
      </w:r>
      <w:r>
        <w:rPr>
          <w:rFonts w:ascii="MS PGothic" w:cs="MS PGothic" w:eastAsia="MS PGothic" w:hAnsi="MS PGothic"/>
          <w:sz w:val="18"/>
          <w:szCs w:val="18"/>
          <w:color w:val="auto"/>
        </w:rPr>
        <w:t>‑</w:t>
      </w:r>
      <w:r>
        <w:rPr>
          <w:rFonts w:ascii="Arial" w:cs="Arial" w:eastAsia="Arial" w:hAnsi="Arial"/>
          <w:sz w:val="18"/>
          <w:szCs w:val="18"/>
          <w:color w:val="auto"/>
        </w:rPr>
        <w:t>based approaches for the treatment of CNS diseases;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98" w:lineRule="exact"/>
        <w:rPr>
          <w:rFonts w:ascii="Arial" w:cs="Arial" w:eastAsia="Arial" w:hAnsi="Arial"/>
          <w:sz w:val="18"/>
          <w:szCs w:val="18"/>
          <w:color w:val="auto"/>
        </w:rPr>
      </w:pPr>
    </w:p>
    <w:p>
      <w:pPr>
        <w:ind w:left="900" w:hanging="24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98" w:lineRule="exact"/>
        <w:rPr>
          <w:rFonts w:ascii="Arial" w:cs="Arial" w:eastAsia="Arial" w:hAnsi="Arial"/>
          <w:sz w:val="18"/>
          <w:szCs w:val="18"/>
          <w:color w:val="auto"/>
        </w:rPr>
      </w:pPr>
    </w:p>
    <w:p>
      <w:pPr>
        <w:ind w:left="860" w:hanging="209"/>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patients with preexisting antibodies to the vector that preclude their participation in the trial;</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98" w:lineRule="exact"/>
        <w:rPr>
          <w:rFonts w:ascii="Arial" w:cs="Arial" w:eastAsia="Arial" w:hAnsi="Arial"/>
          <w:sz w:val="18"/>
          <w:szCs w:val="18"/>
          <w:color w:val="auto"/>
        </w:rPr>
      </w:pPr>
    </w:p>
    <w:p>
      <w:pPr>
        <w:ind w:left="740" w:hanging="89"/>
        <w:spacing w:after="0" w:line="203" w:lineRule="exact"/>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locate appropriately trained physicians to conduct such clinical trials, which may be particularly difficult for the VY</w:t>
      </w:r>
      <w:r>
        <w:rPr>
          <w:rFonts w:ascii="MS PGothic" w:cs="MS PGothic" w:eastAsia="MS PGothic" w:hAnsi="MS PGothic"/>
          <w:sz w:val="18"/>
          <w:szCs w:val="18"/>
          <w:color w:val="auto"/>
        </w:rPr>
        <w:t>‑</w:t>
      </w:r>
      <w:r>
        <w:rPr>
          <w:rFonts w:ascii="Arial" w:cs="Arial" w:eastAsia="Arial" w:hAnsi="Arial"/>
          <w:sz w:val="18"/>
          <w:szCs w:val="18"/>
          <w:color w:val="auto"/>
        </w:rPr>
        <w:t>AADC01 clinical trial, in which we are using the ClearPoint System, which is only available at a small number of academic medical centers in the United States;</w:t>
      </w:r>
    </w:p>
    <w:p>
      <w:pPr>
        <w:spacing w:after="0" w:line="175" w:lineRule="exact"/>
        <w:rPr>
          <w:rFonts w:ascii="Arial" w:cs="Arial" w:eastAsia="Arial" w:hAnsi="Arial"/>
          <w:sz w:val="18"/>
          <w:szCs w:val="18"/>
          <w:color w:val="auto"/>
        </w:rPr>
      </w:pPr>
    </w:p>
    <w:p>
      <w:pPr>
        <w:ind w:left="820" w:hanging="169"/>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9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63" w:lineRule="exact"/>
        <w:rPr>
          <w:sz w:val="20"/>
          <w:szCs w:val="20"/>
          <w:color w:val="auto"/>
        </w:rPr>
      </w:pPr>
    </w:p>
    <w:p>
      <w:pPr>
        <w:ind w:left="740" w:hanging="89"/>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difficulty in establishing or managing relationships with clinical research organizations, or CROs, and physicians;</w:t>
      </w:r>
    </w:p>
    <w:p>
      <w:pPr>
        <w:spacing w:after="0" w:line="221" w:lineRule="exact"/>
        <w:rPr>
          <w:rFonts w:ascii="Arial" w:cs="Arial" w:eastAsia="Arial" w:hAnsi="Arial"/>
          <w:sz w:val="16"/>
          <w:szCs w:val="16"/>
          <w:color w:val="auto"/>
        </w:rPr>
      </w:pPr>
    </w:p>
    <w:p>
      <w:pPr>
        <w:ind w:left="780" w:hanging="12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520" w:hanging="89"/>
        <w:spacing w:after="0" w:line="246"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locate qualified local partners or collaborators for such clinical trials; and</w:t>
      </w:r>
    </w:p>
    <w:p>
      <w:pPr>
        <w:spacing w:after="0" w:line="198" w:lineRule="exact"/>
        <w:rPr>
          <w:rFonts w:ascii="Arial" w:cs="Arial" w:eastAsia="Arial" w:hAnsi="Arial"/>
          <w:sz w:val="18"/>
          <w:szCs w:val="18"/>
          <w:color w:val="auto"/>
        </w:rPr>
      </w:pPr>
    </w:p>
    <w:p>
      <w:pPr>
        <w:ind w:left="740" w:right="200" w:hanging="89"/>
        <w:spacing w:after="0" w:line="246"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85" w:lineRule="exact"/>
        <w:rPr>
          <w:sz w:val="20"/>
          <w:szCs w:val="20"/>
          <w:color w:val="auto"/>
        </w:rPr>
      </w:pPr>
    </w:p>
    <w:p>
      <w:pPr>
        <w:ind w:left="760" w:hanging="1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98" w:lineRule="exact"/>
        <w:rPr>
          <w:rFonts w:ascii="Arial" w:cs="Arial" w:eastAsia="Arial" w:hAnsi="Arial"/>
          <w:sz w:val="18"/>
          <w:szCs w:val="18"/>
          <w:color w:val="auto"/>
        </w:rPr>
      </w:pPr>
    </w:p>
    <w:p>
      <w:pPr>
        <w:ind w:left="740" w:right="260" w:hanging="89"/>
        <w:spacing w:after="0" w:line="24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69" w:lineRule="exact"/>
        <w:rPr>
          <w:rFonts w:ascii="Arial" w:cs="Arial" w:eastAsia="Arial" w:hAnsi="Arial"/>
          <w:sz w:val="18"/>
          <w:szCs w:val="18"/>
          <w:color w:val="auto"/>
        </w:rPr>
      </w:pPr>
    </w:p>
    <w:p>
      <w:pPr>
        <w:ind w:left="740" w:right="60" w:hanging="89"/>
        <w:spacing w:after="0" w:line="24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98" w:lineRule="exact"/>
        <w:rPr>
          <w:rFonts w:ascii="Arial" w:cs="Arial" w:eastAsia="Arial" w:hAnsi="Arial"/>
          <w:sz w:val="18"/>
          <w:szCs w:val="18"/>
          <w:color w:val="auto"/>
        </w:rPr>
      </w:pPr>
    </w:p>
    <w:p>
      <w:pPr>
        <w:ind w:left="740" w:hanging="89"/>
        <w:spacing w:after="0" w:line="24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in accordance with the FDA’s good clinical practices, or GCP, or applicable regulatory guidelines in the European Union;</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98" w:lineRule="exact"/>
        <w:rPr>
          <w:rFonts w:ascii="Arial" w:cs="Arial" w:eastAsia="Arial" w:hAnsi="Arial"/>
          <w:sz w:val="18"/>
          <w:szCs w:val="18"/>
          <w:color w:val="auto"/>
        </w:rPr>
      </w:pPr>
    </w:p>
    <w:p>
      <w:pPr>
        <w:ind w:left="740" w:right="700" w:hanging="89"/>
        <w:spacing w:after="0" w:line="307"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123" w:lineRule="exact"/>
        <w:rPr>
          <w:rFonts w:ascii="Arial" w:cs="Arial" w:eastAsia="Arial" w:hAnsi="Arial"/>
          <w:sz w:val="16"/>
          <w:szCs w:val="16"/>
          <w:color w:val="auto"/>
        </w:rPr>
      </w:pPr>
    </w:p>
    <w:p>
      <w:pPr>
        <w:ind w:left="740" w:hanging="89"/>
        <w:spacing w:after="0" w:line="207" w:lineRule="exact"/>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w:t>
      </w:r>
    </w:p>
    <w:p>
      <w:pPr>
        <w:spacing w:after="0" w:line="198" w:lineRule="exact"/>
        <w:rPr>
          <w:rFonts w:ascii="Arial" w:cs="Arial" w:eastAsia="Arial" w:hAnsi="Arial"/>
          <w:sz w:val="18"/>
          <w:szCs w:val="18"/>
          <w:color w:val="auto"/>
        </w:rPr>
      </w:pPr>
    </w:p>
    <w:p>
      <w:pPr>
        <w:ind w:left="740" w:right="340" w:hanging="89"/>
        <w:spacing w:after="0" w:line="24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69" w:lineRule="exact"/>
        <w:rPr>
          <w:rFonts w:ascii="Arial" w:cs="Arial" w:eastAsia="Arial" w:hAnsi="Arial"/>
          <w:sz w:val="18"/>
          <w:szCs w:val="18"/>
          <w:color w:val="auto"/>
        </w:rPr>
      </w:pPr>
    </w:p>
    <w:p>
      <w:pPr>
        <w:ind w:left="740" w:right="20" w:hanging="89"/>
        <w:spacing w:after="0" w:line="24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 or</w:t>
      </w:r>
    </w:p>
    <w:p>
      <w:pPr>
        <w:spacing w:after="0" w:line="209" w:lineRule="exact"/>
        <w:rPr>
          <w:rFonts w:ascii="Arial" w:cs="Arial" w:eastAsia="Arial" w:hAnsi="Arial"/>
          <w:sz w:val="17"/>
          <w:szCs w:val="17"/>
          <w:color w:val="auto"/>
        </w:rPr>
      </w:pPr>
    </w:p>
    <w:p>
      <w:pPr>
        <w:ind w:left="740" w:hanging="89"/>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21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Any inability to successfully complete preclinical studies and clinical trials could result in additional costs to us or impair our ability to generate revenues from product sales, regulatory and commercialization milestones and royalties.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61"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98" w:lineRule="exact"/>
        <w:rPr>
          <w:rFonts w:ascii="Arial" w:cs="Arial" w:eastAsia="Arial" w:hAnsi="Arial"/>
          <w:sz w:val="18"/>
          <w:szCs w:val="18"/>
          <w:color w:val="auto"/>
        </w:rPr>
      </w:pPr>
    </w:p>
    <w:p>
      <w:pPr>
        <w:ind w:left="740" w:right="460" w:hanging="89"/>
        <w:spacing w:after="0" w:line="210" w:lineRule="exact"/>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75" w:lineRule="exact"/>
        <w:rPr>
          <w:rFonts w:ascii="Arial" w:cs="Arial" w:eastAsia="Arial" w:hAnsi="Arial"/>
          <w:sz w:val="18"/>
          <w:szCs w:val="18"/>
          <w:color w:val="auto"/>
        </w:rPr>
      </w:pPr>
    </w:p>
    <w:p>
      <w:pPr>
        <w:ind w:left="740" w:right="620" w:hanging="89"/>
        <w:spacing w:after="0" w:line="24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98" w:lineRule="exact"/>
        <w:rPr>
          <w:rFonts w:ascii="Arial" w:cs="Arial" w:eastAsia="Arial" w:hAnsi="Arial"/>
          <w:sz w:val="18"/>
          <w:szCs w:val="18"/>
          <w:color w:val="auto"/>
        </w:rPr>
      </w:pPr>
    </w:p>
    <w:p>
      <w:pPr>
        <w:ind w:left="1200" w:hanging="549"/>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98" w:lineRule="exact"/>
        <w:rPr>
          <w:rFonts w:ascii="Arial" w:cs="Arial" w:eastAsia="Arial" w:hAnsi="Arial"/>
          <w:sz w:val="18"/>
          <w:szCs w:val="18"/>
          <w:color w:val="auto"/>
        </w:rPr>
      </w:pPr>
    </w:p>
    <w:p>
      <w:pPr>
        <w:ind w:left="840" w:hanging="18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98"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past clinical trials that were conducted by others with non</w:t>
      </w:r>
      <w:r>
        <w:rPr>
          <w:rFonts w:ascii="MS PGothic" w:cs="MS PGothic" w:eastAsia="MS PGothic" w:hAnsi="MS PGothic"/>
          <w:sz w:val="16"/>
          <w:szCs w:val="16"/>
          <w:color w:val="auto"/>
        </w:rPr>
        <w:t>‑</w:t>
      </w:r>
      <w:r>
        <w:rPr>
          <w:rFonts w:ascii="Arial" w:cs="Arial" w:eastAsia="Arial" w:hAnsi="Arial"/>
          <w:sz w:val="16"/>
          <w:szCs w:val="16"/>
          <w:color w:val="auto"/>
        </w:rPr>
        <w:t>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events, we may be required to halt or delay further clinical development of our product candidates.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167"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w:t>
      </w:r>
      <w:r>
        <w:rPr>
          <w:rFonts w:ascii="MS PGothic" w:cs="MS PGothic" w:eastAsia="MS PGothic" w:hAnsi="MS PGothic"/>
          <w:sz w:val="17"/>
          <w:szCs w:val="17"/>
          <w:color w:val="auto"/>
        </w:rPr>
        <w:t>‑</w:t>
      </w:r>
      <w:r>
        <w:rPr>
          <w:rFonts w:ascii="Arial" w:cs="Arial" w:eastAsia="Arial" w:hAnsi="Arial"/>
          <w:sz w:val="17"/>
          <w:szCs w:val="17"/>
          <w:color w:val="auto"/>
        </w:rPr>
        <w:t>AADC01 and VY</w:t>
      </w:r>
      <w:r>
        <w:rPr>
          <w:rFonts w:ascii="MS PGothic" w:cs="MS PGothic" w:eastAsia="MS PGothic" w:hAnsi="MS PGothic"/>
          <w:sz w:val="17"/>
          <w:szCs w:val="17"/>
          <w:color w:val="auto"/>
        </w:rPr>
        <w:t>‑</w:t>
      </w:r>
      <w:r>
        <w:rPr>
          <w:rFonts w:ascii="Arial" w:cs="Arial" w:eastAsia="Arial" w:hAnsi="Arial"/>
          <w:sz w:val="17"/>
          <w:szCs w:val="17"/>
          <w:color w:val="auto"/>
        </w:rPr>
        <w:t>HTT01 will be administered directly to the targeted cells in the brain, requiring the patient to undergo brain surgery. In a previous Phase 1 clinical trial conducted by UCSF, three patients experienced hemorrhages caused by the surgical procedure for administering VY</w:t>
      </w:r>
      <w:r>
        <w:rPr>
          <w:rFonts w:ascii="MS PGothic" w:cs="MS PGothic" w:eastAsia="MS PGothic" w:hAnsi="MS PGothic"/>
          <w:sz w:val="17"/>
          <w:szCs w:val="17"/>
          <w:color w:val="auto"/>
        </w:rPr>
        <w:t>‑</w:t>
      </w:r>
      <w:r>
        <w:rPr>
          <w:rFonts w:ascii="Arial" w:cs="Arial" w:eastAsia="Arial" w:hAnsi="Arial"/>
          <w:sz w:val="17"/>
          <w:szCs w:val="17"/>
          <w:color w:val="auto"/>
        </w:rPr>
        <w:t>AADC01. We are using the ClearPoint System, which has only been used in limited gene therapy neurosurgeries to date, in the ongoing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to provide accurate placement of the cannula in the putamen, to allow for real</w:t>
      </w:r>
      <w:r>
        <w:rPr>
          <w:rFonts w:ascii="MS PGothic" w:cs="MS PGothic" w:eastAsia="MS PGothic" w:hAnsi="MS PGothic"/>
          <w:sz w:val="17"/>
          <w:szCs w:val="17"/>
          <w:color w:val="auto"/>
        </w:rPr>
        <w:t>‑</w:t>
      </w:r>
      <w:r>
        <w:rPr>
          <w:rFonts w:ascii="Arial" w:cs="Arial" w:eastAsia="Arial" w:hAnsi="Arial"/>
          <w:sz w:val="17"/>
          <w:szCs w:val="17"/>
          <w:color w:val="auto"/>
        </w:rPr>
        <w:t>time, intra</w:t>
      </w:r>
      <w:r>
        <w:rPr>
          <w:rFonts w:ascii="MS PGothic" w:cs="MS PGothic" w:eastAsia="MS PGothic" w:hAnsi="MS PGothic"/>
          <w:sz w:val="17"/>
          <w:szCs w:val="17"/>
          <w:color w:val="auto"/>
        </w:rPr>
        <w:t>‑</w:t>
      </w:r>
      <w:r>
        <w:rPr>
          <w:rFonts w:ascii="Arial" w:cs="Arial" w:eastAsia="Arial" w:hAnsi="Arial"/>
          <w:sz w:val="17"/>
          <w:szCs w:val="17"/>
          <w:color w:val="auto"/>
        </w:rPr>
        <w:t>operative MRI to assist the physician in visualizing the delivery of VY</w:t>
      </w:r>
      <w:r>
        <w:rPr>
          <w:rFonts w:ascii="MS PGothic" w:cs="MS PGothic" w:eastAsia="MS PGothic" w:hAnsi="MS PGothic"/>
          <w:sz w:val="17"/>
          <w:szCs w:val="17"/>
          <w:color w:val="auto"/>
        </w:rPr>
        <w:t>‑</w:t>
      </w:r>
      <w:r>
        <w:rPr>
          <w:rFonts w:ascii="Arial" w:cs="Arial" w:eastAsia="Arial" w:hAnsi="Arial"/>
          <w:sz w:val="17"/>
          <w:szCs w:val="17"/>
          <w:color w:val="auto"/>
        </w:rPr>
        <w:t>AADC01 to the putamen and to avoid specific blood vessels during the duration of the surgical procedure, with the goal of reducing the risk of hemorrhages. One patient in the ongoing Phase 1b trial at UCSF experienced two SAEs, a pulmonary embolism, or blood clot in the lungs, and related heart arrhythmia, or irregular heartbeat, which were determined to be related to the surgical procedure and prolonged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03" w:lineRule="exact"/>
        <w:rPr>
          <w:sz w:val="20"/>
          <w:szCs w:val="20"/>
          <w:color w:val="auto"/>
        </w:rPr>
      </w:pPr>
      <w:r>
        <w:rPr>
          <w:rFonts w:ascii="Arial" w:cs="Arial" w:eastAsia="Arial" w:hAnsi="Arial"/>
          <w:sz w:val="18"/>
          <w:szCs w:val="18"/>
          <w:color w:val="auto"/>
        </w:rPr>
        <w:t>immobility, not VY</w:t>
      </w:r>
      <w:r>
        <w:rPr>
          <w:rFonts w:ascii="MS PGothic" w:cs="MS PGothic" w:eastAsia="MS PGothic" w:hAnsi="MS PGothic"/>
          <w:sz w:val="18"/>
          <w:szCs w:val="18"/>
          <w:color w:val="auto"/>
        </w:rPr>
        <w:t>‑</w:t>
      </w:r>
      <w:r>
        <w:rPr>
          <w:rFonts w:ascii="Arial" w:cs="Arial" w:eastAsia="Arial" w:hAnsi="Arial"/>
          <w:sz w:val="18"/>
          <w:szCs w:val="18"/>
          <w:color w:val="auto"/>
        </w:rPr>
        <w:t>AADC01. If other side effects were to occur in connection with the surgical procedure, our clinical trials could be suspended or terminated.</w:t>
      </w:r>
    </w:p>
    <w:p>
      <w:pPr>
        <w:spacing w:after="0" w:line="162"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If in the future we are unable to demonstrate that such side effects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any future SAEs are not product</w:t>
      </w:r>
      <w:r>
        <w:rPr>
          <w:rFonts w:ascii="MS PGothic" w:cs="MS PGothic" w:eastAsia="MS PGothic" w:hAnsi="MS PGothic"/>
          <w:sz w:val="16"/>
          <w:szCs w:val="16"/>
          <w:color w:val="auto"/>
        </w:rPr>
        <w:t>‑</w:t>
      </w:r>
      <w:r>
        <w:rPr>
          <w:rFonts w:ascii="Arial" w:cs="Arial" w:eastAsia="Arial" w:hAnsi="Arial"/>
          <w:sz w:val="16"/>
          <w:szCs w:val="16"/>
          <w:color w:val="auto"/>
        </w:rPr>
        <w: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spacing w:after="0" w:line="162" w:lineRule="exact"/>
        <w:rPr>
          <w:sz w:val="20"/>
          <w:szCs w:val="20"/>
          <w:color w:val="auto"/>
        </w:rPr>
      </w:pPr>
    </w:p>
    <w:p>
      <w:pPr>
        <w:ind w:left="740" w:hanging="89"/>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administered or conduct additional clinical trials;</w:t>
      </w:r>
    </w:p>
    <w:p>
      <w:pPr>
        <w:spacing w:after="0" w:line="209" w:lineRule="exact"/>
        <w:rPr>
          <w:rFonts w:ascii="Arial" w:cs="Arial" w:eastAsia="Arial" w:hAnsi="Arial"/>
          <w:sz w:val="17"/>
          <w:szCs w:val="17"/>
          <w:color w:val="auto"/>
        </w:rPr>
      </w:pPr>
    </w:p>
    <w:p>
      <w:pPr>
        <w:ind w:left="780" w:hanging="12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98" w:lineRule="exact"/>
        <w:rPr>
          <w:rFonts w:ascii="Arial" w:cs="Arial" w:eastAsia="Arial" w:hAnsi="Arial"/>
          <w:sz w:val="18"/>
          <w:szCs w:val="18"/>
          <w:color w:val="auto"/>
        </w:rPr>
      </w:pPr>
    </w:p>
    <w:p>
      <w:pPr>
        <w:ind w:left="900" w:hanging="24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62" w:lineRule="exact"/>
        <w:rPr>
          <w:sz w:val="20"/>
          <w:szCs w:val="20"/>
          <w:color w:val="auto"/>
        </w:rPr>
      </w:pPr>
    </w:p>
    <w:p>
      <w:pPr>
        <w:ind w:right="260"/>
        <w:spacing w:after="0" w:line="284" w:lineRule="auto"/>
        <w:rPr>
          <w:sz w:val="20"/>
          <w:szCs w:val="20"/>
          <w:color w:val="auto"/>
        </w:rPr>
      </w:pPr>
      <w:r>
        <w:rPr>
          <w:rFonts w:ascii="Arial" w:cs="Arial" w:eastAsia="Arial" w:hAnsi="Arial"/>
          <w:sz w:val="15"/>
          <w:szCs w:val="15"/>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3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In the European Union, EMA’s Committee for Orphan Medicinal Products grants orphan drug designation to promote the development of products that are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 affecting not more than five in 10,000 persons in the European Union. Additionally, orphan designation is granted for products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nine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9"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believe that all of our current programs may qualify for orphan drug designation.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63" w:lineRule="exact"/>
        <w:rPr>
          <w:sz w:val="20"/>
          <w:szCs w:val="20"/>
          <w:color w:val="auto"/>
        </w:rPr>
      </w:pPr>
    </w:p>
    <w:p>
      <w:pPr>
        <w:ind w:left="740" w:right="480" w:hanging="89"/>
        <w:spacing w:after="0" w:line="275"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46" w:lineRule="exact"/>
        <w:rPr>
          <w:rFonts w:ascii="Arial" w:cs="Arial" w:eastAsia="Arial" w:hAnsi="Arial"/>
          <w:sz w:val="17"/>
          <w:szCs w:val="17"/>
          <w:color w:val="auto"/>
        </w:rPr>
      </w:pPr>
    </w:p>
    <w:p>
      <w:pPr>
        <w:ind w:left="740" w:right="280" w:hanging="89"/>
        <w:spacing w:after="0" w:line="246"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69" w:lineRule="exact"/>
        <w:rPr>
          <w:rFonts w:ascii="Arial" w:cs="Arial" w:eastAsia="Arial" w:hAnsi="Arial"/>
          <w:sz w:val="18"/>
          <w:szCs w:val="18"/>
          <w:color w:val="auto"/>
        </w:rPr>
      </w:pPr>
    </w:p>
    <w:p>
      <w:pPr>
        <w:ind w:left="740" w:right="560" w:hanging="89"/>
        <w:spacing w:after="0" w:line="246"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biological product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b w:val="1"/>
          <w:bCs w:val="1"/>
          <w:i w:val="1"/>
          <w:iCs w:val="1"/>
          <w:color w:val="auto"/>
        </w:rPr>
        <w:t>Even if we successfully complete the necessary clinical trials, we cannot predict when, or if, we will obtain regulatory approval to commercialize a product candidate and the approval may be for a more narrow indication than we seek.</w:t>
      </w:r>
    </w:p>
    <w:p>
      <w:pPr>
        <w:spacing w:after="0" w:line="102"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issue a complete response letter, or ultimately we may not be able to obtain regulatory approval. Additional delays may result if an FDA Advisory Committee or other regulatory authority recommends non</w:t>
      </w:r>
      <w:r>
        <w:rPr>
          <w:rFonts w:ascii="MS PGothic" w:cs="MS PGothic" w:eastAsia="MS PGothic" w:hAnsi="MS PGothic"/>
          <w:sz w:val="16"/>
          <w:szCs w:val="16"/>
          <w:color w:val="auto"/>
        </w:rPr>
        <w:t>‑</w:t>
      </w:r>
      <w:r>
        <w:rPr>
          <w:rFonts w:ascii="Arial" w:cs="Arial" w:eastAsia="Arial" w:hAnsi="Arial"/>
          <w:sz w:val="16"/>
          <w:szCs w:val="16"/>
          <w:color w:val="auto"/>
        </w:rPr>
        <w:t>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approval for a product candidate, our products will remain subject to regulatory oversight.</w:t>
      </w:r>
    </w:p>
    <w:p>
      <w:pPr>
        <w:spacing w:after="0" w:line="20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w:t>
      </w:r>
      <w:r>
        <w:rPr>
          <w:rFonts w:ascii="MS PGothic" w:cs="MS PGothic" w:eastAsia="MS PGothic" w:hAnsi="MS PGothic"/>
          <w:sz w:val="17"/>
          <w:szCs w:val="17"/>
          <w:color w:val="auto"/>
        </w:rPr>
        <w:t>‑</w:t>
      </w:r>
      <w:r>
        <w:rPr>
          <w:rFonts w:ascii="Arial" w:cs="Arial" w:eastAsia="Arial" w:hAnsi="Arial"/>
          <w:sz w:val="17"/>
          <w:szCs w:val="17"/>
          <w:color w:val="auto"/>
        </w:rPr>
        <w:t>keeping and submission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w:t>
      </w:r>
      <w:r>
        <w:rPr>
          <w:rFonts w:ascii="MS PGothic" w:cs="MS PGothic" w:eastAsia="MS PGothic" w:hAnsi="MS PGothic"/>
          <w:sz w:val="17"/>
          <w:szCs w:val="17"/>
          <w:color w:val="auto"/>
        </w:rPr>
        <w:t>‑</w:t>
      </w:r>
      <w:r>
        <w:rPr>
          <w:rFonts w:ascii="Arial" w:cs="Arial" w:eastAsia="Arial" w:hAnsi="Arial"/>
          <w:sz w:val="17"/>
          <w:szCs w:val="17"/>
          <w:color w:val="auto"/>
        </w:rPr>
        <w:t>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3"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63"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62" w:lineRule="exact"/>
        <w:rPr>
          <w:sz w:val="20"/>
          <w:szCs w:val="20"/>
          <w:color w:val="auto"/>
        </w:rPr>
      </w:pPr>
    </w:p>
    <w:p>
      <w:pPr>
        <w:ind w:left="760" w:hanging="109"/>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98" w:lineRule="exact"/>
        <w:rPr>
          <w:rFonts w:ascii="Arial" w:cs="Arial" w:eastAsia="Arial" w:hAnsi="Arial"/>
          <w:sz w:val="18"/>
          <w:szCs w:val="18"/>
          <w:color w:val="auto"/>
        </w:rPr>
      </w:pPr>
    </w:p>
    <w:p>
      <w:pPr>
        <w:ind w:left="840" w:hanging="189"/>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98" w:lineRule="exact"/>
        <w:rPr>
          <w:rFonts w:ascii="Arial" w:cs="Arial" w:eastAsia="Arial" w:hAnsi="Arial"/>
          <w:sz w:val="18"/>
          <w:szCs w:val="18"/>
          <w:color w:val="auto"/>
        </w:rPr>
      </w:pPr>
    </w:p>
    <w:p>
      <w:pPr>
        <w:ind w:left="740" w:right="580" w:hanging="89"/>
        <w:spacing w:after="0" w:line="246"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69" w:lineRule="exact"/>
        <w:rPr>
          <w:rFonts w:ascii="Arial" w:cs="Arial" w:eastAsia="Arial" w:hAnsi="Arial"/>
          <w:sz w:val="18"/>
          <w:szCs w:val="18"/>
          <w:color w:val="auto"/>
        </w:rPr>
      </w:pPr>
    </w:p>
    <w:p>
      <w:pPr>
        <w:ind w:left="780" w:hanging="12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hanging="89"/>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98"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63"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62"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63" w:lineRule="exact"/>
        <w:rPr>
          <w:sz w:val="20"/>
          <w:szCs w:val="20"/>
          <w:color w:val="auto"/>
        </w:rPr>
      </w:pPr>
    </w:p>
    <w:p>
      <w:pPr>
        <w:ind w:right="359" w:firstLine="648"/>
        <w:spacing w:after="0" w:line="249"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55" w:lineRule="exact"/>
        <w:rPr>
          <w:sz w:val="20"/>
          <w:szCs w:val="20"/>
          <w:color w:val="auto"/>
        </w:rPr>
      </w:pPr>
    </w:p>
    <w:p>
      <w:pPr>
        <w:ind w:right="19" w:firstLine="648"/>
        <w:spacing w:after="0" w:line="256" w:lineRule="auto"/>
        <w:rPr>
          <w:sz w:val="20"/>
          <w:szCs w:val="20"/>
          <w:color w:val="auto"/>
        </w:rPr>
      </w:pPr>
      <w:r>
        <w:rPr>
          <w:rFonts w:ascii="Arial" w:cs="Arial" w:eastAsia="Arial" w:hAnsi="Arial"/>
          <w:sz w:val="16"/>
          <w:szCs w:val="16"/>
          <w:color w:val="auto"/>
        </w:rPr>
        <w:t>We are aware of several companies focused on developing gene therapies in various indications, including bluebird bio, Inc., Abeona Therapeutics, Inc., Adverum Biotechnologies, Inc., Agilis Biotherapeutics, LLC, Applied Genetic Technologies Corporation, Asklepios BioPharmaceutical, Inc., Audentes Therapeutics, Inc., AveXis, Inc., Bamboo Therapeutics (now Pfizer Inc., or Pfizer), Dimension Therapeutics, Inc., GenSight Biologics SA, MeiraGTx Ltd., NightstaRx Ltd, REGENXBio Inc., uniQure NV, or uniQure, and Spark Therapeutics, Inc. or Spark,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98" w:lineRule="exact"/>
        <w:rPr>
          <w:sz w:val="20"/>
          <w:szCs w:val="20"/>
          <w:color w:val="auto"/>
        </w:rPr>
      </w:pPr>
    </w:p>
    <w:p>
      <w:pPr>
        <w:ind w:right="39" w:firstLine="648"/>
        <w:spacing w:after="0" w:line="238" w:lineRule="auto"/>
        <w:rPr>
          <w:sz w:val="20"/>
          <w:szCs w:val="20"/>
          <w:color w:val="auto"/>
        </w:rPr>
      </w:pPr>
      <w:r>
        <w:rPr>
          <w:rFonts w:ascii="Arial" w:cs="Arial" w:eastAsia="Arial" w:hAnsi="Arial"/>
          <w:sz w:val="17"/>
          <w:szCs w:val="17"/>
          <w:color w:val="auto"/>
        </w:rPr>
        <w:t>We expect that VY-AADC01 will compete with a variety of therapies currently marketed and in development for advanced Parkinson's disease, including DBS marketed by Medtronic plc, Abbott Laboratories (recently acquired from St Jude Medical), and other medical device companies, DUOPA/Duodopa marketed by AbbVie Inc., as well as other novel, non-oral forms of levodopa in development, including NeuroDerm’s ND0612, Acorda Therapeutic’s CVT-301, and sublingual apomorphine in development at Sunovion Pharmaceuticals (acquired from Cynapsus Therapeutics). Gene therapy competition for advanced Parkinson’s disease previously included AMT-090 or AAV-GDNF, but this was recently deprioritized by uniQure Oxford Biomedica plc could commence a Phase 1/2 trial in 2017 of OXB-102/Prosavin subject to successfully out-licensing or spinning out the product.</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23" w:lineRule="exact"/>
        <w:rPr>
          <w:sz w:val="20"/>
          <w:szCs w:val="20"/>
          <w:color w:val="auto"/>
        </w:rPr>
      </w:pPr>
    </w:p>
    <w:p>
      <w:pPr>
        <w:ind w:left="740" w:right="339" w:hanging="89"/>
        <w:spacing w:after="0" w:line="239"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VY-SOD101 for a monogenic form of ALS will potentially compete with IONIS-SOD1R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Pharmaceuticals, Inc., or Ionis, in collaboration with Biogen, and Tirasemtiv being developed by Cytokinetics, Inc., or Cytokinetics;</w:t>
      </w: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100" w:hanging="89"/>
        <w:spacing w:after="0" w:line="231"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AAV-FXN being developed by Adverum Biotechnologies, AAV-FXN being developed by Bamboo Therapeutics (now Pfizer Inc., or Pfizer), and frataxin targeted gene therapy being developed by Agilis Biotherapeutics, LLC in collaboration with Intrexon Corporation and BB-FA being developed by BioBlast Pharma Ltd., or BioBlast;</w:t>
      </w:r>
    </w:p>
    <w:p>
      <w:pPr>
        <w:spacing w:after="0" w:line="107" w:lineRule="exact"/>
        <w:rPr>
          <w:rFonts w:ascii="Arial" w:cs="Arial" w:eastAsia="Arial" w:hAnsi="Arial"/>
          <w:sz w:val="18"/>
          <w:szCs w:val="18"/>
          <w:color w:val="auto"/>
        </w:rPr>
      </w:pPr>
    </w:p>
    <w:p>
      <w:pPr>
        <w:ind w:left="740" w:right="40" w:hanging="89"/>
        <w:spacing w:after="0" w:line="231"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IONIS-HTTRx being developed by Ionis in collaboration with F. Hoffmann-La Roche Ltd., or Roche, WVE-120101 being developed by WAVE Life Sciences, a gene editing approach being developed by Sangamo Biosciences, Inc. in collaboration with Shire plc, and gene therapies being developed by uniQure and Spark;</w:t>
      </w:r>
    </w:p>
    <w:p>
      <w:pPr>
        <w:spacing w:after="0" w:line="107" w:lineRule="exact"/>
        <w:rPr>
          <w:rFonts w:ascii="Arial" w:cs="Arial" w:eastAsia="Arial" w:hAnsi="Arial"/>
          <w:sz w:val="18"/>
          <w:szCs w:val="18"/>
          <w:color w:val="auto"/>
        </w:rPr>
      </w:pPr>
    </w:p>
    <w:p>
      <w:pPr>
        <w:ind w:left="740" w:right="40" w:hanging="89"/>
        <w:spacing w:after="0" w:line="264"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VY-TAU01 for FTD/Alzheimer’s disease will potentially compete with Tau antibodies being developed by Roche Genentech Inc. in collaboration with AC Immune SA, Eli Lilly &amp; Co., Bristol-Myers Squibb, AbbVie Inc., Biogen Inc., and several other companies, as well as an antisense oligonucleotide program being developed by Ionis; and</w:t>
      </w:r>
    </w:p>
    <w:p>
      <w:pPr>
        <w:spacing w:after="0" w:line="1" w:lineRule="exact"/>
        <w:rPr>
          <w:rFonts w:ascii="Arial" w:cs="Arial" w:eastAsia="Arial" w:hAnsi="Arial"/>
          <w:sz w:val="16"/>
          <w:szCs w:val="16"/>
          <w:color w:val="auto"/>
        </w:rPr>
      </w:pPr>
    </w:p>
    <w:p>
      <w:pPr>
        <w:ind w:left="740" w:right="160" w:hanging="89"/>
        <w:spacing w:after="0" w:line="239"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VY-NAV01 for severe, chronic pain will potentially compete with Na</w:t>
      </w:r>
      <w:r>
        <w:rPr>
          <w:rFonts w:ascii="Arial" w:cs="Arial" w:eastAsia="Arial" w:hAnsi="Arial"/>
          <w:sz w:val="30"/>
          <w:szCs w:val="30"/>
          <w:color w:val="auto"/>
          <w:vertAlign w:val="subscript"/>
        </w:rPr>
        <w:t>v</w:t>
      </w:r>
      <w:r>
        <w:rPr>
          <w:rFonts w:ascii="Arial" w:cs="Arial" w:eastAsia="Arial" w:hAnsi="Arial"/>
          <w:sz w:val="18"/>
          <w:szCs w:val="18"/>
          <w:color w:val="auto"/>
        </w:rPr>
        <w:t>1.7 inhibitors being developed by Pfizer, Teva Pharmaceuticals, Biogen Inc., Roche Genentech Inc. in collaboration with Xenon Pharmaceuticals, Amgen, and Astellas Pharma Inc.</w:t>
      </w:r>
    </w:p>
    <w:p>
      <w:pPr>
        <w:spacing w:after="0" w:line="108"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64"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6"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187" w:lineRule="exact"/>
        <w:rPr>
          <w:sz w:val="20"/>
          <w:szCs w:val="20"/>
          <w:color w:val="auto"/>
        </w:rPr>
      </w:pPr>
      <w:r>
        <w:rPr>
          <w:rFonts w:ascii="Arial" w:cs="Arial" w:eastAsia="Arial" w:hAnsi="Arial"/>
          <w:sz w:val="16"/>
          <w:szCs w:val="16"/>
          <w:color w:val="auto"/>
        </w:rPr>
        <w:t>extensive warnings on the product labeling or require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95"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120"/>
        <w:spacing w:after="0" w:line="324" w:lineRule="auto"/>
        <w:rPr>
          <w:sz w:val="20"/>
          <w:szCs w:val="20"/>
          <w:color w:val="auto"/>
        </w:rPr>
      </w:pPr>
      <w:r>
        <w:rPr>
          <w:rFonts w:ascii="Arial" w:cs="Arial" w:eastAsia="Arial" w:hAnsi="Arial"/>
          <w:sz w:val="15"/>
          <w:szCs w:val="15"/>
          <w:b w:val="1"/>
          <w:bCs w:val="1"/>
          <w:i w:val="1"/>
          <w:iCs w:val="1"/>
          <w:color w:val="auto"/>
        </w:rPr>
        <w:t>To date, all of our revenue has been derived from our collaboration with Sanofi</w:t>
      </w:r>
      <w:r>
        <w:rPr>
          <w:rFonts w:ascii="Arial" w:cs="Arial" w:eastAsia="Arial" w:hAnsi="Arial"/>
          <w:sz w:val="15"/>
          <w:szCs w:val="15"/>
          <w:color w:val="auto"/>
        </w:rPr>
        <w:t>-</w:t>
      </w:r>
      <w:r>
        <w:rPr>
          <w:rFonts w:ascii="Arial" w:cs="Arial" w:eastAsia="Arial" w:hAnsi="Arial"/>
          <w:sz w:val="15"/>
          <w:szCs w:val="15"/>
          <w:b w:val="1"/>
          <w:bCs w:val="1"/>
          <w:i w:val="1"/>
          <w:iCs w:val="1"/>
          <w:color w:val="auto"/>
        </w:rPr>
        <w:t>Genzyme, and if this collaboration agreement were to be terminated, our business financial condition, results of operations and prospects would be harmed.</w:t>
      </w:r>
    </w:p>
    <w:p>
      <w:pPr>
        <w:spacing w:after="0" w:line="34" w:lineRule="exact"/>
        <w:rPr>
          <w:sz w:val="20"/>
          <w:szCs w:val="20"/>
          <w:color w:val="auto"/>
        </w:rPr>
      </w:pPr>
    </w:p>
    <w:p>
      <w:pPr>
        <w:ind w:right="140" w:firstLine="648"/>
        <w:spacing w:after="0" w:line="178" w:lineRule="exact"/>
        <w:rPr>
          <w:sz w:val="20"/>
          <w:szCs w:val="20"/>
          <w:color w:val="auto"/>
        </w:rPr>
      </w:pPr>
      <w:r>
        <w:rPr>
          <w:rFonts w:ascii="Arial" w:cs="Arial" w:eastAsia="Arial" w:hAnsi="Arial"/>
          <w:sz w:val="16"/>
          <w:szCs w:val="16"/>
          <w:color w:val="auto"/>
        </w:rPr>
        <w:t>In February 2015, we entered into a collaboration agreement with Sanofi-Genzyme to leverage our combined expertise and assets in gene therapy for CNS diseases. Under the agreement, we received an upfront commitment of approximately $100.0 million. Pursuant to the agreement, we granted Sanofi-Genzyme an exclusive option to license, develop and commercialize (i) ex</w:t>
      </w:r>
      <w:r>
        <w:rPr>
          <w:rFonts w:ascii="MS PGothic" w:cs="MS PGothic" w:eastAsia="MS PGothic" w:hAnsi="MS PGothic"/>
          <w:sz w:val="16"/>
          <w:szCs w:val="16"/>
          <w:color w:val="auto"/>
        </w:rPr>
        <w:t>‑</w:t>
      </w:r>
      <w:r>
        <w:rPr>
          <w:rFonts w:ascii="Arial" w:cs="Arial" w:eastAsia="Arial" w:hAnsi="Arial"/>
          <w:sz w:val="16"/>
          <w:szCs w:val="16"/>
          <w:color w:val="auto"/>
        </w:rPr>
        <w:t>U.S. rights to our advanced Parkinson’s disease, Friedreich’s ataxia and Huntington’s disease programs and a future program, or the Split Territory Programs, with an incremental option to co</w:t>
      </w:r>
      <w:r>
        <w:rPr>
          <w:rFonts w:ascii="MS PGothic" w:cs="MS PGothic" w:eastAsia="MS PGothic" w:hAnsi="MS PGothic"/>
          <w:sz w:val="16"/>
          <w:szCs w:val="16"/>
          <w:color w:val="auto"/>
        </w:rPr>
        <w:t>‑</w:t>
      </w:r>
      <w:r>
        <w:rPr>
          <w:rFonts w:ascii="Arial" w:cs="Arial" w:eastAsia="Arial" w:hAnsi="Arial"/>
          <w:sz w:val="16"/>
          <w:szCs w:val="16"/>
          <w:color w:val="auto"/>
        </w:rPr>
        <w:t>commercialize the product candidate from our Huntington’s disease program in the United States and (ii) worldwide rights to our SMA program. If Sanofi-Genzyme exercises an option for a Split Territory Program, except for our advanced Parkinson’s disease program, it is required to make an option exercise payment to us. Furthermore, Sanofi-Genzyme shall pay up to</w:t>
      </w:r>
    </w:p>
    <w:p>
      <w:pPr>
        <w:spacing w:after="0" w:line="4"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$645.0 million in the aggregate upon the achievement of specified regulatory and commercial milestones, and will pay us tiered royalty payments based on a percentage of net sales of product candidates from the programs for which it is exercised its option, or the Optioned Programs.</w:t>
      </w:r>
    </w:p>
    <w:p>
      <w:pPr>
        <w:spacing w:after="0" w:line="82"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Following Sanofi-Genzyme’s exercise of an option for a program, Sanofi-Genzyme will have sole responsibility for the development and commercialization of the product candidates from such program in the applicable territory. Sanofi-Genzyme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Sanofi-Genzyme may not be effective in obtaining approvals for the product candidates developed from the Optioned Programs or in marketing, or arranging for necessary supply, manufacturing or distribution relationships for, any approved products. Furthermore, Sanofi-Genzyme may change its strategic focus or pursue alternative technologies in a manner that results in reduced, delayed or no revenue to us. Sanofi-Genzyme has a variety of marketed products and product candidates under collaboration with other companies, including some of our competitors, and its own corporate objectives may not be consistent with our best interests. If Sanofi-Genzyme fails to develop, obtain regulatory approval for or ultimately commercialize any product candidate from the Optioned Programs in the applicable territories, or if Sanofi-Genzyme terminates our collaboration, our business, financial condition, results of operations and prospects would be harmed. In addition, any dispute or litigation proceedings we may have with Sanofi-Genzyme in the future could delay development programs, create uncertainty as to ownership of or access to intellectual property rights, distract management from other business activities and generate substantial expense.</w:t>
      </w:r>
    </w:p>
    <w:p>
      <w:pPr>
        <w:spacing w:after="0" w:line="103"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We have only used the ClearPoint System to deliver our product. While other devices for delivery may be used in the future, any issues with the ClearPoint System or the manufacturer of the ClearPoint System, may result in delays in the development and commercialization of certain of our product candidates, which could have an adverse impact on our business.</w:t>
      </w:r>
    </w:p>
    <w:p>
      <w:pPr>
        <w:spacing w:after="0" w:line="163"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The ClearPoint System is being used in the ongoing Phase 1b clinical trial of VY-AADC01as a treatment for advanced Parkinson’s disease, and we may continue to use the ClearPoint System in future clinical trials of VY-AADC01 and any other of our product candidates that are injected directly into the brain. Therefore, any issues with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ClearPoint System, such as a finding that use of the ClearPoint System causes adverse events or a product recall, or the manufacturer of the ClearPoint System, such as bankruptcy or a decision to stop production of the system due to lack of profitability, could delay the development or commercialization of certain of our product candidates as there currently is no other manufacturer of the ClearPoint System and we are not aware of any other medical device that would be deemed substantially equivalent to the Clearpoint System. As of December 31, 2016, MRI Interventions, the manufacturer of the ClearPoint System, reported cash and cash equivalents of $3.3 million on its balance sheet, secured debt (senior and junior) totaling approximately $4.3 million, and a net loss for $1.7 million for 2016. In addition, in its past several Quarterly Reports on Form 10-Q, MRI Interventions has indicated that there is substantial doubt as to its ability to continue as a going concern, unless it raises the additional capital needed to run the business.</w:t>
      </w:r>
    </w:p>
    <w:p>
      <w:pPr>
        <w:spacing w:after="0" w:line="162" w:lineRule="exact"/>
        <w:rPr>
          <w:sz w:val="20"/>
          <w:szCs w:val="20"/>
          <w:color w:val="auto"/>
        </w:rPr>
      </w:pPr>
    </w:p>
    <w:p>
      <w:pPr>
        <w:ind w:right="720"/>
        <w:spacing w:after="0" w:line="289" w:lineRule="auto"/>
        <w:rPr>
          <w:sz w:val="20"/>
          <w:szCs w:val="20"/>
          <w:color w:val="auto"/>
        </w:rPr>
      </w:pPr>
      <w:r>
        <w:rPr>
          <w:rFonts w:ascii="Arial" w:cs="Arial" w:eastAsia="Arial" w:hAnsi="Arial"/>
          <w:sz w:val="16"/>
          <w:szCs w:val="16"/>
          <w:b w:val="1"/>
          <w:bCs w:val="1"/>
          <w:i w:val="1"/>
          <w:iCs w:val="1"/>
          <w:color w:val="auto"/>
        </w:rPr>
        <w:t>We will seek to enter into collaborations in the future with other third parties. If we are unable to enter into such collaborations, or if these collaborations are not successful, our business could be adversely affected.</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will seek to enter into additional collaborations in the future, however, we may not be able to enter into additional collaborations on favorable terms or at all. Our ability to generate revenues from our collaborations will depend on our and our collaborators’ abilities to successfully perform the functions assigned to each of us in these arrangements. In addition, our collaborators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 with any future collaborations may pose several risks, including the following:</w:t>
      </w:r>
    </w:p>
    <w:p>
      <w:pPr>
        <w:spacing w:after="0" w:line="185" w:lineRule="exact"/>
        <w:rPr>
          <w:sz w:val="20"/>
          <w:szCs w:val="20"/>
          <w:color w:val="auto"/>
        </w:rPr>
      </w:pPr>
    </w:p>
    <w:p>
      <w:pPr>
        <w:ind w:left="740" w:right="500" w:hanging="89"/>
        <w:spacing w:after="0" w:line="246"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69" w:lineRule="exact"/>
        <w:rPr>
          <w:rFonts w:ascii="Arial" w:cs="Arial" w:eastAsia="Arial" w:hAnsi="Arial"/>
          <w:sz w:val="18"/>
          <w:szCs w:val="18"/>
          <w:color w:val="auto"/>
        </w:rPr>
      </w:pPr>
    </w:p>
    <w:p>
      <w:pPr>
        <w:ind w:left="780" w:hanging="12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clinical trials conducted as part of these collaborations may not be successful;</w:t>
      </w:r>
    </w:p>
    <w:p>
      <w:pPr>
        <w:spacing w:after="0" w:line="198" w:lineRule="exact"/>
        <w:rPr>
          <w:rFonts w:ascii="Arial" w:cs="Arial" w:eastAsia="Arial" w:hAnsi="Arial"/>
          <w:sz w:val="18"/>
          <w:szCs w:val="18"/>
          <w:color w:val="auto"/>
        </w:rPr>
      </w:pPr>
    </w:p>
    <w:p>
      <w:pPr>
        <w:ind w:left="740" w:right="20" w:hanging="89"/>
        <w:spacing w:after="0" w:line="231"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Arial" w:cs="Arial" w:eastAsia="Arial" w:hAnsi="Arial"/>
          <w:sz w:val="18"/>
          <w:szCs w:val="18"/>
          <w:color w:val="auto"/>
        </w:rPr>
      </w:pPr>
    </w:p>
    <w:p>
      <w:pPr>
        <w:ind w:left="740" w:hanging="89"/>
        <w:spacing w:after="0" w:line="235"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trials;</w:t>
      </w:r>
    </w:p>
    <w:p>
      <w:pPr>
        <w:spacing w:after="0" w:line="175" w:lineRule="exact"/>
        <w:rPr>
          <w:rFonts w:ascii="Arial" w:cs="Arial" w:eastAsia="Arial" w:hAnsi="Arial"/>
          <w:sz w:val="18"/>
          <w:szCs w:val="18"/>
          <w:color w:val="auto"/>
        </w:rPr>
      </w:pPr>
    </w:p>
    <w:p>
      <w:pPr>
        <w:ind w:left="740" w:hanging="89"/>
        <w:spacing w:after="0" w:line="235"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75" w:lineRule="exact"/>
        <w:rPr>
          <w:rFonts w:ascii="Arial" w:cs="Arial" w:eastAsia="Arial" w:hAnsi="Arial"/>
          <w:sz w:val="18"/>
          <w:szCs w:val="18"/>
          <w:color w:val="auto"/>
        </w:rPr>
      </w:pPr>
    </w:p>
    <w:p>
      <w:pPr>
        <w:ind w:left="740" w:right="220" w:hanging="89"/>
        <w:spacing w:after="0" w:line="276"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48" w:lineRule="exact"/>
        <w:rPr>
          <w:rFonts w:ascii="Arial" w:cs="Arial" w:eastAsia="Arial" w:hAnsi="Arial"/>
          <w:sz w:val="16"/>
          <w:szCs w:val="16"/>
          <w:color w:val="auto"/>
        </w:rPr>
      </w:pPr>
    </w:p>
    <w:p>
      <w:pPr>
        <w:ind w:left="740" w:right="360" w:hanging="89"/>
        <w:spacing w:after="0" w:line="235"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360" w:hanging="89"/>
        <w:spacing w:after="0" w:line="235"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Arial" w:cs="Arial" w:eastAsia="Arial" w:hAnsi="Arial"/>
          <w:sz w:val="18"/>
          <w:szCs w:val="18"/>
          <w:color w:val="auto"/>
        </w:rPr>
      </w:pPr>
    </w:p>
    <w:p>
      <w:pPr>
        <w:ind w:left="740" w:right="40" w:hanging="89"/>
        <w:spacing w:after="0" w:line="197" w:lineRule="exact"/>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w:t>
      </w:r>
    </w:p>
    <w:p>
      <w:pPr>
        <w:spacing w:after="0" w:line="110" w:lineRule="exact"/>
        <w:rPr>
          <w:rFonts w:ascii="Arial" w:cs="Arial" w:eastAsia="Arial" w:hAnsi="Arial"/>
          <w:sz w:val="18"/>
          <w:szCs w:val="18"/>
          <w:color w:val="auto"/>
        </w:rPr>
      </w:pPr>
    </w:p>
    <w:p>
      <w:pPr>
        <w:jc w:val="both"/>
        <w:ind w:left="740" w:right="440" w:hanging="89"/>
        <w:spacing w:after="0" w:line="235"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7" w:lineRule="exact"/>
        <w:rPr>
          <w:rFonts w:ascii="Arial" w:cs="Arial" w:eastAsia="Arial" w:hAnsi="Arial"/>
          <w:sz w:val="18"/>
          <w:szCs w:val="18"/>
          <w:color w:val="auto"/>
        </w:rPr>
      </w:pPr>
    </w:p>
    <w:p>
      <w:pPr>
        <w:ind w:left="740" w:right="80" w:hanging="89"/>
        <w:spacing w:after="0" w:line="246"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02" w:lineRule="exact"/>
        <w:rPr>
          <w:rFonts w:ascii="Arial" w:cs="Arial" w:eastAsia="Arial" w:hAnsi="Arial"/>
          <w:sz w:val="18"/>
          <w:szCs w:val="18"/>
          <w:color w:val="auto"/>
        </w:rPr>
      </w:pPr>
    </w:p>
    <w:p>
      <w:pPr>
        <w:ind w:left="740" w:right="280" w:hanging="89"/>
        <w:spacing w:after="0" w:line="246"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2" w:lineRule="exact"/>
        <w:rPr>
          <w:rFonts w:ascii="Arial" w:cs="Arial" w:eastAsia="Arial" w:hAnsi="Arial"/>
          <w:sz w:val="18"/>
          <w:szCs w:val="18"/>
          <w:color w:val="auto"/>
        </w:rPr>
      </w:pPr>
    </w:p>
    <w:p>
      <w:pPr>
        <w:ind w:left="740" w:right="280" w:hanging="89"/>
        <w:spacing w:after="0" w:line="246"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102" w:lineRule="exact"/>
        <w:rPr>
          <w:rFonts w:ascii="Arial" w:cs="Arial" w:eastAsia="Arial" w:hAnsi="Arial"/>
          <w:sz w:val="18"/>
          <w:szCs w:val="18"/>
          <w:color w:val="auto"/>
        </w:rPr>
      </w:pPr>
    </w:p>
    <w:p>
      <w:pPr>
        <w:ind w:left="740" w:right="20" w:hanging="89"/>
        <w:spacing w:after="0" w:line="307"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6"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Annual Report apply to the activities of our collaborators.</w:t>
      </w:r>
    </w:p>
    <w:p>
      <w:pPr>
        <w:spacing w:after="0" w:line="8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We will face significant competition in seeking appropriate collaborators and the negotiation process is</w:t>
      </w:r>
    </w:p>
    <w:p>
      <w:pPr>
        <w:ind w:right="60"/>
        <w:spacing w:after="0" w:line="183" w:lineRule="exact"/>
        <w:rPr>
          <w:sz w:val="20"/>
          <w:szCs w:val="20"/>
          <w:color w:val="auto"/>
        </w:rPr>
      </w:pPr>
      <w:r>
        <w:rPr>
          <w:rFonts w:ascii="Arial" w:cs="Arial" w:eastAsia="Arial" w:hAnsi="Arial"/>
          <w:sz w:val="18"/>
          <w:szCs w:val="18"/>
          <w:color w:val="auto"/>
        </w:rPr>
        <w:t>time</w:t>
      </w:r>
      <w:r>
        <w:rPr>
          <w:rFonts w:ascii="MS PGothic" w:cs="MS PGothic" w:eastAsia="MS PGothic" w:hAnsi="MS PGothic"/>
          <w:sz w:val="18"/>
          <w:szCs w:val="18"/>
          <w:color w:val="auto"/>
        </w:rPr>
        <w:t>‑</w:t>
      </w:r>
      <w:r>
        <w:rPr>
          <w:rFonts w:ascii="Arial" w:cs="Arial" w:eastAsia="Arial" w:hAnsi="Arial"/>
          <w:sz w:val="18"/>
          <w:szCs w:val="18"/>
          <w:color w:val="auto"/>
        </w:rPr>
        <w:t>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If we license rights to product candidates, we may not be able to realize the benefit of such transactions if we are unable to successfully integrate them with our existing operations and company culture.</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expect to rely on third parties to conduct, supervise and monitor our clinical trials, and if these third parties perform in an unsatisfactory manner, our business could be harmed.</w:t>
      </w:r>
    </w:p>
    <w:p>
      <w:pPr>
        <w:spacing w:after="0" w:line="94"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expect to rely on CROs and clinical trial sites to ensure our clinical trials are conducted properly and on time. While we will have agreements governing their activities, we will have limited influence over their actual performance. We will control only certain aspects of our CROs’ activities. Nevertheless, we will be responsible for ensuring that each of our clinical studies is conducted in accordance with the applicable protocol, legal, regulatory and scientific standards, and our reliance on the CROs does not relieve us of our regulatory responsibilities. For example, the only clinical trial of any of our product candidates or programs is being conducted by UCSF and UPMC. If UCSF or UPMC terminated the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we would be required to find another party to conduct any new trials. We may be unable to find a new party to conduct new trials of our product candidates or obtain clinical supply of our product candidates or AAV vectors for such trials.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our CROs are required to comply with the FDA’s GCPs for conducting, recording and reporting the results of IND</w:t>
      </w:r>
      <w:r>
        <w:rPr>
          <w:rFonts w:ascii="MS PGothic" w:cs="MS PGothic" w:eastAsia="MS PGothic" w:hAnsi="MS PGothic"/>
          <w:sz w:val="17"/>
          <w:szCs w:val="17"/>
          <w:color w:val="auto"/>
        </w:rPr>
        <w:t>‑</w:t>
      </w:r>
      <w:r>
        <w:rPr>
          <w:rFonts w:ascii="Arial" w:cs="Arial" w:eastAsia="Arial" w:hAnsi="Arial"/>
          <w:sz w:val="17"/>
          <w:szCs w:val="17"/>
          <w:color w:val="auto"/>
        </w:rPr>
        <w:t>enabling studies and clinical studies to assure that the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future clinical trials may be deemed unreliable and the FDA may require us to perform additional clinical trials before approving any marketing applications. Upon inspection, the FDA may determine that our clinical trials did not comply with GCPs. In addition, our future clinical trials will require a sufficient number of patients to evaluate the safety and effectiveness of our product candidates. Accordingly, if our CROs fail to comply with these regulations or fail to recruit a sufficient number of patients, we may be required to repeat such clinical trials, which would delay the regulatory approval process.</w:t>
      </w:r>
    </w:p>
    <w:p>
      <w:pPr>
        <w:spacing w:after="0" w:line="96"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Our CROs are not our employees, and we are therefore unable to directly monitor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that could harm our competitive position.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2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 AAV production system, a technology for producing AAV vectors at scale in insect-derived cells. The process has been successfully transferred to our contract manufacturing organizations where it is used in manufacturing clinical materials in accordance with the FDA’s current good manufacturing practices (cGMPs). We are also building an onsite, state-of-the-art process research and development facility to enable the manufacturing of high quality AAV gene therapies.</w:t>
      </w:r>
    </w:p>
    <w:p>
      <w:pPr>
        <w:spacing w:after="0" w:line="168"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To date, our third-party manufacturers have met our manufacturing requirements. We expect third 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161" w:lineRule="exact"/>
        <w:rPr>
          <w:sz w:val="20"/>
          <w:szCs w:val="20"/>
          <w:color w:val="auto"/>
        </w:rPr>
      </w:pPr>
    </w:p>
    <w:p>
      <w:pPr>
        <w:ind w:right="540" w:firstLine="648"/>
        <w:spacing w:after="0" w:line="249" w:lineRule="auto"/>
        <w:rPr>
          <w:sz w:val="20"/>
          <w:szCs w:val="20"/>
          <w:color w:val="auto"/>
        </w:rPr>
      </w:pPr>
      <w:r>
        <w:rPr>
          <w:rFonts w:ascii="Arial" w:cs="Arial" w:eastAsia="Arial" w:hAnsi="Arial"/>
          <w:sz w:val="16"/>
          <w:szCs w:val="16"/>
          <w:color w:val="auto"/>
        </w:rPr>
        <w:t>To date, our third-party manufacturers have met our quality standards. The manufacturers of pharmaceutical products must comply with strictly enforced cGMP requirements, state and federal regulations, as well as foreign requirements when applicable. Any failure of our contract manufacturing organizations to adhere to or document their compliance to such regulatory requirements and their obligation to us could lead to a delay or interruption in the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availability of our program materials for clinical study. If our manufacturers were to fail to comply with the FDA, EMA, or other regulatory authority, it could result in a clinical hold or termination of a clinical study, or could result in the suspension or delay of marketing approval for our products.</w:t>
      </w:r>
    </w:p>
    <w:p>
      <w:pPr>
        <w:spacing w:after="0" w:line="163"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Biological products are inherently difficult to manufacture. Our program materials are manufactured using technically complex processes requiring specialized equipment and facilities, highly specific raw materials, and other production constraints. Our production process requires a number of highly specific raw materials with limited suppliers. Even though we aim to have backup supplies of raw materials whenever possible, we cannot be certain they will be sufficient if our primary sources are unavailable. A shortage of a critical raw material, or technical issue during manufacturing may lead to delays in clinical development or commercialization plans.</w:t>
      </w:r>
    </w:p>
    <w:p>
      <w:pPr>
        <w:spacing w:after="0" w:line="16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Delays in obtaining regulatory approval of our or our collaborators’ manufacturing process and facility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63"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To date, no cGMP gene therapy manufacturing facility in the United States has received approval from the FDA for the manufacture of an approved gene therapy product and, therefore, the timeframe required for us to obtain such approval is uncertain. In addition, we must pass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03" w:lineRule="exact"/>
        <w:rPr>
          <w:sz w:val="20"/>
          <w:szCs w:val="20"/>
          <w:color w:val="auto"/>
        </w:rPr>
      </w:pPr>
    </w:p>
    <w:p>
      <w:pPr>
        <w:ind w:right="260"/>
        <w:spacing w:after="0" w:line="203" w:lineRule="exact"/>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remedial measures.</w:t>
      </w:r>
    </w:p>
    <w:p>
      <w:pPr>
        <w:spacing w:after="0" w:line="81"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w:t>
      </w:r>
      <w:r>
        <w:rPr>
          <w:rFonts w:ascii="MS PGothic" w:cs="MS PGothic" w:eastAsia="MS PGothic" w:hAnsi="MS PGothic"/>
          <w:sz w:val="17"/>
          <w:szCs w:val="17"/>
          <w:color w:val="auto"/>
        </w:rPr>
        <w:t>‑</w:t>
      </w:r>
      <w:r>
        <w:rPr>
          <w:rFonts w:ascii="Arial" w:cs="Arial" w:eastAsia="Arial" w:hAnsi="Arial"/>
          <w:sz w:val="17"/>
          <w:szCs w:val="17"/>
          <w:color w:val="auto"/>
        </w:rPr>
        <w:t>consuming to implement and that may include the temporary or permanent suspension of a clinical trial or commercial sales or the temporary or permanent closure of a manufacturing facility. Any such remedial measures imposed upon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us could harm our business, financial condition, results of operations and prospects.</w:t>
      </w:r>
    </w:p>
    <w:p>
      <w:pPr>
        <w:spacing w:after="0" w:line="9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we fail to comply with applicable cGMP regulations, FDA and foreign regulatory authorities can impose regulatory sanctions including, among other things, refusal to approve a pending application for a new product candidate or suspension or revocation of a pre</w:t>
      </w:r>
      <w:r>
        <w:rPr>
          <w:rFonts w:ascii="MS PGothic" w:cs="MS PGothic" w:eastAsia="MS PGothic" w:hAnsi="MS PGothic"/>
          <w:sz w:val="18"/>
          <w:szCs w:val="18"/>
          <w:color w:val="auto"/>
        </w:rPr>
        <w:t>‑</w:t>
      </w:r>
      <w:r>
        <w:rPr>
          <w:rFonts w:ascii="Arial" w:cs="Arial" w:eastAsia="Arial" w:hAnsi="Arial"/>
          <w:sz w:val="18"/>
          <w:szCs w:val="18"/>
          <w:color w:val="auto"/>
        </w:rPr>
        <w:t>existing approval. Such an occurrence may cause our business, financial condition, results of operations and prospects could be harmed.</w:t>
      </w:r>
    </w:p>
    <w:p>
      <w:pPr>
        <w:spacing w:after="0" w:line="9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beyond VY-AADC01, or if our agreement with our contract manufacturers were terminated, we would have to find suitable alternative manufacturers.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95"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i w:val="1"/>
          <w:iCs w:val="1"/>
          <w:color w:val="auto"/>
        </w:rPr>
        <w:t>Any contamination in the manufacturing process for our products, shortages of raw materials or failure of any of our key suppliers to deliver necessary components could result in delays in our clinical development or marketing schedules.</w:t>
      </w:r>
    </w:p>
    <w:p>
      <w:pPr>
        <w:spacing w:after="0" w:line="20"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96"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94"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8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w:t>
      </w:r>
      <w:r>
        <w:rPr>
          <w:rFonts w:ascii="MS PGothic" w:cs="MS PGothic" w:eastAsia="MS PGothic" w:hAnsi="MS PGothic"/>
          <w:sz w:val="17"/>
          <w:szCs w:val="17"/>
          <w:color w:val="auto"/>
        </w:rPr>
        <w:t>‑</w:t>
      </w:r>
      <w:r>
        <w:rPr>
          <w:rFonts w:ascii="Arial" w:cs="Arial" w:eastAsia="Arial" w:hAnsi="Arial"/>
          <w:sz w:val="17"/>
          <w:szCs w:val="17"/>
          <w:color w:val="auto"/>
        </w:rPr>
        <w:t>lives could be impaired or their efficacy and safety could be negatively impacted, making them no longer suitable for use.</w:t>
      </w:r>
    </w:p>
    <w:p>
      <w:pPr>
        <w:spacing w:after="0" w:line="9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success of our business depends upon our ability to identify, develop and commercialize product candidates generated through our product engine. Research programs to identify new product candidates require substantial technical, financial and human resources. Although VY</w:t>
      </w:r>
      <w:r>
        <w:rPr>
          <w:rFonts w:ascii="MS PGothic" w:cs="MS PGothic" w:eastAsia="MS PGothic" w:hAnsi="MS PGothic"/>
          <w:sz w:val="16"/>
          <w:szCs w:val="16"/>
          <w:color w:val="auto"/>
        </w:rPr>
        <w:t>‑</w:t>
      </w:r>
      <w:r>
        <w:rPr>
          <w:rFonts w:ascii="Arial" w:cs="Arial" w:eastAsia="Arial" w:hAnsi="Arial"/>
          <w:sz w:val="16"/>
          <w:szCs w:val="16"/>
          <w:color w:val="auto"/>
        </w:rPr>
        <w:t>AADC01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68"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6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62"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We are highly dependent on Steven M. Paul, M.D., our President and Chief Executive Officer as well as certain other members of our management team, the loss of whose services may adversely impact the achievement of our objectives.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65" w:lineRule="exact"/>
        <w:rPr>
          <w:sz w:val="20"/>
          <w:szCs w:val="20"/>
          <w:color w:val="auto"/>
        </w:rPr>
      </w:pPr>
    </w:p>
    <w:p>
      <w:pPr>
        <w:ind w:right="140" w:firstLine="648"/>
        <w:spacing w:after="0" w:line="222"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3" w:lineRule="exact"/>
        <w:rPr>
          <w:sz w:val="20"/>
          <w:szCs w:val="20"/>
          <w:color w:val="auto"/>
        </w:rPr>
      </w:pPr>
    </w:p>
    <w:p>
      <w:pPr>
        <w:ind w:right="70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7"/>
          <w:szCs w:val="17"/>
          <w:color w:val="auto"/>
        </w:rPr>
        <w:t>‑</w:t>
      </w:r>
      <w:r>
        <w:rPr>
          <w:rFonts w:ascii="Arial" w:cs="Arial" w:eastAsia="Arial" w:hAnsi="Arial"/>
          <w:sz w:val="17"/>
          <w:szCs w:val="17"/>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harm our business and results of operations.</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the United States, there have been, and continue to be, several legislative initiatives to contain healthcare costs. For example, in March 2010, the Patient Protection and Affordable Care Act, as amended by the Health Care and Education Reconciliation Act of 2010, or the Affordable Care Act, was passed, which substantially changes the way health care is financed by both the government and private insurers, and significantly impacts the U.S. pharmaceutical industry. The Affordable Care Act, among other things: (i) imposes a new methodology by which rebates owed by manufacturers under the Medicaid Drug Rebate Program are calculated for drugs that are inhaled, infused, instilled, implanted or injected;</w:t>
      </w:r>
    </w:p>
    <w:p>
      <w:pPr>
        <w:spacing w:after="0" w:line="2" w:lineRule="exact"/>
        <w:rPr>
          <w:sz w:val="20"/>
          <w:szCs w:val="20"/>
          <w:color w:val="auto"/>
        </w:rPr>
      </w:pPr>
    </w:p>
    <w:p>
      <w:pPr>
        <w:ind w:right="20" w:firstLine="3"/>
        <w:spacing w:after="0" w:line="178" w:lineRule="exact"/>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increases the minimum Medicaid rebates owed by manufacturers under the Medicaid Drug Rebate Program; (iii) extends manufacturers’ Medicaid rebate liability to covered drugs dispensed to individuals enrolled in Medicaid managed care organizations; (iv) establishes an annual, nondeductible fee on any entity that manufactures or imports certain branded prescription drugs and biologic products; (v) expands the availability of lower pricing under the 340B drug pricing program by expanding the types of entities eligible to participate in the program; (vi) establishes 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off negotiated prices of applicable brand drugs to eligible beneficiaries during their coverage gap period, as a condition for the manufacturer’s outpatient drugs to be covered under Medicare Part D; (vii) expands entities eligible for discounts under the Public Health Services pharmaceutical pricing program; and (viii) initiates a new Patient Centered Outcomes Research Institute to oversee, identify priorities in, and conduct comparative clinical effectiveness research, along with funding for such research. Additionally, in the United States, the Biologics Price Competition and Innovation Act of 2009, as part of the Affordable Care Act, created an abbreviated approval pathway for biologic products that are demonstrated to be “biosimilar or interchangeable” with an FDA</w:t>
      </w:r>
      <w:r>
        <w:rPr>
          <w:rFonts w:ascii="MS PGothic" w:cs="MS PGothic" w:eastAsia="MS PGothic" w:hAnsi="MS PGothic"/>
          <w:sz w:val="16"/>
          <w:szCs w:val="16"/>
          <w:color w:val="auto"/>
        </w:rPr>
        <w:t>‑</w:t>
      </w:r>
      <w:r>
        <w:rPr>
          <w:rFonts w:ascii="Arial" w:cs="Arial" w:eastAsia="Arial" w:hAnsi="Arial"/>
          <w:sz w:val="16"/>
          <w:szCs w:val="16"/>
          <w:color w:val="auto"/>
        </w:rPr>
        <w:t>approved biologic product. This new pathway could allow competitors to reference data from biologic products already approved 12 years after the time of approval. This could expose us to potential competition by lower</w:t>
      </w:r>
      <w:r>
        <w:rPr>
          <w:rFonts w:ascii="MS PGothic" w:cs="MS PGothic" w:eastAsia="MS PGothic" w:hAnsi="MS PGothic"/>
          <w:sz w:val="16"/>
          <w:szCs w:val="16"/>
          <w:color w:val="auto"/>
        </w:rPr>
        <w:t>‑</w:t>
      </w:r>
      <w:r>
        <w:rPr>
          <w:rFonts w:ascii="Arial" w:cs="Arial" w:eastAsia="Arial" w:hAnsi="Arial"/>
          <w:sz w:val="16"/>
          <w:szCs w:val="16"/>
          <w:color w:val="auto"/>
        </w:rPr>
        <w:t>cost biosimilars even if we commercialize a product candidate faster than our competitors.</w:t>
      </w:r>
    </w:p>
    <w:p>
      <w:pPr>
        <w:spacing w:after="0" w:line="166"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Other legislative changes have been adopted since the Affordable Care Act was enacted, including aggregate reductions to Medicare payments to providers of up to 2% per fiscal year effective April 1, 2013. These reductions will stay in effect through 2025 unless additional congressional action is taken. Additionally,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For each state that does not choose to expand its Medicaid program, there may be fewer insured patients overall, which could impact the sales, business and financial condition of manufacturers of branded prescription drugs. Where patients receive insurance coverage under any of the options made available through the Affordable Care Act, the possibility exists that manufacturers may be required to pay Medicaid rebates on that resulting drug utilization, a decision that could impact manufacturer revenues. The U.S. federal government also has announced delays in the implementation of key provisions of the Affordable Care Act. The implications of these delays for our and our partners’ business and financial condition, if any, are not yet clear.</w:t>
      </w:r>
    </w:p>
    <w:p>
      <w:pPr>
        <w:spacing w:after="0" w:line="98"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8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Some of the provisions of the Affordable Care Act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The implications of a potential repeal and/or replacement of the Affordable Care Act, for our and our partners’ business and financial condition, if any, are not yet clear.</w:t>
      </w:r>
    </w:p>
    <w:p>
      <w:pPr>
        <w:spacing w:after="0" w:line="95"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94"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81" w:lineRule="exact"/>
        <w:rPr>
          <w:sz w:val="20"/>
          <w:szCs w:val="20"/>
          <w:color w:val="auto"/>
        </w:rPr>
      </w:pPr>
    </w:p>
    <w:p>
      <w:pPr>
        <w:ind w:left="740" w:right="140" w:hanging="89"/>
        <w:spacing w:after="0" w:line="194" w:lineRule="exact"/>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Affordable Care Act amended the intent requirement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A person or entity no longer needs to have actual knowledge of this statute or specific intent to violate it;</w:t>
      </w:r>
    </w:p>
    <w:p>
      <w:pPr>
        <w:spacing w:after="0" w:line="72" w:lineRule="exact"/>
        <w:rPr>
          <w:rFonts w:ascii="Arial" w:cs="Arial" w:eastAsia="Arial" w:hAnsi="Arial"/>
          <w:sz w:val="17"/>
          <w:szCs w:val="17"/>
          <w:color w:val="auto"/>
        </w:rPr>
      </w:pPr>
    </w:p>
    <w:p>
      <w:pPr>
        <w:ind w:left="740" w:right="200" w:hanging="89"/>
        <w:spacing w:after="0" w:line="242"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provided and recent government cases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left="980" w:right="99"/>
        <w:spacing w:after="0" w:line="203" w:lineRule="exact"/>
        <w:rPr>
          <w:sz w:val="20"/>
          <w:szCs w:val="20"/>
          <w:color w:val="auto"/>
        </w:rPr>
      </w:pPr>
      <w:r>
        <w:rPr>
          <w:rFonts w:ascii="Arial" w:cs="Arial" w:eastAsia="Arial" w:hAnsi="Arial"/>
          <w:sz w:val="18"/>
          <w:szCs w:val="18"/>
          <w:color w:val="auto"/>
        </w:rPr>
        <w:t>against pharmaceutical and medical device manufacturers support the view that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violations and certain marketing practices, including off</w:t>
      </w:r>
      <w:r>
        <w:rPr>
          <w:rFonts w:ascii="MS PGothic" w:cs="MS PGothic" w:eastAsia="MS PGothic" w:hAnsi="MS PGothic"/>
          <w:sz w:val="18"/>
          <w:szCs w:val="18"/>
          <w:color w:val="auto"/>
        </w:rPr>
        <w:t>‑</w:t>
      </w:r>
      <w:r>
        <w:rPr>
          <w:rFonts w:ascii="Arial" w:cs="Arial" w:eastAsia="Arial" w:hAnsi="Arial"/>
          <w:sz w:val="18"/>
          <w:szCs w:val="18"/>
          <w:color w:val="auto"/>
        </w:rPr>
        <w:t>label promotion, may implicate the civil False Claims Act;</w:t>
      </w:r>
    </w:p>
    <w:p>
      <w:pPr>
        <w:spacing w:after="0" w:line="67" w:lineRule="exact"/>
        <w:rPr>
          <w:sz w:val="20"/>
          <w:szCs w:val="20"/>
          <w:color w:val="auto"/>
        </w:rPr>
      </w:pPr>
    </w:p>
    <w:p>
      <w:pPr>
        <w:ind w:left="740" w:right="79" w:hanging="89"/>
        <w:spacing w:after="0" w:line="231"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67" w:lineRule="exact"/>
        <w:rPr>
          <w:rFonts w:ascii="Arial" w:cs="Arial" w:eastAsia="Arial" w:hAnsi="Arial"/>
          <w:sz w:val="18"/>
          <w:szCs w:val="18"/>
          <w:color w:val="auto"/>
        </w:rPr>
      </w:pPr>
    </w:p>
    <w:p>
      <w:pPr>
        <w:ind w:left="740" w:right="259" w:hanging="89"/>
        <w:spacing w:after="0" w:line="239"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68" w:lineRule="exact"/>
        <w:rPr>
          <w:rFonts w:ascii="Arial" w:cs="Arial" w:eastAsia="Arial" w:hAnsi="Arial"/>
          <w:sz w:val="17"/>
          <w:szCs w:val="17"/>
          <w:color w:val="auto"/>
        </w:rPr>
      </w:pPr>
    </w:p>
    <w:p>
      <w:pPr>
        <w:ind w:left="740" w:right="39" w:hanging="89"/>
        <w:spacing w:after="0" w:line="226"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Payments Sunshine Act, which is part of the Affordable Care Act,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their immediate family members, by the 90</w:t>
      </w:r>
      <w:r>
        <w:rPr>
          <w:rFonts w:ascii="Arial" w:cs="Arial" w:eastAsia="Arial" w:hAnsi="Arial"/>
          <w:sz w:val="8"/>
          <w:szCs w:val="8"/>
          <w:color w:val="auto"/>
        </w:rPr>
        <w:t>th</w:t>
      </w:r>
      <w:r>
        <w:rPr>
          <w:rFonts w:ascii="Arial" w:cs="Arial" w:eastAsia="Arial" w:hAnsi="Arial"/>
          <w:sz w:val="18"/>
          <w:szCs w:val="18"/>
          <w:color w:val="auto"/>
        </w:rPr>
        <w:t xml:space="preserve"> day of each subsequent calendar year, and disclosure of such information is made by CMS on a publicly available website; and</w:t>
      </w:r>
    </w:p>
    <w:p>
      <w:pPr>
        <w:spacing w:after="0" w:line="67" w:lineRule="exact"/>
        <w:rPr>
          <w:rFonts w:ascii="Arial" w:cs="Arial" w:eastAsia="Arial" w:hAnsi="Arial"/>
          <w:sz w:val="18"/>
          <w:szCs w:val="18"/>
          <w:color w:val="auto"/>
        </w:rPr>
      </w:pPr>
    </w:p>
    <w:p>
      <w:pPr>
        <w:ind w:left="740" w:right="19" w:hanging="89"/>
        <w:spacing w:after="0" w:line="194" w:lineRule="exact"/>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state and/or foreign law equivalents of each of the above federal laws,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arrangements and claims involving health 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 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80"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63" w:lineRule="exact"/>
        <w:rPr>
          <w:sz w:val="20"/>
          <w:szCs w:val="20"/>
          <w:color w:val="auto"/>
        </w:rPr>
      </w:pPr>
    </w:p>
    <w:p>
      <w:pPr>
        <w:ind w:right="239"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39"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Data Protection Directive.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17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6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will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63" w:lineRule="exact"/>
        <w:rPr>
          <w:sz w:val="20"/>
          <w:szCs w:val="20"/>
          <w:color w:val="auto"/>
        </w:rPr>
      </w:pPr>
    </w:p>
    <w:p>
      <w:pPr>
        <w:ind w:left="760" w:hanging="109"/>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98" w:lineRule="exact"/>
        <w:rPr>
          <w:rFonts w:ascii="Arial" w:cs="Arial" w:eastAsia="Arial" w:hAnsi="Arial"/>
          <w:sz w:val="18"/>
          <w:szCs w:val="18"/>
          <w:color w:val="auto"/>
        </w:rPr>
      </w:pPr>
    </w:p>
    <w:p>
      <w:pPr>
        <w:ind w:left="1040" w:hanging="38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Although we maintain product liability insurance coverage in the amount of $10.0 million per occurrence and</w:t>
      </w:r>
    </w:p>
    <w:p>
      <w:pPr>
        <w:spacing w:after="0" w:line="229" w:lineRule="auto"/>
        <w:rPr>
          <w:sz w:val="20"/>
          <w:szCs w:val="20"/>
          <w:color w:val="auto"/>
        </w:rPr>
      </w:pPr>
      <w:r>
        <w:rPr>
          <w:rFonts w:ascii="Arial" w:cs="Arial" w:eastAsia="Arial" w:hAnsi="Arial"/>
          <w:sz w:val="16"/>
          <w:szCs w:val="16"/>
          <w:color w:val="auto"/>
        </w:rPr>
        <w:t>$50.0 million in the aggregate, this insurance may not be adequate to cover all liabilities that we may incur. We anticipate that</w:t>
      </w:r>
    </w:p>
    <w:p>
      <w:pPr>
        <w:spacing w:after="0" w:line="229" w:lineRule="auto"/>
        <w:rPr>
          <w:sz w:val="20"/>
          <w:szCs w:val="20"/>
          <w:color w:val="auto"/>
        </w:rPr>
      </w:pPr>
      <w:r>
        <w:rPr>
          <w:rFonts w:ascii="Arial" w:cs="Arial" w:eastAsia="Arial" w:hAnsi="Arial"/>
          <w:sz w:val="16"/>
          <w:szCs w:val="16"/>
          <w:color w:val="auto"/>
        </w:rPr>
        <w:t>we will need to increase our insurance coverage each time we commence a clinical trial and if we successfully commercialize</w:t>
      </w:r>
    </w:p>
    <w:p>
      <w:pPr>
        <w:spacing w:after="0" w:line="229" w:lineRule="auto"/>
        <w:rPr>
          <w:sz w:val="20"/>
          <w:szCs w:val="20"/>
          <w:color w:val="auto"/>
        </w:rPr>
      </w:pPr>
      <w:r>
        <w:rPr>
          <w:rFonts w:ascii="Arial" w:cs="Arial" w:eastAsia="Arial" w:hAnsi="Arial"/>
          <w:sz w:val="16"/>
          <w:szCs w:val="16"/>
          <w:color w:val="auto"/>
        </w:rPr>
        <w:t>any product candidate. Insurance coverage is increasingly expensive. We may not be able to maintain insurance coverage at a</w:t>
      </w:r>
    </w:p>
    <w:p>
      <w:pPr>
        <w:spacing w:after="0"/>
        <w:rPr>
          <w:sz w:val="20"/>
          <w:szCs w:val="20"/>
          <w:color w:val="auto"/>
        </w:rPr>
      </w:pPr>
      <w:r>
        <w:rPr>
          <w:rFonts w:ascii="Arial" w:cs="Arial" w:eastAsia="Arial" w:hAnsi="Arial"/>
          <w:sz w:val="18"/>
          <w:szCs w:val="18"/>
          <w:color w:val="auto"/>
        </w:rPr>
        <w:t>reasonable cost or in an amount adequate to satisfy any liability that may arise.</w:t>
      </w:r>
    </w:p>
    <w:p>
      <w:pPr>
        <w:spacing w:after="0" w:line="169"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resulting damages, and any liability could exceed our resources. We also could incur significant costs associated with civil or criminal fines and penalties.</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63"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w:t>
      </w:r>
      <w:r>
        <w:rPr>
          <w:rFonts w:ascii="MS PGothic" w:cs="MS PGothic" w:eastAsia="MS PGothic" w:hAnsi="MS PGothic"/>
          <w:sz w:val="17"/>
          <w:szCs w:val="17"/>
          <w:color w:val="auto"/>
        </w:rPr>
        <w:t>‑</w:t>
      </w:r>
      <w:r>
        <w:rPr>
          <w:rFonts w:ascii="Arial" w:cs="Arial" w:eastAsia="Arial" w:hAnsi="Arial"/>
          <w:sz w:val="17"/>
          <w:szCs w:val="17"/>
          <w:color w:val="auto"/>
        </w:rPr>
        <w:t>party payors or our collaborators. Any of the foregoing could harm our business and we cannot anticipate all of the ways in which the current economic climate and financial market conditions could adversely impact our business.</w:t>
      </w:r>
    </w:p>
    <w:p>
      <w:pPr>
        <w:spacing w:after="0" w:line="162"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w:t>
      </w:r>
      <w:r>
        <w:rPr>
          <w:rFonts w:ascii="MS PGothic" w:cs="MS PGothic" w:eastAsia="MS PGothic" w:hAnsi="MS PGothic"/>
          <w:sz w:val="16"/>
          <w:szCs w:val="16"/>
          <w:color w:val="auto"/>
        </w:rPr>
        <w:t>‑</w:t>
      </w:r>
      <w:r>
        <w:rPr>
          <w:rFonts w:ascii="Arial" w:cs="Arial" w:eastAsia="Arial" w:hAnsi="Arial"/>
          <w:sz w:val="16"/>
          <w:szCs w:val="16"/>
          <w:color w:val="auto"/>
        </w:rPr>
        <w:t>looking and speculative. The process we have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used in developing an estimated prevalence range for the indications we are targeting has involved collating limited data from multiple sources. Accordingly, the prevalence estimates included in this Annual Report should be viewed with caution. Further, the data and statistical information used in this Annual Report, including estimates derived from them, may differ from information and estimates made by our competitors or from current or future studies conducted by independent sources.</w:t>
      </w:r>
    </w:p>
    <w:p>
      <w:pPr>
        <w:spacing w:after="0" w:line="155"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6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currently have no sales and marketing organization. To successfully commercialize any products that may result from our clinical development programs, we will need to develop these capabilities, either on our own or with others. The establishment and development of our own commercial team or the establishment of a contract sales force to market any products we may develop will be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could delay any product launch. Moreover, we cannot be certain that we will be able to successfully develop this capability. Under our collaboration agreement with Sanofi-Genzyme, we have granted Sanofi-Genzyme an exclusive option to license, develop and commercialize ex</w:t>
      </w:r>
      <w:r>
        <w:rPr>
          <w:rFonts w:ascii="MS PGothic" w:cs="MS PGothic" w:eastAsia="MS PGothic" w:hAnsi="MS PGothic"/>
          <w:sz w:val="16"/>
          <w:szCs w:val="16"/>
          <w:color w:val="auto"/>
        </w:rPr>
        <w:t>‑</w:t>
      </w:r>
      <w:r>
        <w:rPr>
          <w:rFonts w:ascii="Arial" w:cs="Arial" w:eastAsia="Arial" w:hAnsi="Arial"/>
          <w:sz w:val="16"/>
          <w:szCs w:val="16"/>
          <w:color w:val="auto"/>
        </w:rPr>
        <w:t>U.S. rights to our advanced Parkinson’s disease program, our Friedreich’s ataxia program, a future program to be designated by Sanofi-Genzyme and our Huntington’s disease program. Additionally, we have granted Sanofi-Genzyme an incremental option to co</w:t>
      </w:r>
      <w:r>
        <w:rPr>
          <w:rFonts w:ascii="MS PGothic" w:cs="MS PGothic" w:eastAsia="MS PGothic" w:hAnsi="MS PGothic"/>
          <w:sz w:val="16"/>
          <w:szCs w:val="16"/>
          <w:color w:val="auto"/>
        </w:rPr>
        <w:t>‑</w:t>
      </w:r>
      <w:r>
        <w:rPr>
          <w:rFonts w:ascii="Arial" w:cs="Arial" w:eastAsia="Arial" w:hAnsi="Arial"/>
          <w:sz w:val="16"/>
          <w:szCs w:val="16"/>
          <w:color w:val="auto"/>
        </w:rPr>
        <w:t>commercialize our Huntington’s disease program in the United States and to worldwide rights to our spinal muscular atrophy program. If Sanofi-Genzyme exercises any of these options, except for our advanced Parkinson’s disease program, we would be eligible to receive specified option fees. In addition we would be eligible to receive specified milestone payments and royalties for any product developed in such programs. In the future, we may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w:t>
      </w:r>
      <w:r>
        <w:rPr>
          <w:rFonts w:ascii="MS PGothic" w:cs="MS PGothic" w:eastAsia="MS PGothic" w:hAnsi="MS PGothic"/>
          <w:sz w:val="16"/>
          <w:szCs w:val="16"/>
          <w:color w:val="auto"/>
        </w:rPr>
        <w:t>‑</w:t>
      </w:r>
      <w:r>
        <w:rPr>
          <w:rFonts w:ascii="Arial" w:cs="Arial" w:eastAsia="Arial" w:hAnsi="Arial"/>
          <w:sz w:val="16"/>
          <w:szCs w:val="16"/>
          <w:color w:val="auto"/>
        </w:rPr>
        <w:t>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w:t>
      </w:r>
      <w:r>
        <w:rPr>
          <w:rFonts w:ascii="MS PGothic" w:cs="MS PGothic" w:eastAsia="MS PGothic" w:hAnsi="MS PGothic"/>
          <w:sz w:val="16"/>
          <w:szCs w:val="16"/>
          <w:color w:val="auto"/>
        </w:rPr>
        <w:t>‑</w:t>
      </w:r>
      <w:r>
        <w:rPr>
          <w:rFonts w:ascii="Arial" w:cs="Arial" w:eastAsia="Arial" w:hAnsi="Arial"/>
          <w:sz w:val="16"/>
          <w:szCs w:val="16"/>
          <w:color w:val="auto"/>
        </w:rPr>
        <w:t>party to perform marketing and sales functions, we may be unable to compete successfully against these more established companies.</w:t>
      </w:r>
    </w:p>
    <w:p>
      <w:pPr>
        <w:spacing w:after="0" w:line="130"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Our 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w:t>
      </w:r>
      <w:r>
        <w:rPr>
          <w:rFonts w:ascii="MS PGothic" w:cs="MS PGothic" w:eastAsia="MS PGothic" w:hAnsi="MS PGothic"/>
          <w:sz w:val="18"/>
          <w:szCs w:val="18"/>
          <w:color w:val="auto"/>
        </w:rPr>
        <w:t>‑</w:t>
      </w:r>
      <w:r>
        <w:rPr>
          <w:rFonts w:ascii="Arial" w:cs="Arial" w:eastAsia="Arial" w:hAnsi="Arial"/>
          <w:sz w:val="18"/>
          <w:szCs w:val="18"/>
          <w:color w:val="auto"/>
        </w:rPr>
        <w:t>party payors, we will not be able to generate significant revenues from such product, which could harm our business, financial condition, results of operations and prospects.</w:t>
      </w:r>
    </w:p>
    <w:p>
      <w:pPr>
        <w:spacing w:after="0" w:line="135" w:lineRule="exact"/>
        <w:rPr>
          <w:sz w:val="20"/>
          <w:szCs w:val="20"/>
          <w:color w:val="auto"/>
        </w:rPr>
      </w:pPr>
    </w:p>
    <w:p>
      <w:pPr>
        <w:ind w:right="20"/>
        <w:spacing w:after="0" w:line="194" w:lineRule="exact"/>
        <w:rPr>
          <w:sz w:val="20"/>
          <w:szCs w:val="20"/>
          <w:color w:val="auto"/>
        </w:rPr>
      </w:pPr>
      <w:r>
        <w:rPr>
          <w:rFonts w:ascii="Arial" w:cs="Arial" w:eastAsia="Arial" w:hAnsi="Arial"/>
          <w:sz w:val="18"/>
          <w:szCs w:val="18"/>
          <w:b w:val="1"/>
          <w:bCs w:val="1"/>
          <w:i w:val="1"/>
          <w:iCs w:val="1"/>
          <w:color w:val="auto"/>
        </w:rPr>
        <w:t>The insurance coverage and reimbursement status of newly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approved products is uncertain. Failure to obtain or maintain adequate coverage and reimbursement for our product candidates, if approved, could limit our ability to market those products and decrease our ability to generate product revenue.</w:t>
      </w:r>
    </w:p>
    <w:p>
      <w:pPr>
        <w:spacing w:after="0" w:line="12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spacing w:after="0" w:line="203"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payors. Coverage and reimbursement by a third</w:t>
      </w:r>
      <w:r>
        <w:rPr>
          <w:rFonts w:ascii="MS PGothic" w:cs="MS PGothic" w:eastAsia="MS PGothic" w:hAnsi="MS PGothic"/>
          <w:sz w:val="18"/>
          <w:szCs w:val="18"/>
          <w:color w:val="auto"/>
        </w:rPr>
        <w:t>‑</w:t>
      </w:r>
      <w:r>
        <w:rPr>
          <w:rFonts w:ascii="Arial" w:cs="Arial" w:eastAsia="Arial" w:hAnsi="Arial"/>
          <w:sz w:val="18"/>
          <w:szCs w:val="18"/>
          <w:color w:val="auto"/>
        </w:rPr>
        <w:t>party payor may depend upon several factors, including the third</w:t>
      </w:r>
      <w:r>
        <w:rPr>
          <w:rFonts w:ascii="MS PGothic" w:cs="MS PGothic" w:eastAsia="MS PGothic" w:hAnsi="MS PGothic"/>
          <w:sz w:val="18"/>
          <w:szCs w:val="18"/>
          <w:color w:val="auto"/>
        </w:rPr>
        <w:t>‑</w:t>
      </w:r>
      <w:r>
        <w:rPr>
          <w:rFonts w:ascii="Arial" w:cs="Arial" w:eastAsia="Arial" w:hAnsi="Arial"/>
          <w:sz w:val="18"/>
          <w:szCs w:val="18"/>
          <w:color w:val="auto"/>
        </w:rPr>
        <w:t>party payor’s determination that use of a product is:</w:t>
      </w:r>
    </w:p>
    <w:p>
      <w:pPr>
        <w:spacing w:after="0" w:line="121" w:lineRule="exact"/>
        <w:rPr>
          <w:sz w:val="20"/>
          <w:szCs w:val="20"/>
          <w:color w:val="auto"/>
        </w:rPr>
      </w:pPr>
    </w:p>
    <w:p>
      <w:pPr>
        <w:ind w:left="820" w:hanging="169"/>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7" w:lineRule="exact"/>
        <w:rPr>
          <w:rFonts w:ascii="Arial" w:cs="Arial" w:eastAsia="Arial" w:hAnsi="Arial"/>
          <w:sz w:val="18"/>
          <w:szCs w:val="18"/>
          <w:color w:val="auto"/>
        </w:rPr>
      </w:pPr>
    </w:p>
    <w:p>
      <w:pPr>
        <w:ind w:left="820" w:hanging="169"/>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57" w:lineRule="exact"/>
        <w:rPr>
          <w:rFonts w:ascii="Arial" w:cs="Arial" w:eastAsia="Arial" w:hAnsi="Arial"/>
          <w:sz w:val="18"/>
          <w:szCs w:val="18"/>
          <w:color w:val="auto"/>
        </w:rPr>
      </w:pPr>
    </w:p>
    <w:p>
      <w:pPr>
        <w:ind w:left="840" w:hanging="189"/>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57" w:lineRule="exact"/>
        <w:rPr>
          <w:rFonts w:ascii="Arial" w:cs="Arial" w:eastAsia="Arial" w:hAnsi="Arial"/>
          <w:sz w:val="18"/>
          <w:szCs w:val="18"/>
          <w:color w:val="auto"/>
        </w:rPr>
      </w:pPr>
    </w:p>
    <w:p>
      <w:pPr>
        <w:ind w:left="1000" w:hanging="349"/>
        <w:spacing w:after="0" w:line="207" w:lineRule="exact"/>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157" w:lineRule="exact"/>
        <w:rPr>
          <w:rFonts w:ascii="Arial" w:cs="Arial" w:eastAsia="Arial" w:hAnsi="Arial"/>
          <w:sz w:val="18"/>
          <w:szCs w:val="18"/>
          <w:color w:val="auto"/>
        </w:rPr>
      </w:pPr>
    </w:p>
    <w:p>
      <w:pPr>
        <w:ind w:left="820" w:hanging="169"/>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58"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No uniform policy requirement for coverage and reimbursement for drug products exists among third</w:t>
      </w:r>
      <w:r>
        <w:rPr>
          <w:rFonts w:ascii="MS PGothic" w:cs="MS PGothic" w:eastAsia="MS PGothic" w:hAnsi="MS PGothic"/>
          <w:sz w:val="16"/>
          <w:szCs w:val="16"/>
          <w:color w:val="auto"/>
        </w:rPr>
        <w:t>‑</w:t>
      </w:r>
      <w:r>
        <w:rPr>
          <w:rFonts w:ascii="Arial" w:cs="Arial" w:eastAsia="Arial" w:hAnsi="Arial"/>
          <w:sz w:val="16"/>
          <w:szCs w:val="16"/>
          <w:color w:val="auto"/>
        </w:rPr>
        <w:t>party payors. Therefore, coverage and reimbursement for drug products can differ significantly from payor to payor. As a result, obtaining coverage and reimbursement for a product from third</w:t>
      </w:r>
      <w:r>
        <w:rPr>
          <w:rFonts w:ascii="MS PGothic" w:cs="MS PGothic" w:eastAsia="MS PGothic" w:hAnsi="MS PGothic"/>
          <w:sz w:val="16"/>
          <w:szCs w:val="16"/>
          <w:color w:val="auto"/>
        </w:rPr>
        <w:t>‑</w:t>
      </w:r>
      <w:r>
        <w:rPr>
          <w:rFonts w:ascii="Arial" w:cs="Arial" w:eastAsia="Arial" w:hAnsi="Arial"/>
          <w:sz w:val="16"/>
          <w:szCs w:val="16"/>
          <w:color w:val="auto"/>
        </w:rPr>
        <w:t>party payors is a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process that could require us to provide to each different payor supporting scientific, clinical and cost</w:t>
      </w:r>
      <w:r>
        <w:rPr>
          <w:rFonts w:ascii="MS PGothic" w:cs="MS PGothic" w:eastAsia="MS PGothic" w:hAnsi="MS PGothic"/>
          <w:sz w:val="16"/>
          <w:szCs w:val="16"/>
          <w:color w:val="auto"/>
        </w:rPr>
        <w:t>‑</w:t>
      </w:r>
      <w:r>
        <w:rPr>
          <w:rFonts w:ascii="Arial" w:cs="Arial" w:eastAsia="Arial" w:hAnsi="Arial"/>
          <w:sz w:val="16"/>
          <w:szCs w:val="16"/>
          <w:color w:val="auto"/>
        </w:rPr>
        <w: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Assuming we obtain coverage for a given product by a third</w:t>
      </w:r>
      <w:r>
        <w:rPr>
          <w:rFonts w:ascii="MS PGothic" w:cs="MS PGothic" w:eastAsia="MS PGothic" w:hAnsi="MS PGothic"/>
          <w:sz w:val="16"/>
          <w:szCs w:val="16"/>
          <w:color w:val="auto"/>
        </w:rPr>
        <w:t>‑</w:t>
      </w:r>
      <w:r>
        <w:rPr>
          <w:rFonts w:ascii="Arial" w:cs="Arial" w:eastAsia="Arial" w:hAnsi="Arial"/>
          <w:sz w:val="16"/>
          <w:szCs w:val="16"/>
          <w:color w:val="auto"/>
        </w:rPr>
        <w:t>party payor, the resulting reimbursement payment rates may not be adequate or may require co</w:t>
      </w:r>
      <w:r>
        <w:rPr>
          <w:rFonts w:ascii="MS PGothic" w:cs="MS PGothic" w:eastAsia="MS PGothic" w:hAnsi="MS PGothic"/>
          <w:sz w:val="16"/>
          <w:szCs w:val="16"/>
          <w:color w:val="auto"/>
        </w:rPr>
        <w:t>‑</w:t>
      </w:r>
      <w:r>
        <w:rPr>
          <w:rFonts w:ascii="Arial" w:cs="Arial" w:eastAsia="Arial" w:hAnsi="Arial"/>
          <w:sz w:val="16"/>
          <w:szCs w:val="16"/>
          <w:color w:val="auto"/>
        </w:rPr>
        <w:t>payments that patients find unacceptably high. Patients who are prescribed medications for the treatment of their conditions, and their prescribing physicians,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4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There is significant uncertainty related to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of newly approved products. In the United States,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Currently, no gene therapy product has been approved for coverage and reimbursement by the Centers for Medicare &amp; Medicaid Services, or CMS, the agency responsible for administering the Medicare program. It is difficult to predict what CMS will decide with respect to coverage and reimbursement for fundamentally novel products such as ours, as there is no body of established practices and precedents for these types of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w:t>
      </w:r>
      <w:r>
        <w:rPr>
          <w:rFonts w:ascii="MS PGothic" w:cs="MS PGothic" w:eastAsia="MS PGothic" w:hAnsi="MS PGothic"/>
          <w:sz w:val="17"/>
          <w:szCs w:val="17"/>
          <w:color w:val="auto"/>
        </w:rPr>
        <w:t>‑</w:t>
      </w:r>
      <w:r>
        <w:rPr>
          <w:rFonts w:ascii="Arial" w:cs="Arial" w:eastAsia="Arial" w:hAnsi="Arial"/>
          <w:sz w:val="17"/>
          <w:szCs w:val="17"/>
          <w:color w:val="auto"/>
        </w:rPr>
        <w:t>party payors will decide with respect to the coverage and reimbursement for our product candidates, especially given that the cost of our product candidates is likely to be very high and pricing of such products is highly uncertain.</w:t>
      </w:r>
    </w:p>
    <w:p>
      <w:pPr>
        <w:spacing w:after="0" w:line="169"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w:t>
      </w:r>
      <w:r>
        <w:rPr>
          <w:rFonts w:ascii="MS PGothic" w:cs="MS PGothic" w:eastAsia="MS PGothic" w:hAnsi="MS PGothic"/>
          <w:sz w:val="17"/>
          <w:szCs w:val="17"/>
          <w:color w:val="auto"/>
        </w:rPr>
        <w:t>‑</w:t>
      </w:r>
      <w:r>
        <w:rPr>
          <w:rFonts w:ascii="Arial" w:cs="Arial" w:eastAsia="Arial" w:hAnsi="Arial"/>
          <w:sz w:val="17"/>
          <w:szCs w:val="17"/>
          <w:color w:val="auto"/>
        </w:rPr>
        <w:t>containment initiatives in the European Union, Canada and other countries may put pricing pressure on us. For example, one gene therapy product was approved in the European Union in 2012 but is yet to be widely available commercially.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Moreover, increasing efforts by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5"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its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w:t>
      </w:r>
    </w:p>
    <w:p>
      <w:pPr>
        <w:spacing w:after="0" w:line="162"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w:t>
      </w:r>
      <w:r>
        <w:rPr>
          <w:rFonts w:ascii="MS PGothic" w:cs="MS PGothic" w:eastAsia="MS PGothic" w:hAnsi="MS PGothic"/>
          <w:sz w:val="17"/>
          <w:szCs w:val="17"/>
          <w:color w:val="auto"/>
        </w:rPr>
        <w:t>‑</w:t>
      </w:r>
      <w:r>
        <w:rPr>
          <w:rFonts w:ascii="Arial" w:cs="Arial" w:eastAsia="Arial" w:hAnsi="Arial"/>
          <w:sz w:val="17"/>
          <w:szCs w:val="17"/>
          <w:color w:val="auto"/>
        </w:rPr>
        <w: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740" w:hanging="89"/>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 by the FDA or the European Commission;</w:t>
      </w:r>
    </w:p>
    <w:p>
      <w:pPr>
        <w:spacing w:after="0" w:line="209" w:lineRule="exact"/>
        <w:rPr>
          <w:rFonts w:ascii="Arial" w:cs="Arial" w:eastAsia="Arial" w:hAnsi="Arial"/>
          <w:sz w:val="17"/>
          <w:szCs w:val="17"/>
          <w:color w:val="auto"/>
        </w:rPr>
      </w:pPr>
    </w:p>
    <w:p>
      <w:pPr>
        <w:ind w:left="780" w:hanging="12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98" w:lineRule="exact"/>
        <w:rPr>
          <w:rFonts w:ascii="Arial" w:cs="Arial" w:eastAsia="Arial" w:hAnsi="Arial"/>
          <w:sz w:val="18"/>
          <w:szCs w:val="18"/>
          <w:color w:val="auto"/>
        </w:rPr>
      </w:pPr>
    </w:p>
    <w:p>
      <w:pPr>
        <w:ind w:left="740" w:right="720" w:hanging="89"/>
        <w:spacing w:after="0" w:line="246"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69" w:lineRule="exact"/>
        <w:rPr>
          <w:rFonts w:ascii="Arial" w:cs="Arial" w:eastAsia="Arial" w:hAnsi="Arial"/>
          <w:sz w:val="18"/>
          <w:szCs w:val="18"/>
          <w:color w:val="auto"/>
        </w:rPr>
      </w:pPr>
    </w:p>
    <w:p>
      <w:pPr>
        <w:ind w:left="760" w:hanging="109"/>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rFonts w:ascii="Arial" w:cs="Arial" w:eastAsia="Arial" w:hAnsi="Arial"/>
          <w:sz w:val="18"/>
          <w:szCs w:val="18"/>
          <w:color w:val="auto"/>
        </w:rPr>
      </w:pPr>
    </w:p>
    <w:p>
      <w:pPr>
        <w:ind w:left="740" w:right="300" w:hanging="89"/>
        <w:spacing w:after="0" w:line="246"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w:t>
      </w:r>
    </w:p>
    <w:p>
      <w:pPr>
        <w:spacing w:after="0" w:line="169" w:lineRule="exact"/>
        <w:rPr>
          <w:rFonts w:ascii="Arial" w:cs="Arial" w:eastAsia="Arial" w:hAnsi="Arial"/>
          <w:sz w:val="18"/>
          <w:szCs w:val="18"/>
          <w:color w:val="auto"/>
        </w:rPr>
      </w:pPr>
    </w:p>
    <w:p>
      <w:pPr>
        <w:ind w:left="800" w:hanging="149"/>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800" w:hanging="149"/>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98" w:lineRule="exact"/>
        <w:rPr>
          <w:rFonts w:ascii="Arial" w:cs="Arial" w:eastAsia="Arial" w:hAnsi="Arial"/>
          <w:sz w:val="18"/>
          <w:szCs w:val="18"/>
          <w:color w:val="auto"/>
        </w:rPr>
      </w:pPr>
    </w:p>
    <w:p>
      <w:pPr>
        <w:ind w:left="780" w:hanging="129"/>
        <w:spacing w:after="0" w:line="207" w:lineRule="exact"/>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sufficient third</w:t>
      </w:r>
      <w:r>
        <w:rPr>
          <w:rFonts w:ascii="MS PGothic" w:cs="MS PGothic" w:eastAsia="MS PGothic" w:hAnsi="MS PGothic"/>
          <w:sz w:val="18"/>
          <w:szCs w:val="18"/>
          <w:color w:val="auto"/>
        </w:rPr>
        <w:t>‑</w:t>
      </w:r>
      <w:r>
        <w:rPr>
          <w:rFonts w:ascii="Arial" w:cs="Arial" w:eastAsia="Arial" w:hAnsi="Arial"/>
          <w:sz w:val="18"/>
          <w:szCs w:val="18"/>
          <w:color w:val="auto"/>
        </w:rPr>
        <w:t>party payor coverage and reimbursement.</w:t>
      </w:r>
    </w:p>
    <w:p>
      <w:pPr>
        <w:spacing w:after="0" w:line="19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w:t>
      </w:r>
      <w:r>
        <w:rPr>
          <w:rFonts w:ascii="MS PGothic" w:cs="MS PGothic" w:eastAsia="MS PGothic" w:hAnsi="MS PGothic"/>
          <w:sz w:val="16"/>
          <w:szCs w:val="16"/>
          <w:color w:val="auto"/>
        </w:rPr>
        <w:t>‑</w:t>
      </w:r>
      <w:r>
        <w:rPr>
          <w:rFonts w:ascii="Arial" w:cs="Arial" w:eastAsia="Arial" w:hAnsi="Arial"/>
          <w:sz w:val="16"/>
          <w:szCs w:val="16"/>
          <w:color w:val="auto"/>
        </w:rPr>
        <w:t>publicized adverse events, including cases of leukemia and death seen in other trials using non-AAV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47"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62" w:lineRule="exact"/>
        <w:rPr>
          <w:sz w:val="20"/>
          <w:szCs w:val="20"/>
          <w:color w:val="auto"/>
        </w:rPr>
      </w:pPr>
    </w:p>
    <w:p>
      <w:pPr>
        <w:ind w:left="740" w:hanging="89"/>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09" w:lineRule="exact"/>
        <w:rPr>
          <w:rFonts w:ascii="Arial" w:cs="Arial" w:eastAsia="Arial" w:hAnsi="Arial"/>
          <w:sz w:val="17"/>
          <w:szCs w:val="17"/>
          <w:color w:val="auto"/>
        </w:rPr>
      </w:pPr>
    </w:p>
    <w:p>
      <w:pPr>
        <w:ind w:left="740" w:hanging="89"/>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98" w:lineRule="exact"/>
        <w:rPr>
          <w:rFonts w:ascii="Arial" w:cs="Arial" w:eastAsia="Arial" w:hAnsi="Arial"/>
          <w:sz w:val="18"/>
          <w:szCs w:val="18"/>
          <w:color w:val="auto"/>
        </w:rPr>
      </w:pPr>
    </w:p>
    <w:p>
      <w:pPr>
        <w:ind w:left="740" w:right="100" w:hanging="89"/>
        <w:spacing w:after="0" w:line="246"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hanging="89"/>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shortages resulting from any events affecting raw material supply or manufacturing capabilities abroad;</w:t>
      </w:r>
    </w:p>
    <w:p>
      <w:pPr>
        <w:spacing w:after="0" w:line="198" w:lineRule="exact"/>
        <w:rPr>
          <w:rFonts w:ascii="Arial" w:cs="Arial" w:eastAsia="Arial" w:hAnsi="Arial"/>
          <w:sz w:val="18"/>
          <w:szCs w:val="18"/>
          <w:color w:val="auto"/>
        </w:rPr>
      </w:pPr>
    </w:p>
    <w:p>
      <w:pPr>
        <w:ind w:left="740" w:hanging="89"/>
        <w:spacing w:after="0" w:line="246"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or from economic or political instability; and</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greater difficulty with enforcing our contracts in jurisdictions outside of the United States.</w:t>
      </w:r>
    </w:p>
    <w:p>
      <w:pPr>
        <w:spacing w:after="0" w:line="198"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Further, in many foreign countries it is common for others to engage in business practices that are prohibited by U.S. laws and regulations applicable to us, including the Foreign Corrupt Practices Act.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62"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65"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In some circumstances, particularly in licenses with academic institutions,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will also apply to patent rights we may own in the future.</w:t>
      </w:r>
    </w:p>
    <w:p>
      <w:pPr>
        <w:spacing w:after="0" w:line="168"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Disputes may arise regarding intellectual property subject to a licensing agreement, including:</w:t>
      </w:r>
    </w:p>
    <w:p>
      <w:pPr>
        <w:spacing w:after="0" w:line="162" w:lineRule="exact"/>
        <w:rPr>
          <w:sz w:val="20"/>
          <w:szCs w:val="20"/>
          <w:color w:val="auto"/>
        </w:rPr>
      </w:pPr>
    </w:p>
    <w:p>
      <w:pPr>
        <w:ind w:left="740" w:hanging="89"/>
        <w:spacing w:after="0" w:line="207" w:lineRule="exact"/>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98" w:lineRule="exact"/>
        <w:rPr>
          <w:rFonts w:ascii="Arial" w:cs="Arial" w:eastAsia="Arial" w:hAnsi="Arial"/>
          <w:sz w:val="18"/>
          <w:szCs w:val="18"/>
          <w:color w:val="auto"/>
        </w:rPr>
      </w:pPr>
    </w:p>
    <w:p>
      <w:pPr>
        <w:ind w:left="740" w:right="60" w:hanging="89"/>
        <w:spacing w:after="0" w:line="246"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09" w:lineRule="exact"/>
        <w:rPr>
          <w:rFonts w:ascii="Arial" w:cs="Arial" w:eastAsia="Arial" w:hAnsi="Arial"/>
          <w:sz w:val="17"/>
          <w:szCs w:val="17"/>
          <w:color w:val="auto"/>
        </w:rPr>
      </w:pPr>
    </w:p>
    <w:p>
      <w:pPr>
        <w:ind w:left="740" w:right="200" w:hanging="89"/>
        <w:spacing w:after="0" w:line="210" w:lineRule="exact"/>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priority of invention of patented technology.</w:t>
      </w:r>
    </w:p>
    <w:p>
      <w:pPr>
        <w:spacing w:after="0" w:line="19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If we fail to comply with our obligations under these license agreements, or we are subject to a bankruptcy, the licensor may have the right to terminate the license, in which event we would not be able to market products covered by the license.</w:t>
      </w:r>
    </w:p>
    <w:p>
      <w:pPr>
        <w:spacing w:after="0" w:line="16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Furthermore, the research resulting in certain of our licensed patent rights and technology was funded by the U.S. government. As a result, the government may have certain rights, or march</w:t>
      </w:r>
      <w:r>
        <w:rPr>
          <w:rFonts w:ascii="MS PGothic" w:cs="MS PGothic" w:eastAsia="MS PGothic" w:hAnsi="MS PGothic"/>
          <w:sz w:val="16"/>
          <w:szCs w:val="16"/>
          <w:color w:val="auto"/>
        </w:rPr>
        <w:t>‑</w:t>
      </w:r>
      <w:r>
        <w:rPr>
          <w:rFonts w:ascii="Arial" w:cs="Arial" w:eastAsia="Arial" w:hAnsi="Arial"/>
          <w:sz w:val="16"/>
          <w:szCs w:val="16"/>
          <w:color w:val="auto"/>
        </w:rPr>
        <w:t>in rights, to such patent rights and technology. When new technologies are developed with government funding, the government generally obtains certain rights in any resulting patents, including a non</w:t>
      </w:r>
      <w:r>
        <w:rPr>
          <w:rFonts w:ascii="MS PGothic" w:cs="MS PGothic" w:eastAsia="MS PGothic" w:hAnsi="MS PGothic"/>
          <w:sz w:val="16"/>
          <w:szCs w:val="16"/>
          <w:color w:val="auto"/>
        </w:rPr>
        <w:t>‑</w:t>
      </w:r>
      <w:r>
        <w:rPr>
          <w:rFonts w:ascii="Arial" w:cs="Arial" w:eastAsia="Arial" w:hAnsi="Arial"/>
          <w:sz w:val="16"/>
          <w:szCs w:val="16"/>
          <w:color w:val="auto"/>
        </w:rPr>
        <w:t>exclusive license authorizing the government to use the invention for non</w:t>
      </w:r>
      <w:r>
        <w:rPr>
          <w:rFonts w:ascii="MS PGothic" w:cs="MS PGothic" w:eastAsia="MS PGothic" w:hAnsi="MS PGothic"/>
          <w:sz w:val="16"/>
          <w:szCs w:val="16"/>
          <w:color w:val="auto"/>
        </w:rPr>
        <w:t>‑</w:t>
      </w:r>
      <w:r>
        <w:rPr>
          <w:rFonts w:ascii="Arial" w:cs="Arial" w:eastAsia="Arial" w:hAnsi="Arial"/>
          <w:sz w:val="16"/>
          <w:szCs w:val="16"/>
          <w:color w:val="auto"/>
        </w:rPr>
        <w:t>commercial purposes. These rights may permit the government to disclose our confidential information to third parties and to exercise march</w:t>
      </w:r>
      <w:r>
        <w:rPr>
          <w:rFonts w:ascii="MS PGothic" w:cs="MS PGothic" w:eastAsia="MS PGothic" w:hAnsi="MS PGothic"/>
          <w:sz w:val="16"/>
          <w:szCs w:val="16"/>
          <w:color w:val="auto"/>
        </w:rPr>
        <w:t>‑</w:t>
      </w:r>
      <w:r>
        <w:rPr>
          <w:rFonts w:ascii="Arial" w:cs="Arial" w:eastAsia="Arial" w:hAnsi="Arial"/>
          <w:sz w:val="16"/>
          <w:szCs w:val="16"/>
          <w:color w:val="auto"/>
        </w:rPr>
        <w:t>in rights to use or allow third parties to use our licensed technology. The government can exercise its march</w:t>
      </w:r>
      <w:r>
        <w:rPr>
          <w:rFonts w:ascii="MS PGothic" w:cs="MS PGothic" w:eastAsia="MS PGothic" w:hAnsi="MS PGothic"/>
          <w:sz w:val="16"/>
          <w:szCs w:val="16"/>
          <w:color w:val="auto"/>
        </w:rPr>
        <w:t>‑</w:t>
      </w:r>
      <w:r>
        <w:rPr>
          <w:rFonts w:ascii="Arial" w:cs="Arial" w:eastAsia="Arial" w:hAnsi="Arial"/>
          <w:sz w:val="16"/>
          <w:szCs w:val="16"/>
          <w:color w:val="auto"/>
        </w:rPr>
        <w:t>in rights if it determines that action is necessary because we fail to achieve practical application of the government</w:t>
      </w:r>
      <w:r>
        <w:rPr>
          <w:rFonts w:ascii="MS PGothic" w:cs="MS PGothic" w:eastAsia="MS PGothic" w:hAnsi="MS PGothic"/>
          <w:sz w:val="16"/>
          <w:szCs w:val="16"/>
          <w:color w:val="auto"/>
        </w:rPr>
        <w:t>‑</w:t>
      </w:r>
      <w:r>
        <w:rPr>
          <w:rFonts w:ascii="Arial" w:cs="Arial" w:eastAsia="Arial" w:hAnsi="Arial"/>
          <w:sz w:val="16"/>
          <w:szCs w:val="16"/>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66"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63"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and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patent prosecution process is expensive, time</w:t>
      </w:r>
      <w:r>
        <w:rPr>
          <w:rFonts w:ascii="MS PGothic" w:cs="MS PGothic" w:eastAsia="MS PGothic" w:hAnsi="MS PGothic"/>
          <w:sz w:val="16"/>
          <w:szCs w:val="16"/>
          <w:color w:val="auto"/>
        </w:rPr>
        <w:t>‑</w:t>
      </w:r>
      <w:r>
        <w:rPr>
          <w:rFonts w:ascii="Arial" w:cs="Arial" w:eastAsia="Arial" w:hAnsi="Arial"/>
          <w:sz w:val="16"/>
          <w:szCs w:val="16"/>
          <w:color w:val="auto"/>
        </w:rPr>
        <w:t>consuming and complex, and we may not be able to file, prosecute, maintain, enforce or license all necessary or desirable patent applications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will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16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65"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6"/>
          <w:szCs w:val="16"/>
          <w:color w:val="auto"/>
        </w:rPr>
        <w:t>We may not be aware of all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potentially relating to our product candidates. Publications of discoveries in the scientific literature often lag the actual discoveries, and patent applications in the United States and other jurisdictions are typically not published until 18 months after filing or, in some cases, not at all.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Therefore, we cannot be certain that we were the first to make the inventions claimed in any owned or any licensed patents or pending patent applications, or that we were the first to file for patent protection of such inventions.</w:t>
      </w:r>
    </w:p>
    <w:p>
      <w:pPr>
        <w:spacing w:after="0" w:line="147"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w:t>
      </w:r>
      <w:r>
        <w:rPr>
          <w:rFonts w:ascii="MS PGothic" w:cs="MS PGothic" w:eastAsia="MS PGothic" w:hAnsi="MS PGothic"/>
          <w:sz w:val="17"/>
          <w:szCs w:val="17"/>
          <w:color w:val="auto"/>
        </w:rPr>
        <w:t>‑</w:t>
      </w:r>
      <w:r>
        <w:rPr>
          <w:rFonts w:ascii="Arial" w:cs="Arial" w:eastAsia="Arial" w:hAnsi="Arial"/>
          <w:sz w:val="17"/>
          <w:szCs w:val="17"/>
          <w:color w:val="auto"/>
        </w:rPr>
        <w:t>infringing manner.</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w:t>
      </w:r>
    </w:p>
    <w:p>
      <w:pPr>
        <w:spacing w:after="0" w:line="159"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licenses.</w:t>
      </w:r>
    </w:p>
    <w:p>
      <w:pPr>
        <w:spacing w:after="0" w:line="219"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product candidates. The licensing or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several more established companies may pursue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16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We sometimes collaborate with non</w:t>
      </w:r>
      <w:r>
        <w:rPr>
          <w:rFonts w:ascii="MS PGothic" w:cs="MS PGothic" w:eastAsia="MS PGothic" w:hAnsi="MS PGothic"/>
          <w:sz w:val="18"/>
          <w:szCs w:val="18"/>
          <w:color w:val="auto"/>
        </w:rPr>
        <w:t>‑</w:t>
      </w:r>
      <w:r>
        <w:rPr>
          <w:rFonts w:ascii="Arial" w:cs="Arial" w:eastAsia="Arial" w:hAnsi="Arial"/>
          <w:sz w:val="18"/>
          <w:szCs w:val="18"/>
          <w:color w:val="auto"/>
        </w:rPr>
        <w:t>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If we are unable to successfully obtain rights to required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10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Periodic maintenance fees, renewal fees, annuity fees and various other government fees on patents and/or</w:t>
      </w:r>
    </w:p>
    <w:p>
      <w:pPr>
        <w:spacing w:after="0" w:line="229" w:lineRule="auto"/>
        <w:rPr>
          <w:sz w:val="20"/>
          <w:szCs w:val="20"/>
          <w:color w:val="auto"/>
        </w:rPr>
      </w:pPr>
      <w:r>
        <w:rPr>
          <w:rFonts w:ascii="Arial" w:cs="Arial" w:eastAsia="Arial" w:hAnsi="Arial"/>
          <w:sz w:val="16"/>
          <w:szCs w:val="16"/>
          <w:color w:val="auto"/>
        </w:rPr>
        <w:t>applications will be due to be paid to the United States Patent and Trademark Office, or USPTO, and various government</w:t>
      </w:r>
    </w:p>
    <w:p>
      <w:pPr>
        <w:spacing w:after="0" w:line="229" w:lineRule="auto"/>
        <w:rPr>
          <w:sz w:val="20"/>
          <w:szCs w:val="20"/>
          <w:color w:val="auto"/>
        </w:rPr>
      </w:pPr>
      <w:r>
        <w:rPr>
          <w:rFonts w:ascii="Arial" w:cs="Arial" w:eastAsia="Arial" w:hAnsi="Arial"/>
          <w:sz w:val="16"/>
          <w:szCs w:val="16"/>
          <w:color w:val="auto"/>
        </w:rPr>
        <w:t>patent agencies outside of the United States over the lifetime of our licensed patents and/or applications and any patent rights</w:t>
      </w:r>
    </w:p>
    <w:p>
      <w:pPr>
        <w:spacing w:after="0" w:line="176" w:lineRule="exact"/>
        <w:rPr>
          <w:sz w:val="20"/>
          <w:szCs w:val="20"/>
          <w:color w:val="auto"/>
        </w:rPr>
      </w:pPr>
      <w:r>
        <w:rPr>
          <w:rFonts w:ascii="Arial" w:cs="Arial" w:eastAsia="Arial" w:hAnsi="Arial"/>
          <w:sz w:val="16"/>
          <w:szCs w:val="16"/>
          <w:color w:val="auto"/>
        </w:rPr>
        <w:t>we may own in the future. We rely on our outside counsel or our licensing partners to pay these fees due to non</w:t>
      </w:r>
      <w:r>
        <w:rPr>
          <w:rFonts w:ascii="MS PGothic" w:cs="MS PGothic" w:eastAsia="MS PGothic" w:hAnsi="MS PGothic"/>
          <w:sz w:val="16"/>
          <w:szCs w:val="16"/>
          <w:color w:val="auto"/>
        </w:rPr>
        <w:t>‑</w:t>
      </w:r>
      <w:r>
        <w:rPr>
          <w:rFonts w:ascii="Arial" w:cs="Arial" w:eastAsia="Arial" w:hAnsi="Arial"/>
          <w:sz w:val="16"/>
          <w:szCs w:val="16"/>
          <w:color w:val="auto"/>
        </w:rPr>
        <w:t>U.S. patent</w:t>
      </w:r>
    </w:p>
    <w:p>
      <w:pPr>
        <w:spacing w:after="0" w:line="176" w:lineRule="exact"/>
        <w:rPr>
          <w:sz w:val="20"/>
          <w:szCs w:val="20"/>
          <w:color w:val="auto"/>
        </w:rPr>
      </w:pPr>
      <w:r>
        <w:rPr>
          <w:rFonts w:ascii="Arial" w:cs="Arial" w:eastAsia="Arial" w:hAnsi="Arial"/>
          <w:sz w:val="17"/>
          <w:szCs w:val="17"/>
          <w:color w:val="auto"/>
        </w:rPr>
        <w:t>agencies. The USPTO and various non</w:t>
      </w:r>
      <w:r>
        <w:rPr>
          <w:rFonts w:ascii="MS PGothic" w:cs="MS PGothic" w:eastAsia="MS PGothic" w:hAnsi="MS PGothic"/>
          <w:sz w:val="17"/>
          <w:szCs w:val="17"/>
          <w:color w:val="auto"/>
        </w:rPr>
        <w:t>‑</w:t>
      </w:r>
      <w:r>
        <w:rPr>
          <w:rFonts w:ascii="Arial" w:cs="Arial" w:eastAsia="Arial" w:hAnsi="Arial"/>
          <w:sz w:val="17"/>
          <w:szCs w:val="17"/>
          <w:color w:val="auto"/>
        </w:rPr>
        <w:t>U.S. government patent agencies require compliance with several procedural,</w:t>
      </w:r>
    </w:p>
    <w:p>
      <w:pPr>
        <w:spacing w:after="0" w:line="229" w:lineRule="auto"/>
        <w:rPr>
          <w:sz w:val="20"/>
          <w:szCs w:val="20"/>
          <w:color w:val="auto"/>
        </w:rPr>
      </w:pPr>
      <w:r>
        <w:rPr>
          <w:rFonts w:ascii="Arial" w:cs="Arial" w:eastAsia="Arial" w:hAnsi="Arial"/>
          <w:sz w:val="16"/>
          <w:szCs w:val="16"/>
          <w:color w:val="auto"/>
        </w:rPr>
        <w:t>documentary, fee payment and other similar provisions during the patent application process. We employ reputable law firms</w:t>
      </w:r>
    </w:p>
    <w:p>
      <w:pPr>
        <w:spacing w:after="0" w:line="229" w:lineRule="auto"/>
        <w:rPr>
          <w:sz w:val="20"/>
          <w:szCs w:val="20"/>
          <w:color w:val="auto"/>
        </w:rPr>
      </w:pPr>
      <w:r>
        <w:rPr>
          <w:rFonts w:ascii="Arial" w:cs="Arial" w:eastAsia="Arial" w:hAnsi="Arial"/>
          <w:sz w:val="16"/>
          <w:szCs w:val="16"/>
          <w:color w:val="auto"/>
        </w:rPr>
        <w:t>and other professionals to help us comply and we are also dependent on our licensors to take the necessary action to comply</w:t>
      </w:r>
    </w:p>
    <w:p>
      <w:pPr>
        <w:spacing w:after="0" w:line="229" w:lineRule="auto"/>
        <w:rPr>
          <w:sz w:val="20"/>
          <w:szCs w:val="20"/>
          <w:color w:val="auto"/>
        </w:rPr>
      </w:pPr>
      <w:r>
        <w:rPr>
          <w:rFonts w:ascii="Arial" w:cs="Arial" w:eastAsia="Arial" w:hAnsi="Arial"/>
          <w:sz w:val="16"/>
          <w:szCs w:val="16"/>
          <w:color w:val="auto"/>
        </w:rPr>
        <w:t>with these requirements with respect to our licensed intellectual property. In many cases, an inadvertent lapse can be cured by</w:t>
      </w:r>
    </w:p>
    <w:p>
      <w:pPr>
        <w:spacing w:after="0" w:line="216" w:lineRule="auto"/>
        <w:rPr>
          <w:sz w:val="20"/>
          <w:szCs w:val="20"/>
          <w:color w:val="auto"/>
        </w:rPr>
      </w:pPr>
      <w:r>
        <w:rPr>
          <w:rFonts w:ascii="Arial" w:cs="Arial" w:eastAsia="Arial" w:hAnsi="Arial"/>
          <w:sz w:val="17"/>
          <w:szCs w:val="17"/>
          <w:color w:val="auto"/>
        </w:rPr>
        <w:t>payment of a late fee or by other means in accordance with the applicable rules. There are situations, however, in which</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compliance can result in abandonment or lapse of the patent or patent application, resulting in partial or complete loss of</w:t>
      </w:r>
    </w:p>
    <w:p>
      <w:pPr>
        <w:spacing w:after="0" w:line="229" w:lineRule="auto"/>
        <w:rPr>
          <w:sz w:val="20"/>
          <w:szCs w:val="20"/>
          <w:color w:val="auto"/>
        </w:rPr>
      </w:pPr>
      <w:r>
        <w:rPr>
          <w:rFonts w:ascii="Arial" w:cs="Arial" w:eastAsia="Arial" w:hAnsi="Arial"/>
          <w:sz w:val="16"/>
          <w:szCs w:val="16"/>
          <w:color w:val="auto"/>
        </w:rPr>
        <w:t>patent rights in the relevant jurisdiction. In such an event, potential competitors might be able to enter the market and this</w:t>
      </w:r>
    </w:p>
    <w:p>
      <w:pPr>
        <w:spacing w:after="0"/>
        <w:rPr>
          <w:sz w:val="20"/>
          <w:szCs w:val="20"/>
          <w:color w:val="auto"/>
        </w:rPr>
      </w:pPr>
      <w:r>
        <w:rPr>
          <w:rFonts w:ascii="Arial" w:cs="Arial" w:eastAsia="Arial" w:hAnsi="Arial"/>
          <w:sz w:val="18"/>
          <w:szCs w:val="18"/>
          <w:color w:val="auto"/>
        </w:rPr>
        <w:t>circumstance could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right="12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4"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62"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If one of our licensing partners or we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w:t>
      </w:r>
      <w:r>
        <w:rPr>
          <w:rFonts w:ascii="MS PGothic" w:cs="MS PGothic" w:eastAsia="MS PGothic" w:hAnsi="MS PGothic"/>
          <w:sz w:val="17"/>
          <w:szCs w:val="17"/>
          <w:color w:val="auto"/>
        </w:rPr>
        <w:t>‑</w:t>
      </w:r>
      <w:r>
        <w:rPr>
          <w:rFonts w:ascii="Arial" w:cs="Arial" w:eastAsia="Arial" w:hAnsi="Arial"/>
          <w:sz w:val="17"/>
          <w:szCs w:val="17"/>
          <w:color w:val="auto"/>
        </w:rPr>
        <w:t>enablement. Grounds for an unenforceability assertion could be an allegation that someone connected with prosecution of the patent withheld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information material to patentability from the USPTO, or made a misleading statement, during prosecution. Third parties also may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 xml:space="preserv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harm our business.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w:t>
      </w:r>
      <w:r>
        <w:rPr>
          <w:rFonts w:ascii="MS PGothic" w:cs="MS PGothic" w:eastAsia="MS PGothic" w:hAnsi="MS PGothic"/>
          <w:sz w:val="16"/>
          <w:szCs w:val="16"/>
          <w:color w:val="auto"/>
        </w:rPr>
        <w:t>‑</w:t>
      </w:r>
      <w:r>
        <w:rPr>
          <w:rFonts w:ascii="Arial" w:cs="Arial" w:eastAsia="Arial" w:hAnsi="Arial"/>
          <w:sz w:val="16"/>
          <w:szCs w:val="16"/>
          <w:color w:val="auto"/>
        </w:rPr>
        <w:t>how that is not patentable or that we elect not to patent, processes for which patents are difficult to enforce and any other elements of our product candidate discovery and development processes that involve proprietary know</w:t>
      </w:r>
      <w:r>
        <w:rPr>
          <w:rFonts w:ascii="MS PGothic" w:cs="MS PGothic" w:eastAsia="MS PGothic" w:hAnsi="MS PGothic"/>
          <w:sz w:val="16"/>
          <w:szCs w:val="16"/>
          <w:color w:val="auto"/>
        </w:rPr>
        <w:t>‑</w:t>
      </w:r>
      <w:r>
        <w:rPr>
          <w:rFonts w:ascii="Arial" w:cs="Arial" w:eastAsia="Arial" w:hAnsi="Arial"/>
          <w:sz w:val="16"/>
          <w:szCs w:val="16"/>
          <w:color w:val="auto"/>
        </w:rPr>
        <w:t>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7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commercial success depends upon our ability and the ability of our collaborators to develop, manufacture,</w:t>
      </w:r>
    </w:p>
    <w:p>
      <w:pPr>
        <w:spacing w:after="0" w:line="215" w:lineRule="auto"/>
        <w:rPr>
          <w:sz w:val="20"/>
          <w:szCs w:val="20"/>
          <w:color w:val="auto"/>
        </w:rPr>
      </w:pPr>
      <w:r>
        <w:rPr>
          <w:rFonts w:ascii="Arial" w:cs="Arial" w:eastAsia="Arial" w:hAnsi="Arial"/>
          <w:sz w:val="17"/>
          <w:szCs w:val="17"/>
          <w:color w:val="auto"/>
        </w:rPr>
        <w:t>market and sell our product candidates and use our proprietary technologies without infringing the proprietary rights and</w:t>
      </w:r>
    </w:p>
    <w:p>
      <w:pPr>
        <w:spacing w:after="0" w:line="229" w:lineRule="auto"/>
        <w:rPr>
          <w:sz w:val="20"/>
          <w:szCs w:val="20"/>
          <w:color w:val="auto"/>
        </w:rPr>
      </w:pPr>
      <w:r>
        <w:rPr>
          <w:rFonts w:ascii="Arial" w:cs="Arial" w:eastAsia="Arial" w:hAnsi="Arial"/>
          <w:sz w:val="16"/>
          <w:szCs w:val="16"/>
          <w:color w:val="auto"/>
        </w:rPr>
        <w:t>intellectual property of third parties. The biotechnology and pharmaceutical industries are characterized by extensive and</w:t>
      </w:r>
    </w:p>
    <w:p>
      <w:pPr>
        <w:spacing w:after="0" w:line="216" w:lineRule="auto"/>
        <w:rPr>
          <w:sz w:val="20"/>
          <w:szCs w:val="20"/>
          <w:color w:val="auto"/>
        </w:rPr>
      </w:pPr>
      <w:r>
        <w:rPr>
          <w:rFonts w:ascii="Arial" w:cs="Arial" w:eastAsia="Arial" w:hAnsi="Arial"/>
          <w:sz w:val="17"/>
          <w:szCs w:val="17"/>
          <w:color w:val="auto"/>
        </w:rPr>
        <w:t>complex litigation regarding patents and other intellectual property rights. We may in the future become party to, or be</w:t>
      </w:r>
    </w:p>
    <w:p>
      <w:pPr>
        <w:spacing w:after="0" w:line="215" w:lineRule="auto"/>
        <w:rPr>
          <w:sz w:val="20"/>
          <w:szCs w:val="20"/>
          <w:color w:val="auto"/>
        </w:rPr>
      </w:pPr>
      <w:r>
        <w:rPr>
          <w:rFonts w:ascii="Arial" w:cs="Arial" w:eastAsia="Arial" w:hAnsi="Arial"/>
          <w:sz w:val="17"/>
          <w:szCs w:val="17"/>
          <w:color w:val="auto"/>
        </w:rPr>
        <w:t>threatened with, adversarial proceedings or litigation regarding intellectual property rights with respect to our product</w:t>
      </w:r>
    </w:p>
    <w:p>
      <w:pPr>
        <w:spacing w:after="0" w:line="229" w:lineRule="auto"/>
        <w:rPr>
          <w:sz w:val="20"/>
          <w:szCs w:val="20"/>
          <w:color w:val="auto"/>
        </w:rPr>
      </w:pPr>
      <w:r>
        <w:rPr>
          <w:rFonts w:ascii="Arial" w:cs="Arial" w:eastAsia="Arial" w:hAnsi="Arial"/>
          <w:sz w:val="16"/>
          <w:szCs w:val="16"/>
          <w:color w:val="auto"/>
        </w:rPr>
        <w:t xml:space="preserve">candidates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w:t>
      </w:r>
    </w:p>
    <w:p>
      <w:pPr>
        <w:spacing w:after="0" w:line="229"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w:t>
      </w:r>
    </w:p>
    <w:p>
      <w:pPr>
        <w:spacing w:after="0" w:line="229" w:lineRule="auto"/>
        <w:rPr>
          <w:sz w:val="20"/>
          <w:szCs w:val="20"/>
          <w:color w:val="auto"/>
        </w:rPr>
      </w:pPr>
      <w:r>
        <w:rPr>
          <w:rFonts w:ascii="Arial" w:cs="Arial" w:eastAsia="Arial" w:hAnsi="Arial"/>
          <w:sz w:val="16"/>
          <w:szCs w:val="16"/>
          <w:color w:val="auto"/>
        </w:rPr>
        <w:t>regardless of their merit. There is a risk that third parties may choose to engage in litigation with us to enforce or to otherwise</w:t>
      </w:r>
    </w:p>
    <w:p>
      <w:pPr>
        <w:spacing w:after="0" w:line="229" w:lineRule="auto"/>
        <w:rPr>
          <w:sz w:val="20"/>
          <w:szCs w:val="20"/>
          <w:color w:val="auto"/>
        </w:rPr>
      </w:pPr>
      <w:r>
        <w:rPr>
          <w:rFonts w:ascii="Arial" w:cs="Arial" w:eastAsia="Arial" w:hAnsi="Arial"/>
          <w:sz w:val="16"/>
          <w:szCs w:val="16"/>
          <w:color w:val="auto"/>
        </w:rPr>
        <w:t>assert their patent rights against us. Even if we believe such claims are without merit, a court of competent jurisdiction could</w:t>
      </w:r>
    </w:p>
    <w:p>
      <w:pPr>
        <w:spacing w:after="0" w:line="176" w:lineRule="exact"/>
        <w:rPr>
          <w:sz w:val="20"/>
          <w:szCs w:val="20"/>
          <w:color w:val="auto"/>
        </w:rPr>
      </w:pPr>
      <w:r>
        <w:rPr>
          <w:rFonts w:ascii="Arial" w:cs="Arial" w:eastAsia="Arial" w:hAnsi="Arial"/>
          <w:sz w:val="18"/>
          <w:szCs w:val="18"/>
          <w:color w:val="auto"/>
        </w:rPr>
        <w:t>hold that these third</w:t>
      </w:r>
      <w:r>
        <w:rPr>
          <w:rFonts w:ascii="MS PGothic" w:cs="MS PGothic" w:eastAsia="MS PGothic" w:hAnsi="MS PGothic"/>
          <w:sz w:val="18"/>
          <w:szCs w:val="18"/>
          <w:color w:val="auto"/>
        </w:rPr>
        <w:t>‑</w:t>
      </w:r>
      <w:r>
        <w:rPr>
          <w:rFonts w:ascii="Arial" w:cs="Arial" w:eastAsia="Arial" w:hAnsi="Arial"/>
          <w:sz w:val="18"/>
          <w:szCs w:val="18"/>
          <w:color w:val="auto"/>
        </w:rPr>
        <w:t>party patents are valid, enforceable and infringed, which could adversely affect our ability to</w:t>
      </w:r>
    </w:p>
    <w:p>
      <w:pPr>
        <w:spacing w:after="0" w:line="215" w:lineRule="auto"/>
        <w:rPr>
          <w:sz w:val="20"/>
          <w:szCs w:val="20"/>
          <w:color w:val="auto"/>
        </w:rPr>
      </w:pPr>
      <w:r>
        <w:rPr>
          <w:rFonts w:ascii="Arial" w:cs="Arial" w:eastAsia="Arial" w:hAnsi="Arial"/>
          <w:sz w:val="17"/>
          <w:szCs w:val="17"/>
          <w:color w:val="auto"/>
        </w:rPr>
        <w:t>commercialize our product candidates or any other of our product candidates or technologies covered by the asserted</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patents. In order to successfully challenge the validity of any such U.S. patent in federal court, we would need to</w:t>
      </w:r>
    </w:p>
    <w:p>
      <w:pPr>
        <w:spacing w:after="0" w:line="229" w:lineRule="auto"/>
        <w:rPr>
          <w:sz w:val="20"/>
          <w:szCs w:val="20"/>
          <w:color w:val="auto"/>
        </w:rPr>
      </w:pPr>
      <w:r>
        <w:rPr>
          <w:rFonts w:ascii="Arial" w:cs="Arial" w:eastAsia="Arial" w:hAnsi="Arial"/>
          <w:sz w:val="16"/>
          <w:szCs w:val="16"/>
          <w:color w:val="auto"/>
        </w:rPr>
        <w:t>overcome a presumption of validity. As this burden is a high one requiring us to present clear and convincing evidence as to</w:t>
      </w:r>
    </w:p>
    <w:p>
      <w:pPr>
        <w:spacing w:after="0" w:line="229" w:lineRule="auto"/>
        <w:rPr>
          <w:sz w:val="20"/>
          <w:szCs w:val="20"/>
          <w:color w:val="auto"/>
        </w:rPr>
      </w:pPr>
      <w:r>
        <w:rPr>
          <w:rFonts w:ascii="Arial" w:cs="Arial" w:eastAsia="Arial" w:hAnsi="Arial"/>
          <w:sz w:val="16"/>
          <w:szCs w:val="16"/>
          <w:color w:val="auto"/>
        </w:rPr>
        <w:t>the invalidity of any such U.S. patent claim, there is no assurance that a court of competent jurisdiction would invalidate the</w:t>
      </w:r>
    </w:p>
    <w:p>
      <w:pPr>
        <w:spacing w:after="0" w:line="230" w:lineRule="auto"/>
        <w:rPr>
          <w:sz w:val="20"/>
          <w:szCs w:val="20"/>
          <w:color w:val="auto"/>
        </w:rPr>
      </w:pPr>
      <w:r>
        <w:rPr>
          <w:rFonts w:ascii="Arial" w:cs="Arial" w:eastAsia="Arial" w:hAnsi="Arial"/>
          <w:sz w:val="16"/>
          <w:szCs w:val="16"/>
          <w:color w:val="auto"/>
        </w:rPr>
        <w:t>claims of any such U.S. patent. If we are found to infringe a third party’s valid and enforceable intellectual property rights,</w:t>
      </w:r>
    </w:p>
    <w:p>
      <w:pPr>
        <w:spacing w:after="0" w:line="215" w:lineRule="auto"/>
        <w:rPr>
          <w:sz w:val="20"/>
          <w:szCs w:val="20"/>
          <w:color w:val="auto"/>
        </w:rPr>
      </w:pPr>
      <w:r>
        <w:rPr>
          <w:rFonts w:ascii="Arial" w:cs="Arial" w:eastAsia="Arial" w:hAnsi="Arial"/>
          <w:sz w:val="17"/>
          <w:szCs w:val="17"/>
          <w:color w:val="auto"/>
        </w:rPr>
        <w:t>we could be required to obtain a license from such third party to continue developing, manufacturing and marketing our</w:t>
      </w:r>
    </w:p>
    <w:p>
      <w:pPr>
        <w:spacing w:after="0" w:line="229" w:lineRule="auto"/>
        <w:rPr>
          <w:sz w:val="20"/>
          <w:szCs w:val="20"/>
          <w:color w:val="auto"/>
        </w:rPr>
      </w:pPr>
      <w:r>
        <w:rPr>
          <w:rFonts w:ascii="Arial" w:cs="Arial" w:eastAsia="Arial" w:hAnsi="Arial"/>
          <w:sz w:val="16"/>
          <w:szCs w:val="16"/>
          <w:color w:val="auto"/>
        </w:rPr>
        <w:t>product candidates and technology. However, we may not be able to obtain any required license on commercially reasonable</w:t>
      </w:r>
    </w:p>
    <w:p>
      <w:pPr>
        <w:spacing w:after="0" w:line="176" w:lineRule="exact"/>
        <w:rPr>
          <w:sz w:val="20"/>
          <w:szCs w:val="20"/>
          <w:color w:val="auto"/>
        </w:rPr>
      </w:pPr>
      <w:r>
        <w:rPr>
          <w:rFonts w:ascii="Arial" w:cs="Arial" w:eastAsia="Arial" w:hAnsi="Arial"/>
          <w:sz w:val="16"/>
          <w:szCs w:val="16"/>
          <w:color w:val="auto"/>
        </w:rPr>
        <w:t>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and other</w:t>
      </w:r>
    </w:p>
    <w:p>
      <w:pPr>
        <w:spacing w:after="0" w:line="229" w:lineRule="auto"/>
        <w:rPr>
          <w:sz w:val="20"/>
          <w:szCs w:val="20"/>
          <w:color w:val="auto"/>
        </w:rPr>
      </w:pPr>
      <w:r>
        <w:rPr>
          <w:rFonts w:ascii="Arial" w:cs="Arial" w:eastAsia="Arial" w:hAnsi="Arial"/>
          <w:sz w:val="16"/>
          <w:szCs w:val="16"/>
          <w:color w:val="auto"/>
        </w:rPr>
        <w:t>third parties access to the same technologies licensed to us, and it could require us to make substantial licensing and royalty</w:t>
      </w:r>
    </w:p>
    <w:p>
      <w:pPr>
        <w:spacing w:after="0" w:line="216" w:lineRule="auto"/>
        <w:rPr>
          <w:sz w:val="20"/>
          <w:szCs w:val="20"/>
          <w:color w:val="auto"/>
        </w:rPr>
      </w:pPr>
      <w:r>
        <w:rPr>
          <w:rFonts w:ascii="Arial" w:cs="Arial" w:eastAsia="Arial" w:hAnsi="Arial"/>
          <w:sz w:val="17"/>
          <w:szCs w:val="17"/>
          <w:color w:val="auto"/>
        </w:rPr>
        <w:t>payments. We could be forced, including by court order, to cease developing, manufacturing and commercializing the</w:t>
      </w:r>
    </w:p>
    <w:p>
      <w:pPr>
        <w:spacing w:after="0" w:line="215" w:lineRule="auto"/>
        <w:rPr>
          <w:sz w:val="20"/>
          <w:szCs w:val="20"/>
          <w:color w:val="auto"/>
        </w:rPr>
      </w:pPr>
      <w:r>
        <w:rPr>
          <w:rFonts w:ascii="Arial" w:cs="Arial" w:eastAsia="Arial" w:hAnsi="Arial"/>
          <w:sz w:val="17"/>
          <w:szCs w:val="17"/>
          <w:color w:val="auto"/>
        </w:rPr>
        <w:t>infringing technology or product candidates. In addition, we could be found liable for monetary damages, including treble</w:t>
      </w:r>
    </w:p>
    <w:p>
      <w:pPr>
        <w:spacing w:after="0" w:line="229" w:lineRule="auto"/>
        <w:rPr>
          <w:sz w:val="20"/>
          <w:szCs w:val="20"/>
          <w:color w:val="auto"/>
        </w:rPr>
      </w:pPr>
      <w:r>
        <w:rPr>
          <w:rFonts w:ascii="Arial" w:cs="Arial" w:eastAsia="Arial" w:hAnsi="Arial"/>
          <w:sz w:val="16"/>
          <w:szCs w:val="16"/>
          <w:color w:val="auto"/>
        </w:rPr>
        <w:t>damages and attorneys’ fees, if we are found to have willfully infringed a patent or other intellectual property right. A finding</w:t>
      </w:r>
    </w:p>
    <w:p>
      <w:pPr>
        <w:spacing w:after="0" w:line="229" w:lineRule="auto"/>
        <w:rPr>
          <w:sz w:val="20"/>
          <w:szCs w:val="20"/>
          <w:color w:val="auto"/>
        </w:rPr>
      </w:pPr>
      <w:r>
        <w:rPr>
          <w:rFonts w:ascii="Arial" w:cs="Arial" w:eastAsia="Arial" w:hAnsi="Arial"/>
          <w:sz w:val="16"/>
          <w:szCs w:val="16"/>
          <w:color w:val="auto"/>
        </w:rPr>
        <w:t>of infringement could prevent us from manufacturing and commercializing our product candidates or force us to cease some</w:t>
      </w:r>
    </w:p>
    <w:p>
      <w:pPr>
        <w:spacing w:after="0" w:line="229" w:lineRule="auto"/>
        <w:rPr>
          <w:sz w:val="20"/>
          <w:szCs w:val="20"/>
          <w:color w:val="auto"/>
        </w:rPr>
      </w:pPr>
      <w:r>
        <w:rPr>
          <w:rFonts w:ascii="Arial" w:cs="Arial" w:eastAsia="Arial" w:hAnsi="Arial"/>
          <w:sz w:val="16"/>
          <w:szCs w:val="16"/>
          <w:color w:val="auto"/>
        </w:rPr>
        <w:t>of our business operations, which could harm our business. Claims that we have misappropriated the confidential information</w:t>
      </w:r>
    </w:p>
    <w:p>
      <w:pPr>
        <w:spacing w:after="0" w:line="229" w:lineRule="auto"/>
        <w:rPr>
          <w:sz w:val="20"/>
          <w:szCs w:val="20"/>
          <w:color w:val="auto"/>
        </w:rPr>
      </w:pPr>
      <w:r>
        <w:rPr>
          <w:rFonts w:ascii="Arial" w:cs="Arial" w:eastAsia="Arial" w:hAnsi="Arial"/>
          <w:sz w:val="16"/>
          <w:szCs w:val="16"/>
          <w:color w:val="auto"/>
        </w:rPr>
        <w:t>or trade secrets of third parties could have a similar negative impact on our business, financial condition,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prospects.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9"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the assignment agreements may be breached, and we may be forced to bring claims against third parties, or defend claims that they may bring against us, to determine the ownership of what we regard as our intellectual property.</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several significant changes to U.S. patent law. These include provisions that affect the way patent applications are prosecuted and also may affect patent litigation. These also include provisions that switched the United States from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invent” system to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allow third</w:t>
      </w:r>
      <w:r>
        <w:rPr>
          <w:rFonts w:ascii="MS PGothic" w:cs="MS PGothic" w:eastAsia="MS PGothic" w:hAnsi="MS PGothic"/>
          <w:sz w:val="17"/>
          <w:szCs w:val="17"/>
          <w:color w:val="auto"/>
        </w:rPr>
        <w:t>‑</w:t>
      </w:r>
      <w:r>
        <w:rPr>
          <w:rFonts w:ascii="Arial" w:cs="Arial" w:eastAsia="Arial" w:hAnsi="Arial"/>
          <w:sz w:val="17"/>
          <w:szCs w:val="17"/>
          <w:color w:val="auto"/>
        </w:rPr>
        <w:t>party submission of prior art to the USPTO during patent prosecution and set forth additional procedures to attack the validity of a patent by the USPTO administered post grant proceedings. Under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and in particular, the first to file provisions, only became effective on March 16, 2013. Accordingly, it is not clear what, if any, impact the Leahy</w:t>
      </w:r>
      <w:r>
        <w:rPr>
          <w:rFonts w:ascii="MS PGothic" w:cs="MS PGothic" w:eastAsia="MS PGothic" w:hAnsi="MS PGothic"/>
          <w:sz w:val="17"/>
          <w:szCs w:val="17"/>
          <w:color w:val="auto"/>
        </w:rPr>
        <w:t>‑</w:t>
      </w:r>
      <w:r>
        <w:rPr>
          <w:rFonts w:ascii="Arial" w:cs="Arial" w:eastAsia="Arial" w:hAnsi="Arial"/>
          <w:sz w:val="17"/>
          <w:szCs w:val="17"/>
          <w:color w:val="auto"/>
        </w:rPr>
        <w:t>Smith Act will have on the operation of our business. However, the Leahy</w:t>
      </w:r>
      <w:r>
        <w:rPr>
          <w:rFonts w:ascii="MS PGothic" w:cs="MS PGothic" w:eastAsia="MS PGothic" w:hAnsi="MS PGothic"/>
          <w:sz w:val="17"/>
          <w:szCs w:val="17"/>
          <w:color w:val="auto"/>
        </w:rPr>
        <w:t>‑</w:t>
      </w:r>
      <w:r>
        <w:rPr>
          <w:rFonts w:ascii="Arial" w:cs="Arial" w:eastAsia="Arial" w:hAnsi="Arial"/>
          <w:sz w:val="17"/>
          <w:szCs w:val="17"/>
          <w:color w:val="auto"/>
        </w:rPr>
        <w:t>Smith Act and its implementation could increase the uncertainties and costs surrounding the prosecution of our patent applications and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enforcement or defense of our issued patents, all of which could harm our business, financial condition, results of operations and prospects.</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 xml:space="preserve">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w:t>
      </w:r>
      <w:r>
        <w:rPr>
          <w:rFonts w:ascii="Arial" w:cs="Arial" w:eastAsia="Arial" w:hAnsi="Arial"/>
          <w:sz w:val="16"/>
          <w:szCs w:val="16"/>
          <w:i w:val="1"/>
          <w:iCs w:val="1"/>
          <w:color w:val="auto"/>
        </w:rPr>
        <w:t>Mayo Collaborative Services v. Prometheus Laboratories, Inc</w:t>
      </w:r>
      <w:r>
        <w:rPr>
          <w:rFonts w:ascii="Arial" w:cs="Arial" w:eastAsia="Arial" w:hAnsi="Arial"/>
          <w:sz w:val="16"/>
          <w:szCs w:val="16"/>
          <w:color w:val="auto"/>
        </w:rPr>
        <w:t>., or Prometheus, a case involving patent claims directed to a process of measuring a metabolic product in a patient to optimize a drug dosage for the patient. According to the Supreme Court, the addition of well</w:t>
      </w:r>
      <w:r>
        <w:rPr>
          <w:rFonts w:ascii="MS PGothic" w:cs="MS PGothic" w:eastAsia="MS PGothic" w:hAnsi="MS PGothic"/>
          <w:sz w:val="16"/>
          <w:szCs w:val="16"/>
          <w:color w:val="auto"/>
        </w:rPr>
        <w:t>‑</w:t>
      </w:r>
      <w:r>
        <w:rPr>
          <w:rFonts w:ascii="Arial" w:cs="Arial" w:eastAsia="Arial" w:hAnsi="Arial"/>
          <w:sz w:val="16"/>
          <w:szCs w:val="16"/>
          <w:color w:val="auto"/>
        </w:rPr>
        <w:t>understood, routine or conventional activity such as “administering” or “determining” steps was not enough to transform an otherwise patent</w:t>
      </w:r>
      <w:r>
        <w:rPr>
          <w:rFonts w:ascii="MS PGothic" w:cs="MS PGothic" w:eastAsia="MS PGothic" w:hAnsi="MS PGothic"/>
          <w:sz w:val="16"/>
          <w:szCs w:val="16"/>
          <w:color w:val="auto"/>
        </w:rPr>
        <w:t>‑</w:t>
      </w:r>
      <w:r>
        <w:rPr>
          <w:rFonts w:ascii="Arial" w:cs="Arial" w:eastAsia="Arial" w:hAnsi="Arial"/>
          <w:sz w:val="16"/>
          <w:szCs w:val="16"/>
          <w:color w:val="auto"/>
        </w:rPr>
        <w:t>ineligible natural phenomenon into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w:t>
      </w:r>
      <w:r>
        <w:rPr>
          <w:rFonts w:ascii="MS PGothic" w:cs="MS PGothic" w:eastAsia="MS PGothic" w:hAnsi="MS PGothic"/>
          <w:sz w:val="16"/>
          <w:szCs w:val="16"/>
          <w:color w:val="auto"/>
        </w:rPr>
        <w:t>‑</w:t>
      </w:r>
      <w:r>
        <w:rPr>
          <w:rFonts w:ascii="Arial" w:cs="Arial" w:eastAsia="Arial" w:hAnsi="Arial"/>
          <w:sz w:val="16"/>
          <w:szCs w:val="16"/>
          <w:color w:val="auto"/>
        </w:rPr>
        <w:t xml:space="preserve">eligible subject matter. On June 13, 2013, the Supreme Court issued its decision in </w:t>
      </w:r>
      <w:r>
        <w:rPr>
          <w:rFonts w:ascii="Arial" w:cs="Arial" w:eastAsia="Arial" w:hAnsi="Arial"/>
          <w:sz w:val="16"/>
          <w:szCs w:val="16"/>
          <w:i w:val="1"/>
          <w:iCs w:val="1"/>
          <w:color w:val="auto"/>
        </w:rPr>
        <w:t>Association for Molecular Pathology v. Myriad</w:t>
      </w:r>
      <w:r>
        <w:rPr>
          <w:rFonts w:ascii="Arial" w:cs="Arial" w:eastAsia="Arial" w:hAnsi="Arial"/>
          <w:sz w:val="16"/>
          <w:szCs w:val="16"/>
          <w:color w:val="auto"/>
        </w:rPr>
        <w:t xml:space="preserve"> </w:t>
      </w:r>
      <w:r>
        <w:rPr>
          <w:rFonts w:ascii="Arial" w:cs="Arial" w:eastAsia="Arial" w:hAnsi="Arial"/>
          <w:sz w:val="16"/>
          <w:szCs w:val="16"/>
          <w:i w:val="1"/>
          <w:iCs w:val="1"/>
          <w:color w:val="auto"/>
        </w:rPr>
        <w:t>Genetics, Inc</w:t>
      </w:r>
      <w:r>
        <w:rPr>
          <w:rFonts w:ascii="Arial" w:cs="Arial" w:eastAsia="Arial" w:hAnsi="Arial"/>
          <w:sz w:val="16"/>
          <w:szCs w:val="16"/>
          <w:color w:val="auto"/>
        </w:rPr>
        <w:t>., or Myriad, a case involving patent claims held by Myriad Genetics, Inc. relating to the breast cancer</w:t>
      </w:r>
      <w:r>
        <w:rPr>
          <w:rFonts w:ascii="Arial" w:cs="Arial" w:eastAsia="Arial" w:hAnsi="Arial"/>
          <w:sz w:val="16"/>
          <w:szCs w:val="16"/>
          <w:i w:val="1"/>
          <w:iCs w:val="1"/>
          <w:color w:val="auto"/>
        </w:rPr>
        <w:t xml:space="preserve"> </w:t>
      </w:r>
      <w:r>
        <w:rPr>
          <w:rFonts w:ascii="Arial" w:cs="Arial" w:eastAsia="Arial" w:hAnsi="Arial"/>
          <w:sz w:val="16"/>
          <w:szCs w:val="16"/>
          <w:color w:val="auto"/>
        </w:rPr>
        <w:t>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March 4, 2014, the USPTO issued a guidance memorandum to patent examiners 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63"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Moreover, although the Supreme Court has held in Myriad that isolated segments of naturally occurring DNA are</w:t>
      </w:r>
    </w:p>
    <w:p>
      <w:pPr>
        <w:spacing w:after="0" w:line="183" w:lineRule="exact"/>
        <w:rPr>
          <w:sz w:val="20"/>
          <w:szCs w:val="20"/>
          <w:color w:val="auto"/>
        </w:rPr>
      </w:pPr>
      <w:r>
        <w:rPr>
          <w:rFonts w:ascii="Arial" w:cs="Arial" w:eastAsia="Arial" w:hAnsi="Arial"/>
          <w:sz w:val="17"/>
          <w:szCs w:val="17"/>
          <w:color w:val="auto"/>
        </w:rPr>
        <w:t>not patent</w:t>
      </w:r>
      <w:r>
        <w:rPr>
          <w:rFonts w:ascii="MS PGothic" w:cs="MS PGothic" w:eastAsia="MS PGothic" w:hAnsi="MS PGothic"/>
          <w:sz w:val="17"/>
          <w:szCs w:val="17"/>
          <w:color w:val="auto"/>
        </w:rPr>
        <w:t>‑</w:t>
      </w:r>
      <w:r>
        <w:rPr>
          <w:rFonts w:ascii="Arial" w:cs="Arial" w:eastAsia="Arial" w:hAnsi="Arial"/>
          <w:sz w:val="17"/>
          <w:szCs w:val="17"/>
          <w:color w:val="auto"/>
        </w:rPr>
        <w:t>eligible subject matter, certain third parties could allege that activities that we may undertake infringe other</w:t>
      </w:r>
    </w:p>
    <w:p>
      <w:pPr>
        <w:spacing w:after="0" w:line="176" w:lineRule="exact"/>
        <w:rPr>
          <w:sz w:val="20"/>
          <w:szCs w:val="20"/>
          <w:color w:val="auto"/>
        </w:rPr>
      </w:pPr>
      <w:r>
        <w:rPr>
          <w:rFonts w:ascii="Arial" w:cs="Arial" w:eastAsia="Arial" w:hAnsi="Arial"/>
          <w:sz w:val="18"/>
          <w:szCs w:val="18"/>
          <w:color w:val="auto"/>
        </w:rPr>
        <w:t>gene</w:t>
      </w:r>
      <w:r>
        <w:rPr>
          <w:rFonts w:ascii="MS PGothic" w:cs="MS PGothic" w:eastAsia="MS PGothic" w:hAnsi="MS PGothic"/>
          <w:sz w:val="18"/>
          <w:szCs w:val="18"/>
          <w:color w:val="auto"/>
        </w:rPr>
        <w:t>‑</w:t>
      </w:r>
      <w:r>
        <w:rPr>
          <w:rFonts w:ascii="Arial" w:cs="Arial" w:eastAsia="Arial" w:hAnsi="Arial"/>
          <w:sz w:val="18"/>
          <w:szCs w:val="18"/>
          <w:color w:val="auto"/>
        </w:rPr>
        <w:t>related patent claims, and we may deem it necessary to defend ourselves against these claims by asserting</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infringement and/or invalidity positions, or paying to obtain a license to these claims. In any of the foregoing or in other</w:t>
      </w:r>
    </w:p>
    <w:p>
      <w:pPr>
        <w:spacing w:after="0" w:line="176" w:lineRule="exact"/>
        <w:rPr>
          <w:sz w:val="20"/>
          <w:szCs w:val="20"/>
          <w:color w:val="auto"/>
        </w:rPr>
      </w:pPr>
      <w:r>
        <w:rPr>
          <w:rFonts w:ascii="Arial" w:cs="Arial" w:eastAsia="Arial" w:hAnsi="Arial"/>
          <w:sz w:val="17"/>
          <w:szCs w:val="17"/>
          <w:color w:val="auto"/>
        </w:rPr>
        <w:t>situations involving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if we are unsuccessful in defending against claims of patent</w:t>
      </w:r>
    </w:p>
    <w:p>
      <w:pPr>
        <w:spacing w:after="0" w:line="230" w:lineRule="auto"/>
        <w:rPr>
          <w:sz w:val="20"/>
          <w:szCs w:val="20"/>
          <w:color w:val="auto"/>
        </w:rPr>
      </w:pPr>
      <w:r>
        <w:rPr>
          <w:rFonts w:ascii="Arial" w:cs="Arial" w:eastAsia="Arial" w:hAnsi="Arial"/>
          <w:sz w:val="16"/>
          <w:szCs w:val="16"/>
          <w:color w:val="auto"/>
        </w:rPr>
        <w:t>infringement, we could be forced to pay damages or be subjected to an injunction that would prevent us from utilizing the</w:t>
      </w:r>
    </w:p>
    <w:p>
      <w:pPr>
        <w:spacing w:after="0"/>
        <w:rPr>
          <w:sz w:val="20"/>
          <w:szCs w:val="20"/>
          <w:color w:val="auto"/>
        </w:rPr>
      </w:pPr>
      <w:r>
        <w:rPr>
          <w:rFonts w:ascii="Arial" w:cs="Arial" w:eastAsia="Arial" w:hAnsi="Arial"/>
          <w:sz w:val="17"/>
          <w:szCs w:val="17"/>
          <w:color w:val="auto"/>
        </w:rPr>
        <w:t>patented subject matter. Such outcomes could harm our business, financial condition, results of operations or prospects.</w:t>
      </w:r>
    </w:p>
    <w:p>
      <w:pPr>
        <w:spacing w:after="0" w:line="18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19"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or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w:t>
      </w:r>
    </w:p>
    <w:p>
      <w:pPr>
        <w:spacing w:after="0" w:line="17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have registered trademarks with the USPTO for the mark “Voyager Therapeutics” and the Voyager logo.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44"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6" w:lineRule="exact"/>
        <w:rPr>
          <w:sz w:val="20"/>
          <w:szCs w:val="20"/>
          <w:color w:val="auto"/>
        </w:rPr>
      </w:pPr>
    </w:p>
    <w:p>
      <w:pPr>
        <w:ind w:left="740" w:right="600" w:hanging="89"/>
        <w:spacing w:after="0" w:line="246"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129" w:lineRule="exact"/>
        <w:rPr>
          <w:rFonts w:ascii="Arial" w:cs="Arial" w:eastAsia="Arial" w:hAnsi="Arial"/>
          <w:sz w:val="18"/>
          <w:szCs w:val="18"/>
          <w:color w:val="auto"/>
        </w:rPr>
      </w:pPr>
    </w:p>
    <w:p>
      <w:pPr>
        <w:ind w:left="740" w:right="180" w:hanging="89"/>
        <w:spacing w:after="0" w:line="307" w:lineRule="auto"/>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83" w:lineRule="exact"/>
        <w:rPr>
          <w:rFonts w:ascii="Arial" w:cs="Arial" w:eastAsia="Arial" w:hAnsi="Arial"/>
          <w:sz w:val="16"/>
          <w:szCs w:val="16"/>
          <w:color w:val="auto"/>
        </w:rPr>
      </w:pPr>
    </w:p>
    <w:p>
      <w:pPr>
        <w:ind w:left="740" w:hanging="89"/>
        <w:spacing w:after="0" w:line="246"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29" w:lineRule="exact"/>
        <w:rPr>
          <w:rFonts w:ascii="Arial" w:cs="Arial" w:eastAsia="Arial" w:hAnsi="Arial"/>
          <w:sz w:val="18"/>
          <w:szCs w:val="18"/>
          <w:color w:val="auto"/>
        </w:rPr>
      </w:pPr>
    </w:p>
    <w:p>
      <w:pPr>
        <w:ind w:left="740" w:right="120" w:hanging="89"/>
        <w:spacing w:after="0" w:line="246"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29" w:lineRule="exact"/>
        <w:rPr>
          <w:rFonts w:ascii="Arial" w:cs="Arial" w:eastAsia="Arial" w:hAnsi="Arial"/>
          <w:sz w:val="18"/>
          <w:szCs w:val="18"/>
          <w:color w:val="auto"/>
        </w:rPr>
      </w:pPr>
    </w:p>
    <w:p>
      <w:pPr>
        <w:ind w:left="740" w:right="360" w:hanging="89"/>
        <w:spacing w:after="0" w:line="246" w:lineRule="auto"/>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100" w:hanging="89"/>
        <w:spacing w:after="0" w:line="246"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rFonts w:ascii="Arial" w:cs="Arial" w:eastAsia="Arial" w:hAnsi="Arial"/>
          <w:sz w:val="18"/>
          <w:szCs w:val="18"/>
          <w:color w:val="auto"/>
        </w:rPr>
      </w:pPr>
    </w:p>
    <w:p>
      <w:pPr>
        <w:ind w:left="740" w:right="40" w:hanging="89"/>
        <w:spacing w:after="0" w:line="235"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Arial" w:cs="Arial" w:eastAsia="Arial" w:hAnsi="Arial"/>
          <w:sz w:val="18"/>
          <w:szCs w:val="18"/>
          <w:color w:val="auto"/>
        </w:rPr>
      </w:pPr>
    </w:p>
    <w:p>
      <w:pPr>
        <w:ind w:left="760" w:hanging="109"/>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7" w:lineRule="exact"/>
        <w:rPr>
          <w:rFonts w:ascii="Arial" w:cs="Arial" w:eastAsia="Arial" w:hAnsi="Arial"/>
          <w:sz w:val="18"/>
          <w:szCs w:val="18"/>
          <w:color w:val="auto"/>
        </w:rPr>
      </w:pPr>
    </w:p>
    <w:p>
      <w:pPr>
        <w:ind w:left="760" w:hanging="109"/>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7" w:lineRule="exact"/>
        <w:rPr>
          <w:rFonts w:ascii="Arial" w:cs="Arial" w:eastAsia="Arial" w:hAnsi="Arial"/>
          <w:sz w:val="18"/>
          <w:szCs w:val="18"/>
          <w:color w:val="auto"/>
        </w:rPr>
      </w:pPr>
    </w:p>
    <w:p>
      <w:pPr>
        <w:ind w:left="740" w:right="120" w:hanging="89"/>
        <w:spacing w:after="0" w:line="210" w:lineRule="exact"/>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135"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6"/>
          <w:szCs w:val="16"/>
          <w:color w:val="auto"/>
        </w:rPr>
        <w:t>‑</w:t>
      </w:r>
      <w:r>
        <w:rPr>
          <w:rFonts w:ascii="Arial" w:cs="Arial" w:eastAsia="Arial" w:hAnsi="Arial"/>
          <w:sz w:val="16"/>
          <w:szCs w:val="16"/>
          <w:color w:val="auto"/>
        </w:rPr>
        <w:t>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26"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10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holdings of our executive officers, directors, principal stockholders and their affiliates, including investment funds affiliated with Third Rock Ventures and Funds affiliated with Fidelity Management Research Company, or Fidelity, represent beneficial ownership, in the aggregate, of approximately 62% of our outstanding common stock as of December 31, 2016.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10" w:lineRule="exact"/>
        <w:rPr>
          <w:sz w:val="20"/>
          <w:szCs w:val="20"/>
          <w:color w:val="auto"/>
        </w:rPr>
      </w:pPr>
    </w:p>
    <w:p>
      <w:pPr>
        <w:ind w:left="780" w:hanging="12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7" w:lineRule="exact"/>
        <w:rPr>
          <w:rFonts w:ascii="Arial" w:cs="Arial" w:eastAsia="Arial" w:hAnsi="Arial"/>
          <w:sz w:val="18"/>
          <w:szCs w:val="18"/>
          <w:color w:val="auto"/>
        </w:rPr>
      </w:pPr>
    </w:p>
    <w:p>
      <w:pPr>
        <w:ind w:left="740" w:hanging="89"/>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discouraging a potential acquirer from making a tender offer or otherwise attempting to obtain control of us.</w:t>
      </w:r>
    </w:p>
    <w:p>
      <w:pPr>
        <w:spacing w:after="0" w:line="156"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94"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85" w:lineRule="exact"/>
        <w:rPr>
          <w:sz w:val="20"/>
          <w:szCs w:val="20"/>
          <w:color w:val="auto"/>
        </w:rPr>
      </w:pPr>
    </w:p>
    <w:p>
      <w:pPr>
        <w:jc w:val="both"/>
        <w:ind w:right="79" w:firstLine="648"/>
        <w:spacing w:after="0" w:line="22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3" w:lineRule="exact"/>
        <w:rPr>
          <w:sz w:val="20"/>
          <w:szCs w:val="20"/>
          <w:color w:val="auto"/>
        </w:rPr>
      </w:pPr>
    </w:p>
    <w:p>
      <w:pPr>
        <w:ind w:right="39" w:firstLine="648"/>
        <w:spacing w:after="0" w:line="239" w:lineRule="auto"/>
        <w:rPr>
          <w:sz w:val="20"/>
          <w:szCs w:val="20"/>
          <w:color w:val="auto"/>
        </w:rPr>
      </w:pPr>
      <w:r>
        <w:rPr>
          <w:rFonts w:ascii="Arial" w:cs="Arial" w:eastAsia="Arial" w:hAnsi="Arial"/>
          <w:sz w:val="16"/>
          <w:szCs w:val="16"/>
          <w:color w:val="auto"/>
        </w:rPr>
        <w:t>In addition, we have registered on a registration statement on Form S-3 that has been declared effective, the sale of up to $250.0 million in aggregate of an indeterminate number of shares of common stock and preferred stock, an indeterminate principal amount of debt securities, and an indeterminate number of warrants. The registration statement also registers the offering, issuance, and sale of common stock having up to a maximum aggregate offering price of $75.0 million that we may issue and sell in an at-the-market offering under a sales agreement we entered into with Cowen and Company, LLC on December 1, 2016 pursuant to a sales agreement prospectus that forms a part of the registration statement. As of December 31, 2016, approximately $75.0 million in shares of common stock remain for sale under the sales agreement.</w:t>
      </w:r>
    </w:p>
    <w:p>
      <w:pPr>
        <w:spacing w:after="0" w:line="163" w:lineRule="exact"/>
        <w:rPr>
          <w:sz w:val="20"/>
          <w:szCs w:val="20"/>
          <w:color w:val="auto"/>
        </w:rPr>
      </w:pPr>
    </w:p>
    <w:p>
      <w:pPr>
        <w:ind w:right="639"/>
        <w:spacing w:after="0" w:line="235" w:lineRule="auto"/>
        <w:rPr>
          <w:sz w:val="20"/>
          <w:szCs w:val="20"/>
          <w:color w:val="auto"/>
        </w:rPr>
      </w:pPr>
      <w:r>
        <w:rPr>
          <w:rFonts w:ascii="Arial" w:cs="Arial" w:eastAsia="Arial" w:hAnsi="Arial"/>
          <w:sz w:val="18"/>
          <w:szCs w:val="18"/>
          <w:b w:val="1"/>
          <w:bCs w:val="1"/>
          <w:i w:val="1"/>
          <w:iCs w:val="1"/>
          <w:color w:val="auto"/>
        </w:rPr>
        <w:t>The price of our common stock is volatile and fluctuates substantially, which could result in substantial losses for purchasers of our common stock.</w:t>
      </w:r>
    </w:p>
    <w:p>
      <w:pPr>
        <w:spacing w:after="0" w:line="162" w:lineRule="exact"/>
        <w:rPr>
          <w:sz w:val="20"/>
          <w:szCs w:val="20"/>
          <w:color w:val="auto"/>
        </w:rPr>
      </w:pPr>
    </w:p>
    <w:p>
      <w:pPr>
        <w:ind w:right="79" w:firstLine="648"/>
        <w:spacing w:after="0" w:line="244" w:lineRule="auto"/>
        <w:rPr>
          <w:sz w:val="20"/>
          <w:szCs w:val="20"/>
          <w:color w:val="auto"/>
        </w:rPr>
      </w:pPr>
      <w:r>
        <w:rPr>
          <w:rFonts w:ascii="Arial" w:cs="Arial" w:eastAsia="Arial" w:hAnsi="Arial"/>
          <w:sz w:val="16"/>
          <w:szCs w:val="16"/>
          <w:color w:val="auto"/>
        </w:rPr>
        <w:t>The price of our common stock is likely to be volatile and fluctuates substantially. Since our stock began trading on the NASDAQ Global Select Market on November 11, 2015, through December 31, 2016, the closing price of our common stock ranged from a high of $30.20 to a low of $8.56. The stock market in general, and the market for biopharmaceutical companies in particular, has experienced extreme volatility that has often been unrelated to the operating performance of particular companies. The market price for our common stock may be influenced by many factors, including:</w:t>
      </w:r>
    </w:p>
    <w:p>
      <w:pPr>
        <w:spacing w:after="0" w:line="159" w:lineRule="exact"/>
        <w:rPr>
          <w:sz w:val="20"/>
          <w:szCs w:val="20"/>
          <w:color w:val="auto"/>
        </w:rPr>
      </w:pPr>
    </w:p>
    <w:p>
      <w:pPr>
        <w:ind w:left="740" w:hanging="89"/>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98" w:lineRule="exact"/>
        <w:rPr>
          <w:rFonts w:ascii="Arial" w:cs="Arial" w:eastAsia="Arial" w:hAnsi="Arial"/>
          <w:sz w:val="18"/>
          <w:szCs w:val="18"/>
          <w:color w:val="auto"/>
        </w:rPr>
      </w:pPr>
    </w:p>
    <w:p>
      <w:pPr>
        <w:ind w:left="780" w:hanging="129"/>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98" w:lineRule="exact"/>
        <w:rPr>
          <w:rFonts w:ascii="Arial" w:cs="Arial" w:eastAsia="Arial" w:hAnsi="Arial"/>
          <w:sz w:val="18"/>
          <w:szCs w:val="18"/>
          <w:color w:val="auto"/>
        </w:rPr>
      </w:pPr>
    </w:p>
    <w:p>
      <w:pPr>
        <w:ind w:left="800" w:hanging="149"/>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300" w:hanging="89"/>
        <w:spacing w:after="0" w:line="246" w:lineRule="auto"/>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740" w:hanging="89"/>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780" w:hanging="129"/>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760" w:hanging="109"/>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780" w:hanging="129"/>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740" w:hanging="89"/>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described in the section titled “Risk Factors” and elsewhere in this Annual Report.</w:t>
      </w:r>
    </w:p>
    <w:p>
      <w:pPr>
        <w:spacing w:after="0" w:line="131"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95" w:lineRule="exact"/>
        <w:rPr>
          <w:sz w:val="20"/>
          <w:szCs w:val="20"/>
          <w:color w:val="auto"/>
        </w:rPr>
      </w:pPr>
    </w:p>
    <w:p>
      <w:pPr>
        <w:ind w:right="340" w:firstLine="648"/>
        <w:spacing w:after="0" w:line="189" w:lineRule="exact"/>
        <w:rPr>
          <w:sz w:val="20"/>
          <w:szCs w:val="20"/>
          <w:color w:val="auto"/>
        </w:rPr>
      </w:pPr>
      <w:r>
        <w:rPr>
          <w:rFonts w:ascii="Arial" w:cs="Arial" w:eastAsia="Arial" w:hAnsi="Arial"/>
          <w:sz w:val="18"/>
          <w:szCs w:val="18"/>
          <w:color w:val="auto"/>
        </w:rPr>
        <w:t>In the past, following periods of volatility in the market price of a company’s securities, securities class</w:t>
      </w:r>
      <w:r>
        <w:rPr>
          <w:rFonts w:ascii="MS PGothic" w:cs="MS PGothic" w:eastAsia="MS PGothic" w:hAnsi="MS PGothic"/>
          <w:sz w:val="18"/>
          <w:szCs w:val="18"/>
          <w:color w:val="auto"/>
        </w:rPr>
        <w:t>‑</w:t>
      </w:r>
      <w:r>
        <w:rPr>
          <w:rFonts w:ascii="Arial" w:cs="Arial" w:eastAsia="Arial" w:hAnsi="Arial"/>
          <w:sz w:val="18"/>
          <w:szCs w:val="18"/>
          <w:color w:val="auto"/>
        </w:rPr>
        <w:t>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8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have broad discretion in how we use the proceeds from our IPO and may not use these proceeds effectively, which could affect our results of operations and cause our stock price to decline.</w:t>
      </w:r>
    </w:p>
    <w:p>
      <w:pPr>
        <w:spacing w:after="0" w:line="16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We will have considerable discretion in the application of the net proceeds from our recently completed IPO. As a result, investors will be relying upon management’s judgment with only limited information about our specific intentions for the use of the balance of the net proceeds from our IPO. We may use the net proceeds for purposes that do not yield a significant return or any return at all for our stockholders. In addition, pending their use, we may invest the net proceeds from this the IPO in a manner that does not produce income or that loses value.</w:t>
      </w:r>
    </w:p>
    <w:p>
      <w:pPr>
        <w:spacing w:after="0" w:line="161"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9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96" w:lineRule="exact"/>
        <w:rPr>
          <w:sz w:val="20"/>
          <w:szCs w:val="20"/>
          <w:color w:val="auto"/>
        </w:rPr>
      </w:pPr>
    </w:p>
    <w:p>
      <w:pPr>
        <w:ind w:left="740" w:right="40" w:hanging="89"/>
        <w:spacing w:after="0" w:line="210" w:lineRule="exact"/>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75" w:lineRule="exact"/>
        <w:rPr>
          <w:rFonts w:ascii="Arial" w:cs="Arial" w:eastAsia="Arial" w:hAnsi="Arial"/>
          <w:sz w:val="18"/>
          <w:szCs w:val="18"/>
          <w:color w:val="auto"/>
        </w:rPr>
      </w:pPr>
    </w:p>
    <w:p>
      <w:pPr>
        <w:ind w:left="740" w:right="520" w:hanging="89"/>
        <w:spacing w:after="0" w:line="235"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Arial" w:cs="Arial" w:eastAsia="Arial" w:hAnsi="Arial"/>
          <w:sz w:val="18"/>
          <w:szCs w:val="18"/>
          <w:color w:val="auto"/>
        </w:rPr>
      </w:pPr>
    </w:p>
    <w:p>
      <w:pPr>
        <w:ind w:left="760" w:hanging="109"/>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98" w:lineRule="exact"/>
        <w:rPr>
          <w:rFonts w:ascii="Arial" w:cs="Arial" w:eastAsia="Arial" w:hAnsi="Arial"/>
          <w:sz w:val="18"/>
          <w:szCs w:val="18"/>
          <w:color w:val="auto"/>
        </w:rPr>
      </w:pPr>
    </w:p>
    <w:p>
      <w:pPr>
        <w:ind w:left="740" w:right="740" w:hanging="89"/>
        <w:spacing w:after="0" w:line="275"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We may take advantages of these exemptions until we are no longer an EGC. We would cease to be an EGC upon the earlier of: (i) the last day of the fiscal year in which we have total annual gross revenue of $1.0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Securities and Exchange Commission or SEC,</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03" w:lineRule="exact"/>
        <w:rPr>
          <w:sz w:val="20"/>
          <w:szCs w:val="20"/>
          <w:color w:val="auto"/>
        </w:rPr>
      </w:pPr>
      <w:r>
        <w:rPr>
          <w:rFonts w:ascii="Arial" w:cs="Arial" w:eastAsia="Arial" w:hAnsi="Arial"/>
          <w:sz w:val="18"/>
          <w:szCs w:val="18"/>
          <w:color w:val="auto"/>
        </w:rPr>
        <w:t>which means the first day of the year following the first year in which the market value of our common stock that is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$700.0 million as of June 30th.</w:t>
      </w:r>
    </w:p>
    <w:p>
      <w:pPr>
        <w:spacing w:after="0" w:line="16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6"/>
          <w:szCs w:val="16"/>
          <w:color w:val="auto"/>
        </w:rPr>
        <w:t>We may choose to take advantage of some, but not all, of the available exemptions. In particular, we have not included all of the executive compensation information that would be required if we were not an EGC. We cannot predict whether investors will find our common stock less attractive if we rely on certain or all of these exemptions.</w:t>
      </w:r>
    </w:p>
    <w:p>
      <w:pPr>
        <w:spacing w:after="0" w:line="14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If some investors find our common stock less attractive as a result, there may be a less active trading market for our common stock and our stock price may be more volatile and may decline.</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As a public company, and particularly after we are no longer an EGC, we will incur significant legal, accounting and other expenses that we did not incur as a private company. In addition,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we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0" w:lineRule="exact"/>
        <w:rPr>
          <w:sz w:val="20"/>
          <w:szCs w:val="20"/>
          <w:color w:val="auto"/>
        </w:rPr>
      </w:pPr>
    </w:p>
    <w:p>
      <w:pPr>
        <w:ind w:right="680"/>
        <w:spacing w:after="0" w:line="22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current management by making it more difficult for stockholders to replace members of our board of directors. Among other things, these provisions:</w:t>
      </w:r>
    </w:p>
    <w:p>
      <w:pPr>
        <w:spacing w:after="0" w:line="162" w:lineRule="exact"/>
        <w:rPr>
          <w:sz w:val="20"/>
          <w:szCs w:val="20"/>
          <w:color w:val="auto"/>
        </w:rPr>
      </w:pPr>
    </w:p>
    <w:p>
      <w:pPr>
        <w:ind w:left="740" w:hanging="89"/>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57" w:lineRule="exact"/>
        <w:rPr>
          <w:rFonts w:ascii="Arial" w:cs="Arial" w:eastAsia="Arial" w:hAnsi="Arial"/>
          <w:sz w:val="18"/>
          <w:szCs w:val="18"/>
          <w:color w:val="auto"/>
        </w:rPr>
      </w:pPr>
    </w:p>
    <w:p>
      <w:pPr>
        <w:ind w:left="740" w:hanging="89"/>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57" w:lineRule="exact"/>
        <w:rPr>
          <w:rFonts w:ascii="Arial" w:cs="Arial" w:eastAsia="Arial" w:hAnsi="Arial"/>
          <w:sz w:val="18"/>
          <w:szCs w:val="18"/>
          <w:color w:val="auto"/>
        </w:rPr>
      </w:pPr>
    </w:p>
    <w:p>
      <w:pPr>
        <w:ind w:left="760" w:hanging="109"/>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57" w:lineRule="exact"/>
        <w:rPr>
          <w:rFonts w:ascii="Arial" w:cs="Arial" w:eastAsia="Arial" w:hAnsi="Arial"/>
          <w:sz w:val="18"/>
          <w:szCs w:val="18"/>
          <w:color w:val="auto"/>
        </w:rPr>
      </w:pPr>
    </w:p>
    <w:p>
      <w:pPr>
        <w:ind w:left="740" w:right="160" w:hanging="89"/>
        <w:spacing w:after="0" w:line="246"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29" w:lineRule="exact"/>
        <w:rPr>
          <w:rFonts w:ascii="Arial" w:cs="Arial" w:eastAsia="Arial" w:hAnsi="Arial"/>
          <w:sz w:val="18"/>
          <w:szCs w:val="18"/>
          <w:color w:val="auto"/>
        </w:rPr>
      </w:pPr>
    </w:p>
    <w:p>
      <w:pPr>
        <w:ind w:left="740" w:right="180" w:hanging="89"/>
        <w:spacing w:after="0" w:line="246"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29" w:lineRule="exact"/>
        <w:rPr>
          <w:rFonts w:ascii="Arial" w:cs="Arial" w:eastAsia="Arial" w:hAnsi="Arial"/>
          <w:sz w:val="18"/>
          <w:szCs w:val="18"/>
          <w:color w:val="auto"/>
        </w:rPr>
      </w:pPr>
    </w:p>
    <w:p>
      <w:pPr>
        <w:ind w:left="820" w:hanging="169"/>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57" w:lineRule="exact"/>
        <w:rPr>
          <w:rFonts w:ascii="Arial" w:cs="Arial" w:eastAsia="Arial" w:hAnsi="Arial"/>
          <w:sz w:val="18"/>
          <w:szCs w:val="18"/>
          <w:color w:val="auto"/>
        </w:rPr>
      </w:pPr>
    </w:p>
    <w:p>
      <w:pPr>
        <w:ind w:left="740" w:hanging="89"/>
        <w:spacing w:after="0" w:line="200" w:lineRule="exact"/>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w:t>
      </w:r>
      <w:r>
        <w:rPr>
          <w:rFonts w:ascii="MS PGothic" w:cs="MS PGothic" w:eastAsia="MS PGothic" w:hAnsi="MS PGothic"/>
          <w:sz w:val="18"/>
          <w:szCs w:val="18"/>
          <w:color w:val="auto"/>
        </w:rPr>
        <w:t>‑</w:t>
      </w:r>
      <w:r>
        <w:rPr>
          <w:rFonts w:ascii="Arial" w:cs="Arial" w:eastAsia="Arial" w:hAnsi="Arial"/>
          <w:sz w:val="18"/>
          <w:szCs w:val="18"/>
          <w:color w:val="auto"/>
        </w:rPr>
        <w:t>called “poison pill,” that would work to dilute the stock ownership of a potential hostile acquirer, effectively preventing acquisitions that have not been approved by our board of directors; and</w:t>
      </w:r>
    </w:p>
    <w:p>
      <w:pPr>
        <w:spacing w:after="0" w:line="134" w:lineRule="exact"/>
        <w:rPr>
          <w:rFonts w:ascii="Arial" w:cs="Arial" w:eastAsia="Arial" w:hAnsi="Arial"/>
          <w:sz w:val="18"/>
          <w:szCs w:val="18"/>
          <w:color w:val="auto"/>
        </w:rPr>
      </w:pPr>
    </w:p>
    <w:p>
      <w:pPr>
        <w:ind w:left="740" w:right="60" w:hanging="89"/>
        <w:spacing w:after="0" w:line="275" w:lineRule="auto"/>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4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respect of, one or more of the specified types of actions or proceedings, we may incur additional costs which could have a material adverse effect on our business, financial condition or results of operations.</w:t>
      </w:r>
    </w:p>
    <w:p>
      <w:pPr>
        <w:spacing w:after="0" w:line="162"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5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160" w:firstLine="729"/>
        <w:spacing w:after="0" w:line="214" w:lineRule="auto"/>
        <w:rPr>
          <w:sz w:val="20"/>
          <w:szCs w:val="20"/>
          <w:color w:val="auto"/>
        </w:rPr>
      </w:pPr>
      <w:r>
        <w:rPr>
          <w:rFonts w:ascii="Arial" w:cs="Arial" w:eastAsia="Arial" w:hAnsi="Arial"/>
          <w:sz w:val="18"/>
          <w:szCs w:val="18"/>
          <w:color w:val="auto"/>
        </w:rPr>
        <w:t>Our corporate headquarters are located in Cambridge, Massachusetts. Our current leased facility encompasses approximately 19,000 square feet of office and laboratory space, located at 75 Sidney Street, Cambridge, Massachusetts. In January 2016, we signed an amendment to extend the current lease through December 31, 2024. In January 2016, we also signed a non-cancelable lease for an additional approximately 26,000 square feet in Cambridge, Massachusetts that is intended to support our continued growth. The additional facility includes laboratory and office space, and was ready for occupancy in early 2017.</w:t>
      </w:r>
    </w:p>
    <w:p>
      <w:pPr>
        <w:spacing w:after="0" w:line="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2016,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5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1420" w:hanging="1516"/>
        <w:spacing w:after="0" w:line="237" w:lineRule="auto"/>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Our common stock has been traded on the Nasdaq Global Select Market under the symbol “VYGR” since November 11, 2015. Prior to this time, there was no public market for our common stock. The following table shows the high and low sale prices per share of our common stock as reported on the Nasdaq Global Select Market for the periods indicated: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Year ended December 31, 2016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223"/>
        </w:trPr>
        <w:tc>
          <w:tcPr>
            <w:tcW w:w="49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 (from November 11, 2015)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 2016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Second Quarter 2016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 2016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r>
      <w:tr>
        <w:trPr>
          <w:trHeight w:val="243"/>
        </w:trPr>
        <w:tc>
          <w:tcPr>
            <w:tcW w:w="4900" w:type="dxa"/>
            <w:vAlign w:val="bottom"/>
          </w:tcPr>
          <w:p>
            <w:pPr>
              <w:ind w:left="220"/>
              <w:spacing w:after="0"/>
              <w:rPr>
                <w:sz w:val="20"/>
                <w:szCs w:val="20"/>
                <w:color w:val="auto"/>
              </w:rPr>
            </w:pPr>
            <w:r>
              <w:rPr>
                <w:rFonts w:ascii="Arial" w:cs="Arial" w:eastAsia="Arial" w:hAnsi="Arial"/>
                <w:sz w:val="18"/>
                <w:szCs w:val="18"/>
                <w:color w:val="auto"/>
              </w:rPr>
              <w:t>Fourth Quarter 2016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21"/>
                <w:szCs w:val="21"/>
                <w:color w:val="auto"/>
              </w:rPr>
            </w:pPr>
          </w:p>
        </w:tc>
      </w:tr>
    </w:tbl>
    <w:p>
      <w:pPr>
        <w:spacing w:after="0" w:line="121" w:lineRule="exact"/>
        <w:rPr>
          <w:sz w:val="20"/>
          <w:szCs w:val="20"/>
          <w:color w:val="auto"/>
        </w:rPr>
      </w:pPr>
    </w:p>
    <w:p>
      <w:pPr>
        <w:ind w:right="339" w:firstLine="648"/>
        <w:spacing w:after="0" w:line="235" w:lineRule="auto"/>
        <w:rPr>
          <w:sz w:val="20"/>
          <w:szCs w:val="20"/>
          <w:color w:val="auto"/>
        </w:rPr>
      </w:pPr>
      <w:r>
        <w:rPr>
          <w:rFonts w:ascii="Arial" w:cs="Arial" w:eastAsia="Arial" w:hAnsi="Arial"/>
          <w:sz w:val="18"/>
          <w:szCs w:val="18"/>
          <w:color w:val="auto"/>
        </w:rPr>
        <w:t>On March 10, 2017, the last reported sale price for our common stock on the Nasdaq Global Select Market was $12.28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81" w:lineRule="exact"/>
        <w:rPr>
          <w:sz w:val="20"/>
          <w:szCs w:val="20"/>
          <w:color w:val="auto"/>
        </w:rPr>
      </w:pPr>
    </w:p>
    <w:p>
      <w:pPr>
        <w:ind w:right="399" w:firstLine="648"/>
        <w:spacing w:after="0" w:line="239" w:lineRule="auto"/>
        <w:rPr>
          <w:sz w:val="20"/>
          <w:szCs w:val="20"/>
          <w:color w:val="auto"/>
        </w:rPr>
      </w:pPr>
      <w:r>
        <w:rPr>
          <w:rFonts w:ascii="Arial" w:cs="Arial" w:eastAsia="Arial" w:hAnsi="Arial"/>
          <w:sz w:val="16"/>
          <w:szCs w:val="16"/>
          <w:color w:val="auto"/>
        </w:rPr>
        <w:t>The graph set forth below compares the cumulative total stockholder return on our common stock between November 11, 2015 and December 31, 2016, with the cumulative total return of (a) the NASDAQ Composite Index and</w:t>
      </w:r>
    </w:p>
    <w:p>
      <w:pPr>
        <w:spacing w:after="0" w:line="1" w:lineRule="exact"/>
        <w:rPr>
          <w:sz w:val="20"/>
          <w:szCs w:val="20"/>
          <w:color w:val="auto"/>
        </w:rPr>
      </w:pPr>
    </w:p>
    <w:p>
      <w:pPr>
        <w:ind w:right="119" w:firstLine="3"/>
        <w:spacing w:after="0" w:line="242"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NASDAQ Biotechnology Index, over the same period. This graph assumes the investment of $100 on November 11, 2015 in our common stock, the NASDAQ Composite Index, and the NASDAQ Biotechnology Index and assumes the reinvestment of dividends, if any. The graph assumes our closing sales price on November 11, 2015 of $17.75 per share as the initial value of our common stock and not the initial offering price to the public of $14.00 per share.</w:t>
      </w:r>
    </w:p>
    <w:p>
      <w:pPr>
        <w:spacing w:after="0" w:line="120" w:lineRule="exact"/>
        <w:rPr>
          <w:sz w:val="20"/>
          <w:szCs w:val="20"/>
          <w:color w:val="auto"/>
        </w:rPr>
      </w:pPr>
    </w:p>
    <w:p>
      <w:pPr>
        <w:ind w:right="299" w:firstLine="648"/>
        <w:spacing w:after="0" w:line="216"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the NASDAQ Stock Market LLC, a financial data provider and a source believed to be reliable. The NASDAQ Stock Market LLC is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95250</wp:posOffset>
            </wp:positionV>
            <wp:extent cx="5342890" cy="2744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289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81" w:lineRule="exact"/>
        <w:rPr>
          <w:sz w:val="20"/>
          <w:szCs w:val="20"/>
          <w:color w:val="auto"/>
        </w:rPr>
      </w:pPr>
    </w:p>
    <w:p>
      <w:pPr>
        <w:ind w:right="159" w:firstLine="648"/>
        <w:spacing w:after="0" w:line="219" w:lineRule="auto"/>
        <w:rPr>
          <w:sz w:val="20"/>
          <w:szCs w:val="20"/>
          <w:color w:val="auto"/>
        </w:rPr>
      </w:pPr>
      <w:r>
        <w:rPr>
          <w:rFonts w:ascii="Arial" w:cs="Arial" w:eastAsia="Arial" w:hAnsi="Arial"/>
          <w:sz w:val="18"/>
          <w:szCs w:val="18"/>
          <w:color w:val="auto"/>
        </w:rPr>
        <w:t>As of March 10, 2017, there were approximately 34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1"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unregistered sales of securities for the year ended December 31,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shares of common stock made during the year ended December 31, 2016.</w:t>
      </w:r>
    </w:p>
    <w:p>
      <w:pPr>
        <w:spacing w:after="0" w:line="12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The following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123"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i w:val="1"/>
          <w:iCs w:val="1"/>
          <w:color w:val="auto"/>
        </w:rPr>
        <w:t>We have derived the statements of operations data for the years ended December 31, 2016, 2015, and 2014, and the balance sheet data as of December 31, 2016 and 2015, from our audited financial statements included elsewhere in this Annual Report on Form 10-K. We have derived the statements of operations data for the period ended December 31, 2013, and the balance sheet data as of December 31, 2014 and 2013, from our audited consolidated financial statements not included in this Annual Report on Form 10-K. Historical results are not necessarily indicative of the results to be expected in future periods.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June 19, 2013</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8"/>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Borders>
              <w:top w:val="single" w:sz="8" w:color="auto"/>
              <w:bottom w:val="single" w:sz="8" w:color="auto"/>
            </w:tcBorders>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250"/>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gridSpan w:val="11"/>
          </w:tcPr>
          <w:p>
            <w:pPr>
              <w:jc w:val="right"/>
              <w:ind w:right="40"/>
              <w:spacing w:after="0"/>
              <w:rPr>
                <w:sz w:val="20"/>
                <w:szCs w:val="20"/>
                <w:color w:val="auto"/>
              </w:rPr>
            </w:pPr>
            <w:r>
              <w:rPr>
                <w:rFonts w:ascii="Arial" w:cs="Arial" w:eastAsia="Arial" w:hAnsi="Arial"/>
                <w:sz w:val="14"/>
                <w:szCs w:val="14"/>
                <w:color w:val="auto"/>
              </w:rPr>
              <w:t>(in thousands, except for per share 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780" w:type="dxa"/>
            <w:vAlign w:val="bottom"/>
            <w:gridSpan w:val="2"/>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gridSpan w:val="2"/>
          </w:tcPr>
          <w:p>
            <w:pPr>
              <w:spacing w:after="0" w:line="189"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9,909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(41,299)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line="182" w:lineRule="exact"/>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300" w:type="dxa"/>
            <w:vAlign w:val="bottom"/>
            <w:gridSpan w:val="2"/>
            <w:shd w:val="clear" w:color="auto" w:fill="CCEEFF"/>
          </w:tcPr>
          <w:p>
            <w:pPr>
              <w:ind w:left="220"/>
              <w:spacing w:after="0" w:line="161" w:lineRule="exact"/>
              <w:rPr>
                <w:sz w:val="20"/>
                <w:szCs w:val="20"/>
                <w:color w:val="auto"/>
              </w:rPr>
            </w:pPr>
            <w:r>
              <w:rPr>
                <w:rFonts w:ascii="Arial" w:cs="Arial" w:eastAsia="Arial" w:hAnsi="Arial"/>
                <w:sz w:val="18"/>
                <w:szCs w:val="18"/>
                <w:color w:val="auto"/>
              </w:rPr>
              <w:t>Net unrealized gain (loss) on available-for-sale-</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securities, net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(39,994)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(29,923)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CCEEFF"/>
          </w:tcPr>
          <w:p>
            <w:pPr>
              <w:spacing w:after="0" w:line="148" w:lineRule="exact"/>
              <w:rPr>
                <w:sz w:val="20"/>
                <w:szCs w:val="20"/>
                <w:color w:val="auto"/>
              </w:rPr>
            </w:pPr>
            <w:r>
              <w:rPr>
                <w:rFonts w:ascii="Arial" w:cs="Arial" w:eastAsia="Arial" w:hAnsi="Arial"/>
                <w:sz w:val="17"/>
                <w:szCs w:val="17"/>
                <w:color w:val="auto"/>
              </w:rPr>
              <w:t>Reconciliation of net loss to net loss attributable to</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stockholders: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(29,672)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Accretion of preferred stock to redemption value</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Accrued dividends on series A preferred stock</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spacing w:after="0" w:line="135" w:lineRule="exact"/>
              <w:rPr>
                <w:sz w:val="20"/>
                <w:szCs w:val="20"/>
                <w:color w:val="auto"/>
              </w:rPr>
            </w:pPr>
            <w:r>
              <w:rPr>
                <w:rFonts w:ascii="Arial" w:cs="Arial" w:eastAsia="Arial" w:hAnsi="Arial"/>
                <w:sz w:val="15"/>
                <w:szCs w:val="15"/>
                <w:color w:val="auto"/>
              </w:rPr>
              <w:t>Net loss per share attributable to common</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stockholders—basic and diluted</w:t>
            </w:r>
            <w:r>
              <w:rPr>
                <w:rFonts w:ascii="Arial" w:cs="Arial" w:eastAsia="Arial" w:hAnsi="Arial"/>
                <w:sz w:val="8"/>
                <w:szCs w:val="8"/>
                <w:color w:val="auto"/>
              </w:rPr>
              <w:t>(1)</w:t>
            </w:r>
          </w:p>
        </w:tc>
        <w:tc>
          <w:tcPr>
            <w:tcW w:w="780" w:type="dxa"/>
            <w:vAlign w:val="bottom"/>
            <w:gridSpan w:val="2"/>
          </w:tcPr>
          <w:p>
            <w:pPr>
              <w:jc w:val="right"/>
              <w:ind w:right="25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(9.14)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(1,629.68)</w:t>
            </w:r>
          </w:p>
        </w:tc>
        <w:tc>
          <w:tcPr>
            <w:tcW w:w="0" w:type="dxa"/>
            <w:vAlign w:val="bottom"/>
          </w:tcPr>
          <w:p>
            <w:pPr>
              <w:spacing w:after="0"/>
              <w:rPr>
                <w:sz w:val="1"/>
                <w:szCs w:val="1"/>
                <w:color w:val="auto"/>
              </w:rPr>
            </w:pPr>
          </w:p>
        </w:tc>
      </w:tr>
      <w:tr>
        <w:trPr>
          <w:trHeight w:val="148"/>
        </w:trPr>
        <w:tc>
          <w:tcPr>
            <w:tcW w:w="430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7"/>
                <w:szCs w:val="17"/>
                <w:color w:val="auto"/>
              </w:rPr>
              <w:t>Weighted average number of common shares used in</w:t>
            </w:r>
          </w:p>
        </w:tc>
        <w:tc>
          <w:tcPr>
            <w:tcW w:w="3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net loss per share attributable to common</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stockholders—basic and diluted</w:t>
            </w:r>
            <w:r>
              <w:rPr>
                <w:rFonts w:ascii="Arial" w:cs="Arial" w:eastAsia="Arial" w:hAnsi="Arial"/>
                <w:sz w:val="8"/>
                <w:szCs w:val="8"/>
                <w:color w:val="auto"/>
              </w:rPr>
              <w:t>(1)</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25,302,414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4,191,210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635,448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711"/>
              <w:spacing w:after="0"/>
              <w:rPr>
                <w:sz w:val="20"/>
                <w:szCs w:val="20"/>
                <w:color w:val="auto"/>
              </w:rPr>
            </w:pPr>
            <w:r>
              <w:rPr>
                <w:rFonts w:ascii="Arial" w:cs="Arial" w:eastAsia="Arial" w:hAnsi="Arial"/>
                <w:sz w:val="14"/>
                <w:szCs w:val="14"/>
                <w:b w:val="1"/>
                <w:bCs w:val="1"/>
                <w:color w:val="auto"/>
                <w:w w:val="93"/>
              </w:rPr>
              <w:t>As of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253"/>
              <w:spacing w:after="0" w:line="129"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center"/>
              <w:ind w:right="271"/>
              <w:spacing w:after="0" w:line="129"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491"/>
              <w:spacing w:after="0" w:line="129"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5"/>
          </w:tcPr>
          <w:p>
            <w:pPr>
              <w:jc w:val="right"/>
              <w:spacing w:after="0" w:line="182" w:lineRule="exact"/>
              <w:rPr>
                <w:sz w:val="20"/>
                <w:szCs w:val="20"/>
                <w:color w:val="auto"/>
              </w:rPr>
            </w:pPr>
            <w:r>
              <w:rPr>
                <w:rFonts w:ascii="Arial" w:cs="Arial" w:eastAsia="Arial" w:hAnsi="Arial"/>
                <w:sz w:val="18"/>
                <w:szCs w:val="18"/>
                <w:color w:val="auto"/>
                <w:w w:val="91"/>
              </w:rPr>
              <w:t>(in thousands)</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w w:val="92"/>
              </w:rPr>
              <w:t>Cash, cash equivalents, and marketable debt securities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174,418</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224,345</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7,035</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164,984</w:t>
            </w:r>
          </w:p>
        </w:tc>
        <w:tc>
          <w:tcPr>
            <w:tcW w:w="6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171,963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189,566</w:t>
            </w:r>
          </w:p>
        </w:tc>
        <w:tc>
          <w:tcPr>
            <w:tcW w:w="6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229,457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11,497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21,979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Common stock and additional paid-in capital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225,989</w:t>
            </w:r>
          </w:p>
        </w:tc>
        <w:tc>
          <w:tcPr>
            <w:tcW w:w="6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219,147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135,922</w:t>
            </w:r>
          </w:p>
        </w:tc>
        <w:tc>
          <w:tcPr>
            <w:tcW w:w="6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169,074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9"/>
              </w:rPr>
              <w:t>(20,830)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40" w:firstLine="3"/>
        <w:spacing w:after="0" w:line="356" w:lineRule="auto"/>
        <w:tabs>
          <w:tab w:leader="none" w:pos="204"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69" w:lineRule="exact"/>
        <w:rPr>
          <w:rFonts w:ascii="Arial" w:cs="Arial" w:eastAsia="Arial" w:hAnsi="Arial"/>
          <w:sz w:val="13"/>
          <w:szCs w:val="13"/>
          <w:color w:val="auto"/>
        </w:rPr>
      </w:pPr>
    </w:p>
    <w:p>
      <w:pPr>
        <w:ind w:right="20" w:firstLine="3"/>
        <w:spacing w:after="0" w:line="236"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for further details regarding our current assets and current liabilities.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ind w:left="1520" w:right="60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diseases of the central nervous system, or CNS. We focus on CNS diseases where we believe an adeno-associated virus, or AAV, gene therapy approach that either increases or decreases the production of a specific protein can slow or reduce the symptoms experienced by patients, and therefore have a clinically meaningful impact. We have built a product engine, that we believe positions us to be the leading company at the intersection of AAV gene therapy and severe CNS disease. Our product engine enables us to engineer, optimize, manufacture and deliver our AAV-based gene therapies that have the potential to provide durable activity following a single administration directly to the CNS. Our team of experts in the fields of AAV gene therapy and neuroscience first identifies and selects severe CNS diseases that are well-suited for treatment using AAV gene therapy. We then engineer and optimize AAV vectors for delivery to the targeted tissue or cells. Our manufacturing process employs an established system to enable production of high quality AAV vectors at commercial-scale. Finally, we leverage established routes of administration and advances in dosing techniques to optimize delivery of our AAV gene therapies directly to discrete regions of the brain or more broadly to the spinal cord region. In November 2016, we elected to deprioritize the development of VY-SMN101 for spinal muscular atrophy due to, among other things, the significant progress we have made in our other preclinical programs and the evolving competitive landscape.</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Since our inception on June 19, 2013, our operations have focused on organizing and staffing our company, business planning, raising capital, establishing our intellectual property portfolio, determining which CNS indications to pursue and conducting preclinical studies and clinical trials. We do not have any product candidates approved for sale and have not generated any revenue from product sales. We have funded our operations primarily through private placements of redeemable convertible preferred stock and common stock and our collaboration with Sanofi-Genzyme, or the Sanofi-Genzyme Collaboration, which commenced in February 2015.</w:t>
      </w:r>
    </w:p>
    <w:p>
      <w:pPr>
        <w:spacing w:after="0" w:line="125" w:lineRule="exact"/>
        <w:rPr>
          <w:sz w:val="20"/>
          <w:szCs w:val="20"/>
          <w:color w:val="auto"/>
        </w:rPr>
      </w:pPr>
    </w:p>
    <w:p>
      <w:pPr>
        <w:ind w:right="300" w:firstLine="648"/>
        <w:spacing w:after="0" w:line="216" w:lineRule="auto"/>
        <w:rPr>
          <w:sz w:val="20"/>
          <w:szCs w:val="20"/>
          <w:color w:val="auto"/>
        </w:rPr>
      </w:pPr>
      <w:r>
        <w:rPr>
          <w:rFonts w:ascii="Arial" w:cs="Arial" w:eastAsia="Arial" w:hAnsi="Arial"/>
          <w:sz w:val="18"/>
          <w:szCs w:val="18"/>
          <w:color w:val="auto"/>
        </w:rPr>
        <w:t>On October 29, 2015, in preparation for the IPO, our Board of Directors and stockholders approved a 1-for-4.25 reverse split of our common stock, which became effective on October 29, 2015. All share and per share amounts in our consolidated financial statements and notes have been retroactively adjusted for all periods presented to give effect to this reverse split, including reclassifying an amount equal to the reduction in par value of common stock to additional paid-in capital.</w:t>
      </w:r>
    </w:p>
    <w:p>
      <w:pPr>
        <w:spacing w:after="0" w:line="122"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On November 16, 2015 we completed the sale of 5,750,000 shares of common stock in our initial public offering, or IPO, at a price to the public of $14.00 per share, resulting in net proceeds of $72.9 million after deducting underwriting discounts and commissions and offering expenses payable by us.</w:t>
      </w:r>
    </w:p>
    <w:p>
      <w:pPr>
        <w:spacing w:after="0" w:line="123"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Upon the closing of the IPO, all of the outstanding redeemable convertible preferred stock automatically converted into shares of common stock as of November 16, 2015, resulting in our issuance of an additional 17,647,054 shares of common stock.</w:t>
      </w:r>
    </w:p>
    <w:p>
      <w:pPr>
        <w:spacing w:after="0" w:line="163"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Since inception, we have incurred significant operating losses. Our net losses were $40.2 million, $29.7 million, and $16.3 million for the years ended December 31, 2016, 2015, and 2014, respectively. As of December 31, 2016, we had an accumulated deficit of $90.0 million. We expect to continue to incur significant expenses and operating losses for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foreseeable future. We anticipate that our expenses will increase significantly in connection with our ongoing activities, as we:</w:t>
      </w:r>
    </w:p>
    <w:p>
      <w:pPr>
        <w:spacing w:after="0" w:line="162" w:lineRule="exact"/>
        <w:rPr>
          <w:sz w:val="20"/>
          <w:szCs w:val="20"/>
          <w:color w:val="auto"/>
        </w:rPr>
      </w:pPr>
    </w:p>
    <w:p>
      <w:pPr>
        <w:ind w:left="740" w:right="240" w:hanging="89"/>
        <w:spacing w:after="0" w:line="246"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investing in our product engine to optimize vector engineering, manufacturing and dosing and delivery techniques;</w:t>
      </w:r>
    </w:p>
    <w:p>
      <w:pPr>
        <w:spacing w:after="0" w:line="169" w:lineRule="exact"/>
        <w:rPr>
          <w:rFonts w:ascii="Arial" w:cs="Arial" w:eastAsia="Arial" w:hAnsi="Arial"/>
          <w:sz w:val="18"/>
          <w:szCs w:val="18"/>
          <w:color w:val="auto"/>
        </w:rPr>
      </w:pPr>
    </w:p>
    <w:p>
      <w:pPr>
        <w:ind w:left="780" w:hanging="129"/>
        <w:spacing w:after="0" w:line="207" w:lineRule="exact"/>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development of our clinical candidate, VY</w:t>
      </w:r>
      <w:r>
        <w:rPr>
          <w:rFonts w:ascii="MS PGothic" w:cs="MS PGothic" w:eastAsia="MS PGothic" w:hAnsi="MS PGothic"/>
          <w:sz w:val="18"/>
          <w:szCs w:val="18"/>
          <w:color w:val="auto"/>
        </w:rPr>
        <w:t>‑</w:t>
      </w:r>
      <w:r>
        <w:rPr>
          <w:rFonts w:ascii="Arial" w:cs="Arial" w:eastAsia="Arial" w:hAnsi="Arial"/>
          <w:sz w:val="18"/>
          <w:szCs w:val="18"/>
          <w:color w:val="auto"/>
        </w:rPr>
        <w:t>AADC01;</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our other programs;</w:t>
      </w:r>
    </w:p>
    <w:p>
      <w:pPr>
        <w:spacing w:after="0" w:line="198" w:lineRule="exact"/>
        <w:rPr>
          <w:rFonts w:ascii="Arial" w:cs="Arial" w:eastAsia="Arial" w:hAnsi="Arial"/>
          <w:sz w:val="18"/>
          <w:szCs w:val="18"/>
          <w:color w:val="auto"/>
        </w:rPr>
      </w:pPr>
    </w:p>
    <w:p>
      <w:pPr>
        <w:ind w:left="740" w:right="140" w:hanging="89"/>
        <w:spacing w:after="0" w:line="210" w:lineRule="exact"/>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Arial" w:cs="Arial" w:eastAsia="Arial" w:hAnsi="Arial"/>
          <w:sz w:val="18"/>
          <w:szCs w:val="18"/>
          <w:color w:val="auto"/>
        </w:rPr>
        <w:t>grade and commercial manufacturing capabilities;</w:t>
      </w:r>
    </w:p>
    <w:p>
      <w:pPr>
        <w:spacing w:after="0" w:line="175" w:lineRule="exact"/>
        <w:rPr>
          <w:rFonts w:ascii="Arial" w:cs="Arial" w:eastAsia="Arial" w:hAnsi="Arial"/>
          <w:sz w:val="18"/>
          <w:szCs w:val="18"/>
          <w:color w:val="auto"/>
        </w:rPr>
      </w:pPr>
    </w:p>
    <w:p>
      <w:pPr>
        <w:ind w:left="760" w:hanging="109"/>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 additional CNS diseases for treatment with our AAV gene therapies;</w:t>
      </w:r>
    </w:p>
    <w:p>
      <w:pPr>
        <w:spacing w:after="0" w:line="198" w:lineRule="exact"/>
        <w:rPr>
          <w:rFonts w:ascii="Arial" w:cs="Arial" w:eastAsia="Arial" w:hAnsi="Arial"/>
          <w:sz w:val="18"/>
          <w:szCs w:val="18"/>
          <w:color w:val="auto"/>
        </w:rPr>
      </w:pPr>
    </w:p>
    <w:p>
      <w:pPr>
        <w:ind w:left="740" w:right="740" w:hanging="89"/>
        <w:spacing w:after="0" w:line="210" w:lineRule="exact"/>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marketing approvals for VY</w:t>
      </w:r>
      <w:r>
        <w:rPr>
          <w:rFonts w:ascii="MS PGothic" w:cs="MS PGothic" w:eastAsia="MS PGothic" w:hAnsi="MS PGothic"/>
          <w:sz w:val="18"/>
          <w:szCs w:val="18"/>
          <w:color w:val="auto"/>
        </w:rPr>
        <w:t>‑</w:t>
      </w:r>
      <w:r>
        <w:rPr>
          <w:rFonts w:ascii="Arial" w:cs="Arial" w:eastAsia="Arial" w:hAnsi="Arial"/>
          <w:sz w:val="18"/>
          <w:szCs w:val="18"/>
          <w:color w:val="auto"/>
        </w:rPr>
        <w:t>AADC01 or other product candidates that arise from our programs that successfully complete clinical trials;</w:t>
      </w:r>
    </w:p>
    <w:p>
      <w:pPr>
        <w:spacing w:after="0" w:line="175" w:lineRule="exact"/>
        <w:rPr>
          <w:rFonts w:ascii="Arial" w:cs="Arial" w:eastAsia="Arial" w:hAnsi="Arial"/>
          <w:sz w:val="18"/>
          <w:szCs w:val="18"/>
          <w:color w:val="auto"/>
        </w:rPr>
      </w:pPr>
    </w:p>
    <w:p>
      <w:pPr>
        <w:ind w:left="740" w:right="220" w:hanging="89"/>
        <w:spacing w:after="0" w:line="246"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69" w:lineRule="exact"/>
        <w:rPr>
          <w:rFonts w:ascii="Arial" w:cs="Arial" w:eastAsia="Arial" w:hAnsi="Arial"/>
          <w:sz w:val="18"/>
          <w:szCs w:val="18"/>
          <w:color w:val="auto"/>
        </w:rPr>
      </w:pPr>
    </w:p>
    <w:p>
      <w:pPr>
        <w:ind w:left="760" w:hanging="109"/>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60" w:hanging="109"/>
        <w:spacing w:after="0" w:line="207" w:lineRule="exact"/>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product sales for the foreseeable future. For the year ended December 31, 2016, we recognized $14.2 million of collaboration revenue from the Sanofi-Genzyme Collaboration. For additional information about our revenue recognition policy related to the Sanofi-Genzyme Collaboration, see the section titled “—Critical Accounting Policies and Estimates—Revenue.”</w:t>
      </w:r>
    </w:p>
    <w:p>
      <w:pPr>
        <w:spacing w:after="0" w:line="15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For the foreseeable future, we expect substantially all of our revenue will be generated from the Sanofi-Genzyme Collaboration, and any other strategic relationships we may enter into. If our development efforts are successful, we may also generate revenue from product sales.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2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program discovery efforts, and the development of our programs and product engine, which include:</w:t>
      </w:r>
    </w:p>
    <w:p>
      <w:pPr>
        <w:spacing w:after="0" w:line="147" w:lineRule="exact"/>
        <w:rPr>
          <w:sz w:val="20"/>
          <w:szCs w:val="20"/>
          <w:color w:val="auto"/>
        </w:rPr>
      </w:pPr>
    </w:p>
    <w:p>
      <w:pPr>
        <w:ind w:left="740" w:hanging="89"/>
        <w:spacing w:after="0" w:line="207" w:lineRule="exact"/>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98" w:lineRule="exact"/>
        <w:rPr>
          <w:rFonts w:ascii="Arial" w:cs="Arial" w:eastAsia="Arial" w:hAnsi="Arial"/>
          <w:sz w:val="18"/>
          <w:szCs w:val="18"/>
          <w:color w:val="auto"/>
        </w:rPr>
      </w:pPr>
    </w:p>
    <w:p>
      <w:pPr>
        <w:ind w:left="740" w:right="140" w:hanging="89"/>
        <w:spacing w:after="0" w:line="246"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280" w:hanging="89"/>
        <w:spacing w:after="0" w:line="210" w:lineRule="exact"/>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w:t>
      </w:r>
    </w:p>
    <w:p>
      <w:pPr>
        <w:spacing w:after="0" w:line="175" w:lineRule="exact"/>
        <w:rPr>
          <w:rFonts w:ascii="Arial" w:cs="Arial" w:eastAsia="Arial" w:hAnsi="Arial"/>
          <w:sz w:val="18"/>
          <w:szCs w:val="18"/>
          <w:color w:val="auto"/>
        </w:rPr>
      </w:pPr>
    </w:p>
    <w:p>
      <w:pPr>
        <w:ind w:left="1060" w:hanging="409"/>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98" w:lineRule="exact"/>
        <w:rPr>
          <w:rFonts w:ascii="Arial" w:cs="Arial" w:eastAsia="Arial" w:hAnsi="Arial"/>
          <w:sz w:val="18"/>
          <w:szCs w:val="18"/>
          <w:color w:val="auto"/>
        </w:rPr>
      </w:pPr>
    </w:p>
    <w:p>
      <w:pPr>
        <w:ind w:left="760" w:hanging="109"/>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98" w:lineRule="exact"/>
        <w:rPr>
          <w:rFonts w:ascii="Arial" w:cs="Arial" w:eastAsia="Arial" w:hAnsi="Arial"/>
          <w:sz w:val="18"/>
          <w:szCs w:val="18"/>
          <w:color w:val="auto"/>
        </w:rPr>
      </w:pPr>
    </w:p>
    <w:p>
      <w:pPr>
        <w:ind w:left="760" w:hanging="109"/>
        <w:spacing w:after="0" w:line="207" w:lineRule="exact"/>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fees for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w:t>
      </w:r>
    </w:p>
    <w:p>
      <w:pPr>
        <w:spacing w:after="0" w:line="198"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61"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63" w:lineRule="exact"/>
        <w:rPr>
          <w:sz w:val="20"/>
          <w:szCs w:val="20"/>
          <w:color w:val="auto"/>
        </w:rPr>
      </w:pPr>
    </w:p>
    <w:p>
      <w:pPr>
        <w:ind w:left="780" w:hanging="12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98" w:lineRule="exact"/>
        <w:rPr>
          <w:rFonts w:ascii="Arial" w:cs="Arial" w:eastAsia="Arial" w:hAnsi="Arial"/>
          <w:sz w:val="18"/>
          <w:szCs w:val="18"/>
          <w:color w:val="auto"/>
        </w:rPr>
      </w:pPr>
    </w:p>
    <w:p>
      <w:pPr>
        <w:ind w:left="820" w:hanging="169"/>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98" w:lineRule="exact"/>
        <w:rPr>
          <w:rFonts w:ascii="Arial" w:cs="Arial" w:eastAsia="Arial" w:hAnsi="Arial"/>
          <w:sz w:val="18"/>
          <w:szCs w:val="18"/>
          <w:color w:val="auto"/>
        </w:rPr>
      </w:pPr>
    </w:p>
    <w:p>
      <w:pPr>
        <w:ind w:left="740" w:hanging="89"/>
        <w:spacing w:after="0" w:line="196" w:lineRule="exact"/>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209" w:lineRule="exact"/>
        <w:rPr>
          <w:rFonts w:ascii="Arial" w:cs="Arial" w:eastAsia="Arial" w:hAnsi="Arial"/>
          <w:sz w:val="17"/>
          <w:szCs w:val="17"/>
          <w:color w:val="auto"/>
        </w:rPr>
      </w:pPr>
    </w:p>
    <w:p>
      <w:pPr>
        <w:ind w:left="760" w:hanging="109"/>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commercializing the product candidates, if and when approved, whether alone or in collaboration with others;</w:t>
      </w:r>
    </w:p>
    <w:p>
      <w:pPr>
        <w:spacing w:after="0" w:line="169" w:lineRule="exact"/>
        <w:rPr>
          <w:rFonts w:ascii="Arial" w:cs="Arial" w:eastAsia="Arial" w:hAnsi="Arial"/>
          <w:sz w:val="17"/>
          <w:szCs w:val="17"/>
          <w:color w:val="auto"/>
        </w:rPr>
      </w:pPr>
    </w:p>
    <w:p>
      <w:pPr>
        <w:ind w:left="740" w:hanging="89"/>
        <w:spacing w:after="0"/>
        <w:tabs>
          <w:tab w:leader="none" w:pos="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and regulatory exclusivity for our product candidates;</w:t>
      </w:r>
    </w:p>
    <w:p>
      <w:pPr>
        <w:spacing w:after="0" w:line="180" w:lineRule="exact"/>
        <w:rPr>
          <w:rFonts w:ascii="Arial" w:cs="Arial" w:eastAsia="Arial" w:hAnsi="Arial"/>
          <w:sz w:val="16"/>
          <w:szCs w:val="16"/>
          <w:color w:val="auto"/>
        </w:rPr>
      </w:pPr>
    </w:p>
    <w:p>
      <w:pPr>
        <w:ind w:left="760" w:hanging="109"/>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57" w:lineRule="exact"/>
        <w:rPr>
          <w:rFonts w:ascii="Arial" w:cs="Arial" w:eastAsia="Arial" w:hAnsi="Arial"/>
          <w:sz w:val="18"/>
          <w:szCs w:val="18"/>
          <w:color w:val="auto"/>
        </w:rPr>
      </w:pPr>
    </w:p>
    <w:p>
      <w:pPr>
        <w:ind w:left="780" w:hanging="12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15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24"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Research and development activities are central to our business model. We expect research and development costs to increase significantly for the foreseeable future as our development programs progress, including as we continue to support the Phase 1b clinical trial of VY</w:t>
      </w:r>
      <w:r>
        <w:rPr>
          <w:rFonts w:ascii="MS PGothic" w:cs="MS PGothic" w:eastAsia="MS PGothic" w:hAnsi="MS PGothic"/>
          <w:sz w:val="17"/>
          <w:szCs w:val="17"/>
          <w:color w:val="auto"/>
        </w:rPr>
        <w:t>‑</w:t>
      </w:r>
      <w:r>
        <w:rPr>
          <w:rFonts w:ascii="Arial" w:cs="Arial" w:eastAsia="Arial" w:hAnsi="Arial"/>
          <w:sz w:val="17"/>
          <w:szCs w:val="17"/>
          <w:color w:val="auto"/>
        </w:rPr>
        <w:t>AADC01 as a treatment for advanced Parkinson’s disease, and move such product candidates into additional clinical trials.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4" w:lineRule="exact"/>
        <w:rPr>
          <w:sz w:val="20"/>
          <w:szCs w:val="20"/>
          <w:color w:val="auto"/>
        </w:rPr>
      </w:pPr>
    </w:p>
    <w:p>
      <w:pPr>
        <w:ind w:right="80" w:firstLine="648"/>
        <w:spacing w:after="0" w:line="185" w:lineRule="exact"/>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including the continuation of the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AADC01 and the initiation of our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Arial" w:cs="Arial" w:eastAsia="Arial" w:hAnsi="Arial"/>
          <w:sz w:val="18"/>
          <w:szCs w:val="18"/>
          <w:color w:val="auto"/>
        </w:rPr>
        <w:t>related services, director and officer insurance premiums and investor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600" w:firstLine="648"/>
        <w:spacing w:after="0" w:line="235" w:lineRule="auto"/>
        <w:rPr>
          <w:sz w:val="20"/>
          <w:szCs w:val="20"/>
          <w:color w:val="auto"/>
        </w:rPr>
      </w:pPr>
      <w:r>
        <w:rPr>
          <w:rFonts w:ascii="Arial" w:cs="Arial" w:eastAsia="Arial" w:hAnsi="Arial"/>
          <w:sz w:val="18"/>
          <w:szCs w:val="18"/>
          <w:color w:val="auto"/>
        </w:rPr>
        <w:t>Other income consists primarily of a gain on the equity securities investment in MRI Interventions and also includes income from grants.</w:t>
      </w:r>
    </w:p>
    <w:p>
      <w:pPr>
        <w:spacing w:after="0" w:line="162"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6"/>
          <w:szCs w:val="16"/>
          <w:color w:val="auto"/>
        </w:rPr>
        <w:t>Other expense during 2015 consists primarily of the re</w:t>
      </w:r>
      <w:r>
        <w:rPr>
          <w:rFonts w:ascii="MS PGothic" w:cs="MS PGothic" w:eastAsia="MS PGothic" w:hAnsi="MS PGothic"/>
          <w:sz w:val="16"/>
          <w:szCs w:val="16"/>
          <w:color w:val="auto"/>
        </w:rPr>
        <w:t>‑</w:t>
      </w:r>
      <w:r>
        <w:rPr>
          <w:rFonts w:ascii="Arial" w:cs="Arial" w:eastAsia="Arial" w:hAnsi="Arial"/>
          <w:sz w:val="16"/>
          <w:szCs w:val="16"/>
          <w:color w:val="auto"/>
        </w:rPr>
        <w:t>measurement losses associated with the change in the fair value of the Series A Preferred Stock tranche rights for the Series A Preferred Stock. $9.8 million of expense was recorded during the year ended December 31, 2015 related to the change in fair value of these rights. In February 2015, upon the issuance of the final tranche of Series A Preferred Stock, the tranche right liability was reclassified to Series A Preferred Stock and no further re</w:t>
      </w:r>
      <w:r>
        <w:rPr>
          <w:rFonts w:ascii="MS PGothic" w:cs="MS PGothic" w:eastAsia="MS PGothic" w:hAnsi="MS PGothic"/>
          <w:sz w:val="16"/>
          <w:szCs w:val="16"/>
          <w:color w:val="auto"/>
        </w:rPr>
        <w:t>‑</w:t>
      </w:r>
      <w:r>
        <w:rPr>
          <w:rFonts w:ascii="Arial" w:cs="Arial" w:eastAsia="Arial" w:hAnsi="Arial"/>
          <w:sz w:val="16"/>
          <w:szCs w:val="16"/>
          <w:color w:val="auto"/>
        </w:rPr>
        <w:t>measurement gains or losses will be recognized related to these tranche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12" w:lineRule="exact"/>
        <w:rPr>
          <w:sz w:val="20"/>
          <w:szCs w:val="20"/>
          <w:color w:val="auto"/>
        </w:rPr>
      </w:pPr>
    </w:p>
    <w:p>
      <w:pPr>
        <w:ind w:right="560" w:firstLine="648"/>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63"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 xml:space="preserve">As of December 31, 2016, all of our revenue was generated exclusively from the Sanofi-Genzyme Collaboration. We recognize revenue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or ASC 605. Accordingly, revenue is recognized for each unit of accounting when all of the following criteria are met:</w:t>
      </w:r>
    </w:p>
    <w:p>
      <w:pPr>
        <w:spacing w:after="0" w:line="41" w:lineRule="exact"/>
        <w:rPr>
          <w:sz w:val="20"/>
          <w:szCs w:val="20"/>
          <w:color w:val="auto"/>
        </w:rPr>
      </w:pPr>
    </w:p>
    <w:p>
      <w:pPr>
        <w:ind w:left="800" w:hanging="149"/>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color w:val="auto"/>
        </w:rPr>
      </w:pPr>
    </w:p>
    <w:p>
      <w:pPr>
        <w:ind w:left="780" w:hanging="12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80" w:hanging="12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98" w:lineRule="exact"/>
        <w:rPr>
          <w:rFonts w:ascii="Arial" w:cs="Arial" w:eastAsia="Arial" w:hAnsi="Arial"/>
          <w:sz w:val="18"/>
          <w:szCs w:val="18"/>
          <w:color w:val="auto"/>
        </w:rPr>
      </w:pPr>
    </w:p>
    <w:p>
      <w:pPr>
        <w:ind w:left="840" w:hanging="189"/>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recorded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Elements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Accounting Units</w:t>
      </w:r>
    </w:p>
    <w:p>
      <w:pPr>
        <w:spacing w:after="0" w:line="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 xml:space="preserve">We analyze multiple element arrangements based on the guidance in FASB ASC Topic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Recognition—Multiple Element Arrangements, </w:t>
      </w:r>
      <w:r>
        <w:rPr>
          <w:rFonts w:ascii="Arial" w:cs="Arial" w:eastAsia="Arial" w:hAnsi="Arial"/>
          <w:sz w:val="17"/>
          <w:szCs w:val="17"/>
          <w:color w:val="auto"/>
        </w:rPr>
        <w:t>or ASC 605-25. Pursuant to the guidance in ASC 605-25, we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our control. In assessing whether an item has standalone value, we consider factors such as the research, manufacturing and commercialization capabilities of the collaboration partner and the availability of the associated expertise in the general marketplace. We also consider whether our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Sanofi-Genzyme Collaboration does not provide for a general right of return relative to any delivered items.</w:t>
      </w:r>
    </w:p>
    <w:p>
      <w:pPr>
        <w:spacing w:after="0" w:line="27"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Options are considered substantive if, at the inception of the arrangement, we are at risk as to whether the collaboration partner will choose to exercise the option. Factors that we consider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we do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we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Arrangement Consideration</w:t>
      </w:r>
    </w:p>
    <w:p>
      <w:pPr>
        <w:spacing w:after="0" w:line="63"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 applicable revenue recognition criteria in ASC 605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 specific objective evidence, or VSOE, of selling price, if available, third party evidence, or TPE, of selling price if VSOE is not available, or best estimate of selling price, or BESP, if neither VSOE or TPE is available. We have only used BESP to estimate the selling price, since we have not had VSOE or TPE of selling price for any units of accounting to date. Determining BESP for a unit of accounting requires significant judgment. In developing the BESP for a unit of accounting, we consider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applicable market conditions and relevant entity specific factors, including factors that were contemplated in negotiating the agreement with the customer and estimated costs. We validate BESP for units of accounting by evaluating whether changes in the key assumptions used by us to determine the BESP will have a significant effect on the allocation of arrangement consideration between multiple units of accounting.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Pattern of Recognition</w:t>
      </w:r>
    </w:p>
    <w:p>
      <w:pPr>
        <w:spacing w:after="0" w:line="50"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recognize the arrangement's consideration allocated to each unit of accounting when all of the revenue recognition criteria in ASC 605 are satisfied for that particular unit of accounting. We will recognize revenue associated with license options upon exercise of the option, if the underlying license has standalone value from the other deliverables to be provided after delivering that license. If the license does not have standalone value, the amounts allocated to the license option will be combined with the related undelivered items as a single unit of accounting. The amounts allocated to the license option in the Sanofi-Genzyme Collaboration will be deferred until the option is exercised. The revenue recognition upon option exercise will be determined based on whether the license has standalone value from the remaining deliverables under the arrangement at the time of exercise.</w:t>
      </w:r>
    </w:p>
    <w:p>
      <w:pPr>
        <w:spacing w:after="0" w:line="46"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recognize the amounts associated with research and development services, alliance joint steering committees and development advisory committees ratably over the associated period of performance. If there is no discernible pattern of performance or objectively measurable performance measures do not exist, then we recognize revenue under the arrangement on a straight-line basis over the period that we are expected to complete our performance obligations. Conversely, if the pattern of performance in which the service is provided to the customer can be determined and objectively measureable performance exists, then we recognize revenue under the arrangement using the proportional performance method. Revenue recognized is limited to the lesser of the cumulative amount of payments received or the cumulative revenue earned determined using the straight line method or proportional performance, as applicable, as of the period end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Milestones and Royalties</w:t>
      </w:r>
    </w:p>
    <w:p>
      <w:pPr>
        <w:spacing w:after="0" w:line="50" w:lineRule="exact"/>
        <w:rPr>
          <w:sz w:val="20"/>
          <w:szCs w:val="20"/>
          <w:color w:val="auto"/>
        </w:rPr>
      </w:pPr>
    </w:p>
    <w:p>
      <w:pPr>
        <w:ind w:right="20" w:firstLine="648"/>
        <w:spacing w:after="0" w:line="231" w:lineRule="auto"/>
        <w:rPr>
          <w:sz w:val="20"/>
          <w:szCs w:val="20"/>
          <w:color w:val="auto"/>
        </w:rPr>
      </w:pPr>
      <w:r>
        <w:rPr>
          <w:rFonts w:ascii="Arial" w:cs="Arial" w:eastAsia="Arial" w:hAnsi="Arial"/>
          <w:sz w:val="16"/>
          <w:szCs w:val="16"/>
          <w:color w:val="auto"/>
        </w:rPr>
        <w:t>At the inception of an arrangement that includes milestone payments, 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In accordance with</w:t>
      </w:r>
    </w:p>
    <w:p>
      <w:pPr>
        <w:spacing w:after="0" w:line="2"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FASB ASC Topic 605-28</w:t>
      </w:r>
      <w:r>
        <w:rPr>
          <w:rFonts w:ascii="Arial" w:cs="Arial" w:eastAsia="Arial" w:hAnsi="Arial"/>
          <w:sz w:val="17"/>
          <w:szCs w:val="17"/>
          <w:i w:val="1"/>
          <w:iCs w:val="1"/>
          <w:color w:val="auto"/>
        </w:rPr>
        <w:t>, Revenue Recognition—Milestone Method</w:t>
      </w:r>
      <w:r>
        <w:rPr>
          <w:rFonts w:ascii="Arial" w:cs="Arial" w:eastAsia="Arial" w:hAnsi="Arial"/>
          <w:sz w:val="17"/>
          <w:szCs w:val="17"/>
          <w:color w:val="auto"/>
        </w:rPr>
        <w:t>, or ASC 605-28, clinical and regulatory milestones that are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4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we have no remaining performance obligations, and assuming all other revenue recognition criteria are met.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Classifications of Payments to Customers</w:t>
      </w:r>
    </w:p>
    <w:p>
      <w:pPr>
        <w:spacing w:after="0" w:line="5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We also consider the impact of potential future payments we make in our role as a vendor to our customers or collaboration partners and evaluate if these potential future payments could be reductions of revenue from that customer. If the potential future payments to the customer are (i) a separately identifiable benefit and (ii) the fair value of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50"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46"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98"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Measurements—Tranche Rights</w:t>
      </w:r>
    </w:p>
    <w:p>
      <w:pPr>
        <w:spacing w:after="0" w:line="6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The January 2014 Series A Preferred Stock Purchase Agreement provides the investors the right, and upon achievement of certain milestones, obligates the investors to participate in subsequent offerings of Series A Preferred Stock, or Series A Tranche Rights. The Series A Tranche Rights meet the definition of a freestanding financial instrument, as the Series A Tranche Rights are legally detachable and separately exercisable from the Series A Preferred Stock. Since the Series A Preferred Stock is redeemable at the holder's option, the Series A Tranche Rights are classified as an asset or liability and are initially recorded at fair value and marked to market at each subsequent reporting period, through the settlement of the Series A Tranche Rights.</w:t>
      </w:r>
    </w:p>
    <w:p>
      <w:pPr>
        <w:spacing w:after="0" w:line="4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 xml:space="preserve">We determine fair value utilizing the concept of "Fair Value" from FASB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that states that any fair value measurement requires that the reporting entity to determine the valuation technique(s) appropriate for the measurement, considering the availability of data with which to develop inputs that represent the assumptions that market participants would use in pricing the asset or liability and the level in the fair value hierarchy within which the inputs are categorized.</w:t>
      </w:r>
    </w:p>
    <w:p>
      <w:pPr>
        <w:spacing w:after="0" w:line="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The estimated fair value of the Series A Tranche Rights was determined using a probability-weighted present value model that considers the probability of closing a tranche, the estimated future value of Series A Preferred Stock at each closing, and the amount of the investment required at each closing. Future values are converted to present value using 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discount rate appropriate for probability-adjusted cash flows. Upon the settlement of each tranche, the fair value of the Series A Tranche Rights associated with that tranche was reclassified to Series A Preferred Stock at its then fair value and is no longer re-measured.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50"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 xml:space="preserve">We account for our stock-based compensation awards in accordance with ASC Topic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or ASC 718. ASC 718 requires all stock-based payments to employees and directors, including grants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and stock options, to be recognized as expense in the statements of operations based on their grant date fair values. Grants of restricted stock and stock options to other service providers, referred to as non-employees, are required to be recognized as expense in the statements of operations based on their vesting date fair values. We estimate the fair value of options granted using the Black-Scholes option pricing model. We use the value of our common stock to determine the fair value of restricted stock awards.</w:t>
      </w:r>
    </w:p>
    <w:p>
      <w:pPr>
        <w:spacing w:after="0" w:line="4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(a) the expected stock price volatility, (b) the calculation of expected term of the award, (c) the risk-free interest rate and</w:t>
      </w:r>
    </w:p>
    <w:p>
      <w:pPr>
        <w:ind w:firstLine="3"/>
        <w:spacing w:after="0" w:line="234" w:lineRule="auto"/>
        <w:tabs>
          <w:tab w:leader="none" w:pos="2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expected dividends. Due to the lack of a public market for the trading of our common stock prior to the completion of our IPO and a lack of company-specific historical and implied volatility data, we have based the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for options granted to employees and directors as we do not have sufficient historical exercise data to provide a reasonable basis upon which to estimate the expected term. For options granted to non-employees, we utilize the contractual term of the arrangement as the basis for the expected term assumption. The risk-free interest rate is based on a treasury instrument whose term is consistent with the expected term of the stock options. The expected dividend yield is assumed to be zero as we have never paid dividends and do not have current plans to pay any dividends on common stock.</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8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60" w:type="dxa"/>
            <w:vAlign w:val="bottom"/>
            <w:shd w:val="clear" w:color="auto" w:fill="CCEEFF"/>
          </w:tcPr>
          <w:p>
            <w:pPr>
              <w:spacing w:after="0"/>
              <w:rPr>
                <w:sz w:val="18"/>
                <w:szCs w:val="18"/>
                <w:color w:val="auto"/>
              </w:rPr>
            </w:pPr>
          </w:p>
        </w:tc>
      </w:tr>
      <w:tr>
        <w:trPr>
          <w:trHeight w:val="176"/>
        </w:trPr>
        <w:tc>
          <w:tcPr>
            <w:tcW w:w="4820" w:type="dxa"/>
            <w:vAlign w:val="bottom"/>
            <w:gridSpan w:val="2"/>
          </w:tcPr>
          <w:p>
            <w:pPr>
              <w:spacing w:after="0" w:line="176" w:lineRule="exact"/>
              <w:rPr>
                <w:sz w:val="20"/>
                <w:szCs w:val="20"/>
                <w:color w:val="auto"/>
              </w:rPr>
            </w:pPr>
            <w:r>
              <w:rPr>
                <w:rFonts w:ascii="Arial" w:cs="Arial" w:eastAsia="Arial" w:hAnsi="Arial"/>
                <w:sz w:val="18"/>
                <w:szCs w:val="18"/>
                <w:color w:val="auto"/>
              </w:rPr>
              <w:t>Expected dividend yield</w:t>
            </w:r>
          </w:p>
        </w:tc>
        <w:tc>
          <w:tcPr>
            <w:tcW w:w="1720" w:type="dxa"/>
            <w:vAlign w:val="bottom"/>
            <w:gridSpan w:val="3"/>
          </w:tcPr>
          <w:p>
            <w:pPr>
              <w:jc w:val="right"/>
              <w:ind w:right="1068"/>
              <w:spacing w:after="0" w:line="176" w:lineRule="exact"/>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 %</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73.1 %</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6"/>
              </w:rPr>
              <w:t>78.6 %</w:t>
            </w:r>
          </w:p>
        </w:tc>
        <w:tc>
          <w:tcPr>
            <w:tcW w:w="60" w:type="dxa"/>
            <w:vAlign w:val="bottom"/>
          </w:tcPr>
          <w:p>
            <w:pPr>
              <w:spacing w:after="0"/>
              <w:rPr>
                <w:sz w:val="21"/>
                <w:szCs w:val="21"/>
                <w:color w:val="auto"/>
              </w:rPr>
            </w:pPr>
          </w:p>
        </w:tc>
      </w:tr>
    </w:tbl>
    <w:p>
      <w:pPr>
        <w:spacing w:after="0" w:line="40"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As of December 31,</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9"/>
        </w:trPr>
        <w:tc>
          <w:tcPr>
            <w:tcW w:w="35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1820" w:type="dxa"/>
            <w:vAlign w:val="bottom"/>
          </w:tcPr>
          <w:p>
            <w:pPr>
              <w:spacing w:after="0"/>
              <w:rPr>
                <w:sz w:val="14"/>
                <w:szCs w:val="14"/>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176"/>
        </w:trPr>
        <w:tc>
          <w:tcPr>
            <w:tcW w:w="4700" w:type="dxa"/>
            <w:vAlign w:val="bottom"/>
            <w:gridSpan w:val="2"/>
          </w:tcPr>
          <w:p>
            <w:pPr>
              <w:spacing w:after="0" w:line="176" w:lineRule="exact"/>
              <w:rPr>
                <w:sz w:val="20"/>
                <w:szCs w:val="20"/>
                <w:color w:val="auto"/>
              </w:rPr>
            </w:pPr>
            <w:r>
              <w:rPr>
                <w:rFonts w:ascii="Arial" w:cs="Arial" w:eastAsia="Arial" w:hAnsi="Arial"/>
                <w:sz w:val="18"/>
                <w:szCs w:val="18"/>
                <w:color w:val="auto"/>
              </w:rPr>
              <w:t>Expected dividend yield</w:t>
            </w:r>
          </w:p>
        </w:tc>
        <w:tc>
          <w:tcPr>
            <w:tcW w:w="1340" w:type="dxa"/>
            <w:vAlign w:val="bottom"/>
            <w:gridSpan w:val="3"/>
          </w:tcPr>
          <w:p>
            <w:pPr>
              <w:jc w:val="right"/>
              <w:ind w:right="780"/>
              <w:spacing w:after="0" w:line="176" w:lineRule="exact"/>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 %</w:t>
            </w:r>
          </w:p>
        </w:tc>
        <w:tc>
          <w:tcPr>
            <w:tcW w:w="1820" w:type="dxa"/>
            <w:vAlign w:val="bottom"/>
          </w:tcPr>
          <w:p>
            <w:pPr>
              <w:spacing w:after="0"/>
              <w:rPr>
                <w:sz w:val="15"/>
                <w:szCs w:val="15"/>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83.3 %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84.0 %</w:t>
            </w: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608"/>
        </w:trPr>
        <w:tc>
          <w:tcPr>
            <w:tcW w:w="4700" w:type="dxa"/>
            <w:vAlign w:val="bottom"/>
            <w:gridSpan w:val="2"/>
          </w:tcPr>
          <w:p>
            <w:pPr>
              <w:ind w:left="4400"/>
              <w:spacing w:after="0"/>
              <w:rPr>
                <w:sz w:val="20"/>
                <w:szCs w:val="20"/>
                <w:color w:val="auto"/>
              </w:rPr>
            </w:pPr>
            <w:r>
              <w:rPr>
                <w:rFonts w:ascii="Arial" w:cs="Arial" w:eastAsia="Arial" w:hAnsi="Arial"/>
                <w:sz w:val="18"/>
                <w:szCs w:val="18"/>
                <w:color w:val="auto"/>
                <w:w w:val="93"/>
              </w:rPr>
              <w:t>100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8"/>
        </w:trPr>
        <w:tc>
          <w:tcPr>
            <w:tcW w:w="35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r>
    </w:tbl>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We expense the fair value of our stock-based compensation awards to employees and directors on a straight-line basis over the associated service period, which is generally the period in which the related services are received. Stock-based compensation awards to non-employees are adjusted through stock-based compensation expense at each reporting period end to reflect the current fair value of such awards and are expensed on a straight-line basis.</w:t>
      </w:r>
    </w:p>
    <w:p>
      <w:pPr>
        <w:spacing w:after="0" w:line="41"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record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We have not recognized any expense related to performance-based awards to date as achievement of the performance milestones has not been determined to be probable.</w:t>
      </w:r>
    </w:p>
    <w:p>
      <w:pPr>
        <w:spacing w:after="0" w:line="24"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Stock-based compensation totaled approximately $6.3 million, $4.0 million, and $0.4 million the years ended December 31, 2016, 2015, and 2014 respectively. As of December 31, 2016, we had $10.7 million and $8.7 million of unrecognized compensation expense related to restricted stock awards and stock option awards, respectively, which are expected to be recognized over weighted-average remaining vesting periods of approximately 1.33 and 2.71 years, respectively. We expect the impact of our stock-based compensation expense for restricted stock and stock options granted to employees, directors and other service providers to grow in future periods due to the potential increases in the value of our common stock and headcount.</w:t>
      </w:r>
    </w:p>
    <w:p>
      <w:pPr>
        <w:spacing w:after="0" w:line="44"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 xml:space="preserve">Prior to our IPO, the estimated fair value of our common stock was determined contemporaneously by our board of directors based on valuation estimates provided by management and prepared in accordance with the framework of the American Institute of Certified Public Accountants’ Technical Practice Aid, </w:t>
      </w:r>
      <w:r>
        <w:rPr>
          <w:rFonts w:ascii="Arial" w:cs="Arial" w:eastAsia="Arial" w:hAnsi="Arial"/>
          <w:sz w:val="17"/>
          <w:szCs w:val="17"/>
          <w:i w:val="1"/>
          <w:iCs w:val="1"/>
          <w:color w:val="auto"/>
        </w:rPr>
        <w:t>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or AICPA Practice Aid, as well as independent third-party valuations.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valuations of our common stock were based on a number of objective and subjective factors, including external market conditions affecting the biotechnology industry sector and the prices at which we sold shares of preferred stock, the superior rights and preferences of securities senior to our common stock at the time of each grant and the likelihood of achieving a liquidity event such as an IPO. After the completion of the IPO the fair value of the shares of common stock underlying the stock options is the closing price on the option grant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2016 and 2015, respectively, together with the changes in those items in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ind w:left="160"/>
              <w:spacing w:after="0" w:line="154" w:lineRule="exact"/>
              <w:rPr>
                <w:sz w:val="20"/>
                <w:szCs w:val="20"/>
                <w:color w:val="auto"/>
              </w:rPr>
            </w:pPr>
            <w:r>
              <w:rPr>
                <w:rFonts w:ascii="Arial" w:cs="Arial" w:eastAsia="Arial" w:hAnsi="Arial"/>
                <w:sz w:val="17"/>
                <w:szCs w:val="17"/>
                <w:color w:val="auto"/>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Collaboration revenue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14,220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(3,114)</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14,570</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8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 net</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w:t>
            </w:r>
          </w:p>
        </w:tc>
        <w:tc>
          <w:tcPr>
            <w:tcW w:w="8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(29,672)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33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Collaboration revenue was $14.2 million for the year ended December 31, 2016, and $17.3 million for the year ended December 31, 2015, all of which related to the Sanofi-Genzyme Collaboration in recognition of amounts allocated to research and development services for various programs under the Collaboration Agreement. The Collaboration Agreement was entered into in February 2015. During 2016 we reassessed the estimated period of performance for each of the units of accounting and determined that the estimated period would be extended for two units of accounting, we deprioritized the development of VY-SMN101, and reduced the estimates related to the amount of “in-kind” services that would be provided by Sanofi-Genzyme. These adjustments were made on a prospective basis and resulted in decreases in revenue recognized by $2.4 million per quarter.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Research and development expense increased by $14.5 million from $27.7 million for the year ended December 31, 2015 to $42.2 million for the year ended December 31, 2016. The following table summarizes our research and development expenses, for years ended December 31,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gridSpan w:val="4"/>
          </w:tcPr>
          <w:p>
            <w:pPr>
              <w:ind w:left="120"/>
              <w:spacing w:after="0" w:line="154" w:lineRule="exact"/>
              <w:rPr>
                <w:sz w:val="20"/>
                <w:szCs w:val="20"/>
                <w:color w:val="auto"/>
              </w:rPr>
            </w:pPr>
            <w:r>
              <w:rPr>
                <w:rFonts w:ascii="Arial" w:cs="Arial" w:eastAsia="Arial" w:hAnsi="Arial"/>
                <w:sz w:val="17"/>
                <w:szCs w:val="17"/>
                <w:color w:val="auto"/>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w w:val="99"/>
              </w:rPr>
              <w:t>Process and platform development expenses</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20,413</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14,128</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Employee and contractor related expenses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Facility and other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License fees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r>
      <w:tr>
        <w:trPr>
          <w:trHeight w:val="217"/>
        </w:trPr>
        <w:tc>
          <w:tcPr>
            <w:tcW w:w="3600" w:type="dxa"/>
            <w:vAlign w:val="bottom"/>
          </w:tcPr>
          <w:p>
            <w:pPr>
              <w:ind w:left="220"/>
              <w:spacing w:after="0"/>
              <w:rPr>
                <w:sz w:val="20"/>
                <w:szCs w:val="20"/>
                <w:color w:val="auto"/>
              </w:rPr>
            </w:pPr>
            <w:r>
              <w:rPr>
                <w:rFonts w:ascii="Arial" w:cs="Arial" w:eastAsia="Arial" w:hAnsi="Arial"/>
                <w:sz w:val="18"/>
                <w:szCs w:val="18"/>
                <w:color w:val="auto"/>
                <w:w w:val="98"/>
              </w:rPr>
              <w:t>Total research and development expenses</w:t>
            </w: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27,679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Pr>
          <w:p>
            <w:pPr>
              <w:spacing w:after="0"/>
              <w:rPr>
                <w:sz w:val="18"/>
                <w:szCs w:val="18"/>
                <w:color w:val="auto"/>
              </w:rPr>
            </w:pPr>
          </w:p>
        </w:tc>
      </w:tr>
    </w:tbl>
    <w:p>
      <w:pPr>
        <w:spacing w:after="0" w:line="14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change in research and development expense for the year ended December 31, 2016 was primarily attributable to the following:</w:t>
      </w:r>
    </w:p>
    <w:p>
      <w:pPr>
        <w:spacing w:after="0" w:line="121" w:lineRule="exact"/>
        <w:rPr>
          <w:sz w:val="20"/>
          <w:szCs w:val="20"/>
          <w:color w:val="auto"/>
        </w:rPr>
      </w:pPr>
    </w:p>
    <w:p>
      <w:pPr>
        <w:ind w:left="740" w:hanging="89"/>
        <w:spacing w:after="0" w:line="196" w:lineRule="exact"/>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$5.1 million for increased costs of funding research performed by third parties that conduct research and development, preclinical and clinical activities and manufacturing and production design on our behalf and increased purchases of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 and an additional expense of approximately $1.2 million attributable to in</w:t>
      </w:r>
      <w:r>
        <w:rPr>
          <w:rFonts w:ascii="MS PGothic" w:cs="MS PGothic" w:eastAsia="MS PGothic" w:hAnsi="MS PGothic"/>
          <w:sz w:val="18"/>
          <w:szCs w:val="18"/>
          <w:color w:val="auto"/>
        </w:rPr>
        <w:t>‑</w:t>
      </w:r>
      <w:r>
        <w:rPr>
          <w:rFonts w:ascii="Arial" w:cs="Arial" w:eastAsia="Arial" w:hAnsi="Arial"/>
          <w:sz w:val="18"/>
          <w:szCs w:val="18"/>
          <w:color w:val="auto"/>
        </w:rPr>
        <w:t>kind research and development services incurred by Sanofi-Genzyme and provided to us under the Sanofi-Genzyme Collaboration;</w:t>
      </w:r>
    </w:p>
    <w:p>
      <w:pPr>
        <w:spacing w:after="0" w:line="175" w:lineRule="exact"/>
        <w:rPr>
          <w:rFonts w:ascii="Arial" w:cs="Arial" w:eastAsia="Arial" w:hAnsi="Arial"/>
          <w:sz w:val="18"/>
          <w:szCs w:val="18"/>
          <w:color w:val="auto"/>
        </w:rPr>
      </w:pPr>
    </w:p>
    <w:p>
      <w:pPr>
        <w:ind w:left="740" w:hanging="89"/>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$4.2 million for increased research and development employee compensation costs;</w:t>
      </w:r>
    </w:p>
    <w:p>
      <w:pPr>
        <w:spacing w:after="0" w:line="198" w:lineRule="exact"/>
        <w:rPr>
          <w:rFonts w:ascii="Arial" w:cs="Arial" w:eastAsia="Arial" w:hAnsi="Arial"/>
          <w:sz w:val="18"/>
          <w:szCs w:val="18"/>
          <w:color w:val="auto"/>
        </w:rPr>
      </w:pPr>
    </w:p>
    <w:p>
      <w:pPr>
        <w:ind w:left="740" w:right="360" w:hanging="89"/>
        <w:spacing w:after="0" w:line="246"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$2.6 million for increased facility and other costs including rent, depreciation, maintenance and other expenses; and</w:t>
      </w:r>
    </w:p>
    <w:p>
      <w:pPr>
        <w:spacing w:after="0" w:line="169" w:lineRule="exact"/>
        <w:rPr>
          <w:rFonts w:ascii="Arial" w:cs="Arial" w:eastAsia="Arial" w:hAnsi="Arial"/>
          <w:sz w:val="18"/>
          <w:szCs w:val="18"/>
          <w:color w:val="auto"/>
        </w:rPr>
      </w:pPr>
    </w:p>
    <w:p>
      <w:pPr>
        <w:ind w:left="780" w:hanging="12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$1.5 million related to increased licensing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General and administrative expense increased by $3.4 million from $9.9 million for the year ended December 31, 2015 to $13.3 million for the year ended December 31, 2016. The change in general and administrative expense was primarily attributable to the following:</w:t>
      </w:r>
    </w:p>
    <w:p>
      <w:pPr>
        <w:spacing w:after="0" w:line="163" w:lineRule="exact"/>
        <w:rPr>
          <w:sz w:val="20"/>
          <w:szCs w:val="20"/>
          <w:color w:val="auto"/>
        </w:rPr>
      </w:pPr>
    </w:p>
    <w:p>
      <w:pPr>
        <w:ind w:left="740" w:hanging="89"/>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$3.0 million related to the increase in administrative function headcount;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right="380" w:hanging="89"/>
        <w:spacing w:after="0" w:line="246"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$0.6 million for increased facility and other costs including rent, depreciation, maintenance and other expenses;</w:t>
      </w:r>
    </w:p>
    <w:p>
      <w:pPr>
        <w:spacing w:after="0" w:line="169" w:lineRule="exact"/>
        <w:rPr>
          <w:rFonts w:ascii="Arial" w:cs="Arial" w:eastAsia="Arial" w:hAnsi="Arial"/>
          <w:sz w:val="18"/>
          <w:szCs w:val="18"/>
          <w:color w:val="auto"/>
        </w:rPr>
      </w:pPr>
    </w:p>
    <w:p>
      <w:pPr>
        <w:ind w:left="760" w:hanging="109"/>
        <w:spacing w:after="0"/>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$0.4 million for increased legal and patent expenses;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offset by approximately $0.8 million for decreased external consulting and professional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9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Investment income of approximately $1.0 million was recognized due to increased marketable securities balances resulting from our underwritten initial public offering in November 2015.</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Other income of approximately $0.2 million was recognized due to grants. Additionally, the prior year expense of $9.4 million related to the mark to market adjustments recorded on our Series A Preferred Stock Tranche Right liability as of the year ended December 31, 2015. The increase in value of the Series A Preferred Stock Tranche Rights liability was a result of the increase in the fair value of our Series A Preferred Stock and the increase in the probability of closing the tranche during the year ended December 31, 2015. The Series A Preferred Stock Tranche Rights liability was settled in February 2015 upon the issuance of the final tranche of Series A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recorded an income tax provision of $0.2 million related to our alternative minimum tax, or AMT, liability resulting in an income tax payable of $0.1 million for the year ended December 31, 2016. There was no income tax payable for the year ended December 31, 2015. The payable was due to the recognition of deferred revenue related to the Sanofi-Genzyme Collaboration for income tax purposes. Our overall income tax provision was offset by an income tax benefit recorded to continuing operations of $0.1 million associated with the recognition of the corresponding income tax associated with unrealized gains included in other comprehensive income. The net tax effect resulted in an overall income tax provision recorded to continuing operations of $0.1 million. We recorded no income tax provision (benefit) for the year ended December 31,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2015 and 2014:</w:t>
      </w:r>
    </w:p>
    <w:p>
      <w:pPr>
        <w:spacing w:after="0" w:line="50"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 ended December 31, 2015 and 2014, respectively, together with the changes in those items in dollars: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2"/>
              </w:rPr>
              <w:t>Year ended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17,334</w:t>
            </w: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w w:val="96"/>
              </w:rPr>
              <w:t>(in thousands)</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17,334</w:t>
            </w: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Arial" w:cs="Arial" w:eastAsia="Arial" w:hAnsi="Arial"/>
                <w:sz w:val="18"/>
                <w:szCs w:val="18"/>
                <w:color w:val="auto"/>
              </w:rPr>
              <w:t>Collaboration revenue</w:t>
            </w:r>
          </w:p>
        </w:tc>
        <w:tc>
          <w:tcPr>
            <w:tcW w:w="8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7"/>
                <w:szCs w:val="17"/>
                <w:color w:val="auto"/>
              </w:rPr>
            </w:pPr>
          </w:p>
        </w:tc>
        <w:tc>
          <w:tcPr>
            <w:tcW w:w="52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18,781</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23,221</w:t>
            </w:r>
          </w:p>
        </w:tc>
        <w:tc>
          <w:tcPr>
            <w:tcW w:w="14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expense, net:</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 net</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4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(16,317)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14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30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0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Collaboration revenue was $17.3 million for the year ended December 31, 2015, all of which related to the Sanofi-Genzyme Collaboration. We did not earn any revenue for the year ended December 31, 2014. Generally, the amounts allocated to these programs are expected to be recognized on a straight-line basis over the period the services are provided for each program.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increased by $18.8 million from $8.9 million for the year ended</w:t>
      </w:r>
    </w:p>
    <w:p>
      <w:pPr>
        <w:spacing w:after="0" w:line="229" w:lineRule="auto"/>
        <w:rPr>
          <w:sz w:val="20"/>
          <w:szCs w:val="20"/>
          <w:color w:val="auto"/>
        </w:rPr>
      </w:pPr>
      <w:r>
        <w:rPr>
          <w:rFonts w:ascii="Arial" w:cs="Arial" w:eastAsia="Arial" w:hAnsi="Arial"/>
          <w:sz w:val="16"/>
          <w:szCs w:val="16"/>
          <w:color w:val="auto"/>
        </w:rPr>
        <w:t>December 31, 2014 to $27.7 million for the year ended December 31, 2015. The following table summarizes our research</w:t>
      </w:r>
    </w:p>
    <w:p>
      <w:pPr>
        <w:spacing w:after="0"/>
        <w:rPr>
          <w:sz w:val="20"/>
          <w:szCs w:val="20"/>
          <w:color w:val="auto"/>
        </w:rPr>
      </w:pPr>
      <w:r>
        <w:rPr>
          <w:rFonts w:ascii="Arial" w:cs="Arial" w:eastAsia="Arial" w:hAnsi="Arial"/>
          <w:sz w:val="18"/>
          <w:szCs w:val="18"/>
          <w:color w:val="auto"/>
        </w:rPr>
        <w:t>and development expenses, for the year ended December 31, 2015 and 2014,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2"/>
              </w:rPr>
              <w:t>Year ended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gridSpan w:val="4"/>
          </w:tcPr>
          <w:p>
            <w:pPr>
              <w:ind w:left="80"/>
              <w:spacing w:after="0" w:line="154" w:lineRule="exact"/>
              <w:rPr>
                <w:sz w:val="20"/>
                <w:szCs w:val="20"/>
                <w:color w:val="auto"/>
              </w:rPr>
            </w:pPr>
            <w:r>
              <w:rPr>
                <w:rFonts w:ascii="Arial" w:cs="Arial" w:eastAsia="Arial" w:hAnsi="Arial"/>
                <w:sz w:val="17"/>
                <w:szCs w:val="17"/>
                <w:color w:val="auto"/>
              </w:rPr>
              <w:t>(in 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Process and platform development expenses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14,128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Employee and contractor related expenses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Facility and other expenses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License fees</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r>
      <w:tr>
        <w:trPr>
          <w:trHeight w:val="210"/>
        </w:trPr>
        <w:tc>
          <w:tcPr>
            <w:tcW w:w="3640" w:type="dxa"/>
            <w:vAlign w:val="bottom"/>
          </w:tcPr>
          <w:p>
            <w:pPr>
              <w:ind w:left="220"/>
              <w:spacing w:after="0"/>
              <w:rPr>
                <w:sz w:val="20"/>
                <w:szCs w:val="20"/>
                <w:color w:val="auto"/>
              </w:rPr>
            </w:pPr>
            <w:r>
              <w:rPr>
                <w:rFonts w:ascii="Arial" w:cs="Arial" w:eastAsia="Arial" w:hAnsi="Arial"/>
                <w:sz w:val="18"/>
                <w:szCs w:val="18"/>
                <w:color w:val="auto"/>
                <w:w w:val="99"/>
              </w:rPr>
              <w:t>Total research and development expenses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27,679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Pr>
          <w:p>
            <w:pPr>
              <w:spacing w:after="0"/>
              <w:rPr>
                <w:sz w:val="18"/>
                <w:szCs w:val="18"/>
                <w:color w:val="auto"/>
              </w:rPr>
            </w:pPr>
          </w:p>
        </w:tc>
      </w:tr>
      <w:tr>
        <w:trPr>
          <w:trHeight w:val="27"/>
        </w:trPr>
        <w:tc>
          <w:tcPr>
            <w:tcW w:w="3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The increase in research and development expense was primarily attributable to research and development, and included the following:</w:t>
      </w:r>
    </w:p>
    <w:p>
      <w:pPr>
        <w:spacing w:after="0" w:line="162" w:lineRule="exact"/>
        <w:rPr>
          <w:sz w:val="20"/>
          <w:szCs w:val="20"/>
          <w:color w:val="auto"/>
        </w:rPr>
      </w:pPr>
    </w:p>
    <w:p>
      <w:pPr>
        <w:ind w:left="740" w:right="40" w:hanging="89"/>
        <w:spacing w:after="0" w:line="246"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$11.3 million for increased purchases of lab supplies and non-capital equipment, funding preclinical and research development efforts and process development and design costs;</w:t>
      </w:r>
    </w:p>
    <w:p>
      <w:pPr>
        <w:spacing w:after="0" w:line="169" w:lineRule="exact"/>
        <w:rPr>
          <w:rFonts w:ascii="Arial" w:cs="Arial" w:eastAsia="Arial" w:hAnsi="Arial"/>
          <w:sz w:val="18"/>
          <w:szCs w:val="18"/>
          <w:color w:val="auto"/>
        </w:rPr>
      </w:pPr>
    </w:p>
    <w:p>
      <w:pPr>
        <w:ind w:left="740" w:right="360" w:hanging="89"/>
        <w:spacing w:after="0" w:line="246"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$7.0 million for increased compensation expenses, related to increased employee compensation costs, including hiring of personnel during 2015;</w:t>
      </w:r>
    </w:p>
    <w:p>
      <w:pPr>
        <w:spacing w:after="0" w:line="169" w:lineRule="exact"/>
        <w:rPr>
          <w:rFonts w:ascii="Arial" w:cs="Arial" w:eastAsia="Arial" w:hAnsi="Arial"/>
          <w:sz w:val="18"/>
          <w:szCs w:val="18"/>
          <w:color w:val="auto"/>
        </w:rPr>
      </w:pPr>
    </w:p>
    <w:p>
      <w:pPr>
        <w:ind w:left="740" w:right="200" w:hanging="89"/>
        <w:spacing w:after="0" w:line="246"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$1.0 million for increases in facility and other costs including rent, depreciation, and maintenance expenses; and</w:t>
      </w:r>
    </w:p>
    <w:p>
      <w:pPr>
        <w:spacing w:after="0" w:line="169" w:lineRule="exact"/>
        <w:rPr>
          <w:rFonts w:ascii="Arial" w:cs="Arial" w:eastAsia="Arial" w:hAnsi="Arial"/>
          <w:sz w:val="18"/>
          <w:szCs w:val="18"/>
          <w:color w:val="auto"/>
        </w:rPr>
      </w:pPr>
    </w:p>
    <w:p>
      <w:pPr>
        <w:ind w:left="760" w:hanging="109"/>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$0.6 million related to acquiring patents and licensing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63" w:lineRule="exact"/>
        <w:rPr>
          <w:sz w:val="20"/>
          <w:szCs w:val="20"/>
          <w:color w:val="auto"/>
        </w:rPr>
      </w:pPr>
    </w:p>
    <w:p>
      <w:pPr>
        <w:ind w:right="580" w:firstLine="648"/>
        <w:spacing w:after="0" w:line="224" w:lineRule="auto"/>
        <w:rPr>
          <w:sz w:val="20"/>
          <w:szCs w:val="20"/>
          <w:color w:val="auto"/>
        </w:rPr>
      </w:pPr>
      <w:r>
        <w:rPr>
          <w:rFonts w:ascii="Arial" w:cs="Arial" w:eastAsia="Arial" w:hAnsi="Arial"/>
          <w:sz w:val="18"/>
          <w:szCs w:val="18"/>
          <w:color w:val="auto"/>
        </w:rPr>
        <w:t>General and administrative expense increased by $4.4 million from $5.5 million for the year ended December 31, 2014 to $9.9 million for the year ended December 31, 2015. The increase in general and administrative expense was primarily attributable to the following:</w:t>
      </w:r>
    </w:p>
    <w:p>
      <w:pPr>
        <w:spacing w:after="0" w:line="28" w:lineRule="exact"/>
        <w:rPr>
          <w:sz w:val="20"/>
          <w:szCs w:val="20"/>
          <w:color w:val="auto"/>
        </w:rPr>
      </w:pPr>
    </w:p>
    <w:p>
      <w:pPr>
        <w:ind w:left="740" w:hanging="89"/>
        <w:spacing w:after="0"/>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$2.0 million for increased employee compensation costs, including hiring of personnel;</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$1.2 million for increased administrative consulting and professional services;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$0.9 million for increased renting and operating our corporate facilities; and</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$0.3 million for increased patent-related and other corporate legal fees incurred.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63"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Other expense decreased by $7.4 million from $2.0 million for the year ended December 31, 2014 to $9.4 million for the year ended December 31, 2015. The increase in expense primarily related to the mark to market adjustments recorded on our Series A Preferred Stock Tranche Right liability during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Prior to our IPO, we had funded our operations primarily through proceeds from private placements of our redeemable convertible preferred stock and convertible promissory notes.</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w:t>
      </w:r>
    </w:p>
    <w:p>
      <w:pPr>
        <w:spacing w:after="0" w:line="122" w:lineRule="exact"/>
        <w:rPr>
          <w:sz w:val="20"/>
          <w:szCs w:val="20"/>
          <w:color w:val="auto"/>
        </w:rPr>
      </w:pPr>
    </w:p>
    <w:p>
      <w:pPr>
        <w:ind w:right="640" w:firstLine="648"/>
        <w:spacing w:after="0" w:line="454" w:lineRule="auto"/>
        <w:rPr>
          <w:sz w:val="20"/>
          <w:szCs w:val="20"/>
          <w:color w:val="auto"/>
        </w:rPr>
      </w:pPr>
      <w:r>
        <w:rPr>
          <w:rFonts w:ascii="Arial" w:cs="Arial" w:eastAsia="Arial" w:hAnsi="Arial"/>
          <w:sz w:val="18"/>
          <w:szCs w:val="18"/>
          <w:color w:val="auto"/>
        </w:rPr>
        <w:t xml:space="preserve">As of December 31, 2016, we had cash, cash equivalents, and marketable debt securities of $174.4 million. </w:t>
      </w:r>
      <w:r>
        <w:rPr>
          <w:rFonts w:ascii="Arial" w:cs="Arial" w:eastAsia="Arial" w:hAnsi="Arial"/>
          <w:sz w:val="18"/>
          <w:szCs w:val="18"/>
          <w:i w:val="1"/>
          <w:iCs w:val="1"/>
          <w:color w:val="auto"/>
        </w:rPr>
        <w:t>Cash Flows</w:t>
      </w:r>
    </w:p>
    <w:p>
      <w:pPr>
        <w:ind w:left="40" w:right="180" w:firstLine="603"/>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2016, 2015, and 2014:</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w:t>
      </w:r>
    </w:p>
    <w:p>
      <w:pPr>
        <w:ind w:left="1100"/>
        <w:spacing w:after="0" w:line="221" w:lineRule="auto"/>
        <w:rPr>
          <w:sz w:val="20"/>
          <w:szCs w:val="20"/>
          <w:color w:val="auto"/>
        </w:rPr>
      </w:pPr>
      <w:r>
        <w:rPr>
          <w:rFonts w:ascii="Arial" w:cs="Arial" w:eastAsia="Arial" w:hAnsi="Arial"/>
          <w:sz w:val="14"/>
          <w:szCs w:val="14"/>
          <w:b w:val="1"/>
          <w:bCs w:val="1"/>
          <w:color w:val="auto"/>
        </w:rPr>
        <w:t>December 31,</w:t>
      </w:r>
    </w:p>
    <w:p>
      <w:pPr>
        <w:ind w:left="320"/>
        <w:spacing w:after="0"/>
        <w:tabs>
          <w:tab w:leader="none" w:pos="1380" w:val="left"/>
          <w:tab w:leader="none" w:pos="24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9380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19380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-12065</wp:posOffset>
            </wp:positionV>
            <wp:extent cx="4596765"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122" w:lineRule="exact"/>
        <w:rPr>
          <w:sz w:val="20"/>
          <w:szCs w:val="20"/>
          <w:color w:val="auto"/>
        </w:rPr>
      </w:pPr>
    </w:p>
    <w:p>
      <w:pPr>
        <w:ind w:left="320" w:hanging="319"/>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(42,482)  $   41,299  $  (11,918)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14605</wp:posOffset>
            </wp:positionV>
            <wp:extent cx="459676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5" w:lineRule="exact"/>
        <w:rPr>
          <w:sz w:val="20"/>
          <w:szCs w:val="20"/>
          <w:color w:val="auto"/>
        </w:rPr>
      </w:pPr>
    </w:p>
    <w:p>
      <w:pPr>
        <w:jc w:val="both"/>
        <w:ind w:left="380"/>
        <w:spacing w:after="0"/>
        <w:tabs>
          <w:tab w:leader="none" w:pos="1280" w:val="left"/>
          <w:tab w:leader="none" w:pos="2500" w:val="left"/>
        </w:tabs>
        <w:rPr>
          <w:sz w:val="20"/>
          <w:szCs w:val="20"/>
          <w:color w:val="auto"/>
        </w:rPr>
      </w:pPr>
      <w:r>
        <w:rPr>
          <w:rFonts w:ascii="Arial" w:cs="Arial" w:eastAsia="Arial" w:hAnsi="Arial"/>
          <w:sz w:val="18"/>
          <w:szCs w:val="18"/>
          <w:color w:val="auto"/>
        </w:rPr>
        <w:t>47,300</w:t>
      </w:r>
      <w:r>
        <w:rPr>
          <w:sz w:val="20"/>
          <w:szCs w:val="20"/>
          <w:color w:val="auto"/>
        </w:rPr>
        <w:tab/>
      </w:r>
      <w:r>
        <w:rPr>
          <w:rFonts w:ascii="Arial" w:cs="Arial" w:eastAsia="Arial" w:hAnsi="Arial"/>
          <w:sz w:val="18"/>
          <w:szCs w:val="18"/>
          <w:color w:val="auto"/>
        </w:rPr>
        <w:t>(194,769)</w:t>
      </w:r>
      <w:r>
        <w:rPr>
          <w:sz w:val="20"/>
          <w:szCs w:val="20"/>
          <w:color w:val="auto"/>
        </w:rPr>
        <w:tab/>
      </w:r>
      <w:r>
        <w:rPr>
          <w:rFonts w:ascii="Arial" w:cs="Arial" w:eastAsia="Arial" w:hAnsi="Arial"/>
          <w:sz w:val="17"/>
          <w:szCs w:val="17"/>
          <w:color w:val="auto"/>
        </w:rPr>
        <w:t>(3,302)</w:t>
      </w:r>
    </w:p>
    <w:p>
      <w:pPr>
        <w:spacing w:after="0" w:line="7" w:lineRule="exact"/>
        <w:rPr>
          <w:sz w:val="20"/>
          <w:szCs w:val="20"/>
          <w:color w:val="auto"/>
        </w:rPr>
      </w:pPr>
    </w:p>
    <w:p>
      <w:pPr>
        <w:ind w:left="600"/>
        <w:spacing w:after="0"/>
        <w:tabs>
          <w:tab w:leader="none" w:pos="1340" w:val="left"/>
          <w:tab w:leader="none" w:pos="24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8"/>
          <w:szCs w:val="18"/>
          <w:color w:val="auto"/>
        </w:rPr>
        <w:t>177,744</w:t>
      </w:r>
      <w:r>
        <w:rPr>
          <w:sz w:val="20"/>
          <w:szCs w:val="20"/>
          <w:color w:val="auto"/>
        </w:rPr>
        <w:tab/>
      </w:r>
      <w:r>
        <w:rPr>
          <w:rFonts w:ascii="Arial" w:cs="Arial" w:eastAsia="Arial" w:hAnsi="Arial"/>
          <w:sz w:val="16"/>
          <w:szCs w:val="16"/>
          <w:color w:val="auto"/>
        </w:rPr>
        <w:t>22,120</w:t>
      </w:r>
    </w:p>
    <w:p>
      <w:pPr>
        <w:spacing w:after="0" w:line="9" w:lineRule="exact"/>
        <w:rPr>
          <w:sz w:val="20"/>
          <w:szCs w:val="20"/>
          <w:color w:val="auto"/>
        </w:rPr>
      </w:pPr>
    </w:p>
    <w:p>
      <w:pPr>
        <w:spacing w:after="0"/>
        <w:tabs>
          <w:tab w:leader="none" w:pos="460" w:val="left"/>
          <w:tab w:leader="none" w:pos="1060" w:val="left"/>
          <w:tab w:leader="none" w:pos="1440" w:val="left"/>
          <w:tab w:leader="none" w:pos="2120" w:val="left"/>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5,332</w:t>
      </w:r>
      <w:r>
        <w:rPr>
          <w:sz w:val="20"/>
          <w:szCs w:val="20"/>
          <w:color w:val="auto"/>
        </w:rPr>
        <w:tab/>
      </w:r>
      <w:r>
        <w:rPr>
          <w:rFonts w:ascii="Arial" w:cs="Arial" w:eastAsia="Arial" w:hAnsi="Arial"/>
          <w:sz w:val="18"/>
          <w:szCs w:val="18"/>
          <w:u w:val="single" w:color="auto"/>
          <w:color w:val="auto"/>
        </w:rPr>
        <w:t>$</w:t>
        <w:tab/>
        <w:t>24,274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-130810</wp:posOffset>
            </wp:positionV>
            <wp:extent cx="459676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96765" cy="163195"/>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3360" w:space="720"/>
            <w:col w:w="4980"/>
          </w:cols>
          <w:pgMar w:left="1420" w:top="111" w:right="1419" w:bottom="1440" w:gutter="0" w:footer="0" w:header="0"/>
          <w:type w:val="continuous"/>
        </w:sectPr>
      </w:pPr>
    </w:p>
    <w:p>
      <w:pPr>
        <w:ind w:right="140" w:firstLine="648"/>
        <w:spacing w:after="0" w:line="214" w:lineRule="auto"/>
        <w:rPr>
          <w:sz w:val="20"/>
          <w:szCs w:val="20"/>
          <w:color w:val="auto"/>
        </w:rPr>
      </w:pPr>
      <w:r>
        <w:rPr>
          <w:rFonts w:ascii="Arial" w:cs="Arial" w:eastAsia="Arial" w:hAnsi="Arial"/>
          <w:sz w:val="18"/>
          <w:szCs w:val="18"/>
          <w:color w:val="auto"/>
        </w:rPr>
        <w:t>Net cash used in operating activities was $42.5 million during the year ended December 31, 2016. The decrease in cash provided by operating activities year over year was due to the $65.0 million upfront payment from Sanofi-Genzyme under the Collaboration Agreement in February 2015, and increases in cash used for increased operating expenses, adjusted for non-cash items. The increases in operating expenses are primarily due to increased research and development activities, as well as higher general and administrative expenses as a result of operating as a public company during the year ended December 31, 2016.</w:t>
      </w:r>
    </w:p>
    <w:p>
      <w:pPr>
        <w:spacing w:after="0" w:line="162" w:lineRule="exact"/>
        <w:rPr>
          <w:sz w:val="20"/>
          <w:szCs w:val="20"/>
          <w:color w:val="auto"/>
        </w:rPr>
      </w:pPr>
    </w:p>
    <w:p>
      <w:pPr>
        <w:ind w:firstLine="693"/>
        <w:spacing w:after="0" w:line="249" w:lineRule="auto"/>
        <w:rPr>
          <w:sz w:val="20"/>
          <w:szCs w:val="20"/>
          <w:color w:val="auto"/>
        </w:rPr>
      </w:pPr>
      <w:r>
        <w:rPr>
          <w:rFonts w:ascii="Arial" w:cs="Arial" w:eastAsia="Arial" w:hAnsi="Arial"/>
          <w:sz w:val="16"/>
          <w:szCs w:val="16"/>
          <w:color w:val="auto"/>
        </w:rPr>
        <w:t>Net cash provided by operating activities was $41.3 million during the year ended December 31, 2015. The increase in cash provided by operating activities year over year was due to the $65.0 million upfront payment from Sanofi-Genzyme under the Collaboration Agreement in February 2015, offset by cash used in operating activities due to an increase in net loss of $13.4 million for the year ended December 31, 2015 as compared to the year ended December 31, 2014.</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was $11.9 million during the year ended December 31,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Net cash provided by investing activities was $47.3 million during the year ended December 31, 2016. The increase in cash provided by investing activities for the year ended December 31, 2016 was primarily due to proceeds from maturities of marketable securities of $165.1 million, partially offset by purchases of marketable securities of $112.4 million and purchases of property and equipment of $5.0 million.</w:t>
      </w:r>
    </w:p>
    <w:p>
      <w:pPr>
        <w:spacing w:after="0" w:line="163"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6"/>
          <w:szCs w:val="16"/>
          <w:color w:val="auto"/>
        </w:rPr>
        <w:t>Net cash used in investing activities was $194.8 million during the year ended December 31, 2015. The increase in cash used in investing activities was due to purchases of marketable securities of $220.4 million offset by the proceeds from maturities of marketable securities of $26.7 million, and $1.0 million in purchases of property and equipment.</w:t>
      </w:r>
    </w:p>
    <w:p>
      <w:pPr>
        <w:spacing w:after="0" w:line="147"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Net cash used in investing activities was $3.3 million during the year ended December 31, 2014. Cash used in investing activities was primarily due to purchases of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Net cash provided by financing activities was $0.5 million during the year ended December 31, 2016 for proceeds on exercises of stock options.</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Net cash provided by financing activities was $177.7 million during the year ended December 31, 2015. The increase in cash provided by financing activities was from the receipt of IPO proceeds (net of underwriting discounts and commissions, but prior to deducting other transaction expenses) of $72.9 million, the issuance of $20.0 million of Series A Preferred Stock, $90.0 million of Series B Preferred Stock, of which $5.0 million in proceeds were in excess of the Series B Preferred Stock’s fair value and were allocated to deferred revenue. Cash payments of IPO related expenses totaled $1.9 million during the year ended December 31, 2015.</w:t>
      </w:r>
    </w:p>
    <w:p>
      <w:pPr>
        <w:spacing w:after="0" w:line="162"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Net cash provided by financing activities was $22.1 million during the year ended December 31, 2014. The increase in cash provided by financing activities was primarily due to the closing of the first four Series A Preferred Stock financing rounds for aggregate gross proceeds of $22.0 million during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Based upon our current operating plan, we expect our existing cash, cash equivalents, and marketable debt securities will enable us to fund our operating expenses and capital expenditure requirements into 2019. Our future capital requirements will depend on many factors, including:</w:t>
      </w:r>
    </w:p>
    <w:p>
      <w:pPr>
        <w:spacing w:after="0" w:line="163" w:lineRule="exact"/>
        <w:rPr>
          <w:sz w:val="20"/>
          <w:szCs w:val="20"/>
          <w:color w:val="auto"/>
        </w:rPr>
      </w:pPr>
    </w:p>
    <w:p>
      <w:pPr>
        <w:ind w:left="740" w:right="340" w:hanging="89"/>
        <w:spacing w:after="0" w:line="246"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740" w:hanging="89"/>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98" w:lineRule="exact"/>
        <w:rPr>
          <w:rFonts w:ascii="Arial" w:cs="Arial" w:eastAsia="Arial" w:hAnsi="Arial"/>
          <w:sz w:val="18"/>
          <w:szCs w:val="18"/>
          <w:color w:val="auto"/>
        </w:rPr>
      </w:pPr>
    </w:p>
    <w:p>
      <w:pPr>
        <w:ind w:left="740" w:right="600" w:hanging="89"/>
        <w:spacing w:after="0" w:line="246"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Sanofi-Genzyme Collaboration and any other collaboration agreements we obtain;</w:t>
      </w:r>
    </w:p>
    <w:p>
      <w:pPr>
        <w:spacing w:after="0" w:line="169" w:lineRule="exact"/>
        <w:rPr>
          <w:rFonts w:ascii="Arial" w:cs="Arial" w:eastAsia="Arial" w:hAnsi="Arial"/>
          <w:sz w:val="18"/>
          <w:szCs w:val="18"/>
          <w:color w:val="auto"/>
        </w:rPr>
      </w:pPr>
    </w:p>
    <w:p>
      <w:pPr>
        <w:ind w:left="740" w:hanging="89"/>
        <w:spacing w:after="0"/>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ability of our collaboration partners to exercise options to extend research and development programs</w:t>
      </w:r>
    </w:p>
    <w:p>
      <w:pPr>
        <w:spacing w:after="0" w:line="209" w:lineRule="exact"/>
        <w:rPr>
          <w:rFonts w:ascii="Arial" w:cs="Arial" w:eastAsia="Arial" w:hAnsi="Arial"/>
          <w:sz w:val="17"/>
          <w:szCs w:val="17"/>
          <w:color w:val="auto"/>
        </w:rPr>
      </w:pPr>
    </w:p>
    <w:p>
      <w:pPr>
        <w:ind w:left="740" w:right="620" w:hanging="89"/>
        <w:spacing w:after="0" w:line="246"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collaboration agreements, if any;</w:t>
      </w:r>
    </w:p>
    <w:p>
      <w:pPr>
        <w:spacing w:after="0" w:line="169" w:lineRule="exact"/>
        <w:rPr>
          <w:rFonts w:ascii="Arial" w:cs="Arial" w:eastAsia="Arial" w:hAnsi="Arial"/>
          <w:sz w:val="18"/>
          <w:szCs w:val="18"/>
          <w:color w:val="auto"/>
        </w:rPr>
      </w:pPr>
    </w:p>
    <w:p>
      <w:pPr>
        <w:ind w:left="740" w:right="580" w:hanging="89"/>
        <w:spacing w:after="0" w:line="210" w:lineRule="exact"/>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w:t>
      </w:r>
    </w:p>
    <w:p>
      <w:pPr>
        <w:spacing w:after="0" w:line="198" w:lineRule="exact"/>
        <w:rPr>
          <w:rFonts w:ascii="Arial" w:cs="Arial" w:eastAsia="Arial" w:hAnsi="Arial"/>
          <w:sz w:val="18"/>
          <w:szCs w:val="18"/>
          <w:color w:val="auto"/>
        </w:rPr>
      </w:pPr>
    </w:p>
    <w:p>
      <w:pPr>
        <w:ind w:left="740" w:hanging="89"/>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98" w:lineRule="exact"/>
        <w:rPr>
          <w:rFonts w:ascii="Arial" w:cs="Arial" w:eastAsia="Arial" w:hAnsi="Arial"/>
          <w:sz w:val="18"/>
          <w:szCs w:val="18"/>
          <w:color w:val="auto"/>
        </w:rPr>
      </w:pPr>
    </w:p>
    <w:p>
      <w:pPr>
        <w:ind w:left="740" w:right="340" w:hanging="89"/>
        <w:spacing w:after="0" w:line="246"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right="120" w:firstLine="648"/>
        <w:spacing w:after="0" w:line="183" w:lineRule="exact"/>
        <w:rPr>
          <w:sz w:val="20"/>
          <w:szCs w:val="20"/>
          <w:color w:val="auto"/>
        </w:rPr>
      </w:pPr>
      <w:r>
        <w:rPr>
          <w:rFonts w:ascii="Arial" w:cs="Arial" w:eastAsia="Arial" w:hAnsi="Arial"/>
          <w:sz w:val="18"/>
          <w:szCs w:val="18"/>
          <w:color w:val="auto"/>
        </w:rPr>
        <w:t>Identifying potential product candidates and conducting preclinical studies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gene therapies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redeemable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w w:val="92"/>
              </w:rPr>
              <w:t>Less Than</w:t>
            </w: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More than</w:t>
            </w:r>
          </w:p>
        </w:tc>
        <w:tc>
          <w:tcPr>
            <w:tcW w:w="1820" w:type="dxa"/>
            <w:vAlign w:val="bottom"/>
          </w:tcPr>
          <w:p>
            <w:pPr>
              <w:spacing w:after="0"/>
              <w:rPr>
                <w:sz w:val="15"/>
                <w:szCs w:val="15"/>
                <w:color w:val="auto"/>
              </w:rPr>
            </w:pPr>
          </w:p>
        </w:tc>
      </w:tr>
      <w:tr>
        <w:trPr>
          <w:trHeight w:val="171"/>
        </w:trPr>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1 Year</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w w:val="99"/>
              </w:rPr>
              <w:t>1 to 3 Years</w:t>
            </w: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w w:val="96"/>
              </w:rPr>
              <w:t>3 to 5 Years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1820" w:type="dxa"/>
            <w:vAlign w:val="bottom"/>
          </w:tcPr>
          <w:p>
            <w:pPr>
              <w:spacing w:after="0"/>
              <w:rPr>
                <w:sz w:val="14"/>
                <w:szCs w:val="14"/>
                <w:color w:val="auto"/>
              </w:rPr>
            </w:pPr>
          </w:p>
        </w:tc>
      </w:tr>
      <w:tr>
        <w:trPr>
          <w:trHeight w:val="169"/>
        </w:trPr>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ind w:left="20"/>
              <w:spacing w:after="0" w:line="170" w:lineRule="exact"/>
              <w:rPr>
                <w:sz w:val="20"/>
                <w:szCs w:val="20"/>
                <w:color w:val="auto"/>
              </w:rPr>
            </w:pPr>
            <w:r>
              <w:rPr>
                <w:rFonts w:ascii="Arial" w:cs="Arial" w:eastAsia="Arial" w:hAnsi="Arial"/>
                <w:sz w:val="18"/>
                <w:szCs w:val="18"/>
                <w:color w:val="auto"/>
              </w:rPr>
              <w:t>(in thousands)</w:t>
            </w:r>
          </w:p>
        </w:tc>
        <w:tc>
          <w:tcPr>
            <w:tcW w:w="840" w:type="dxa"/>
            <w:vAlign w:val="bottom"/>
            <w:tcBorders>
              <w:top w:val="single" w:sz="8" w:color="auto"/>
            </w:tcBorders>
          </w:tcPr>
          <w:p>
            <w:pPr>
              <w:spacing w:after="0"/>
              <w:rPr>
                <w:sz w:val="14"/>
                <w:szCs w:val="14"/>
                <w:color w:val="auto"/>
              </w:rPr>
            </w:pPr>
          </w:p>
        </w:tc>
        <w:tc>
          <w:tcPr>
            <w:tcW w:w="1820" w:type="dxa"/>
            <w:vAlign w:val="bottom"/>
          </w:tcPr>
          <w:p>
            <w:pPr>
              <w:spacing w:after="0"/>
              <w:rPr>
                <w:sz w:val="14"/>
                <w:szCs w:val="14"/>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8"/>
                <w:szCs w:val="8"/>
                <w:color w:val="auto"/>
              </w:rPr>
              <w:t>(1)</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$ 29,786</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$ 3,211</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6,672</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7,630</w:t>
            </w:r>
          </w:p>
        </w:tc>
        <w:tc>
          <w:tcPr>
            <w:tcW w:w="84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$ 12,273</w:t>
            </w:r>
          </w:p>
        </w:tc>
        <w:tc>
          <w:tcPr>
            <w:tcW w:w="1820" w:type="dxa"/>
            <w:vAlign w:val="bottom"/>
          </w:tcPr>
          <w:p>
            <w:pPr>
              <w:spacing w:after="0"/>
              <w:rPr>
                <w:sz w:val="18"/>
                <w:szCs w:val="18"/>
                <w:color w:val="auto"/>
              </w:rPr>
            </w:pPr>
          </w:p>
        </w:tc>
      </w:tr>
      <w:tr>
        <w:trPr>
          <w:trHeight w:val="635"/>
        </w:trPr>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gridSpan w:val="2"/>
          </w:tcPr>
          <w:p>
            <w:pPr>
              <w:jc w:val="right"/>
              <w:ind w:right="776"/>
              <w:spacing w:after="0"/>
              <w:rPr>
                <w:sz w:val="20"/>
                <w:szCs w:val="20"/>
                <w:color w:val="auto"/>
              </w:rPr>
            </w:pPr>
            <w:r>
              <w:rPr>
                <w:rFonts w:ascii="Arial" w:cs="Arial" w:eastAsia="Arial" w:hAnsi="Arial"/>
                <w:sz w:val="18"/>
                <w:szCs w:val="18"/>
                <w:color w:val="auto"/>
              </w:rPr>
              <w:t>107</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2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62230</wp:posOffset>
            </wp:positionV>
            <wp:extent cx="565975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9755" cy="25400"/>
                    </a:xfrm>
                    <a:prstGeom prst="rect">
                      <a:avLst/>
                    </a:prstGeom>
                    <a:noFill/>
                  </pic:spPr>
                </pic:pic>
              </a:graphicData>
            </a:graphic>
          </wp:anchor>
        </w:drawing>
      </w:r>
    </w:p>
    <w:p>
      <w:pPr>
        <w:spacing w:after="0" w:line="187" w:lineRule="exact"/>
        <w:rPr>
          <w:sz w:val="20"/>
          <w:szCs w:val="20"/>
          <w:color w:val="auto"/>
        </w:rPr>
      </w:pPr>
    </w:p>
    <w:p>
      <w:pPr>
        <w:ind w:left="540" w:right="180" w:hanging="213"/>
        <w:spacing w:after="0" w:line="166" w:lineRule="exact"/>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lease office space at 75 Sidney Street and 64 Sidney Street in Cambridge, Massachusetts under non</w:t>
      </w:r>
      <w:r>
        <w:rPr>
          <w:rFonts w:ascii="MS PGothic" w:cs="MS PGothic" w:eastAsia="MS PGothic" w:hAnsi="MS PGothic"/>
          <w:sz w:val="14"/>
          <w:szCs w:val="14"/>
          <w:color w:val="auto"/>
        </w:rPr>
        <w:t>‑</w:t>
      </w:r>
      <w:r>
        <w:rPr>
          <w:rFonts w:ascii="Arial" w:cs="Arial" w:eastAsia="Arial" w:hAnsi="Arial"/>
          <w:sz w:val="14"/>
          <w:szCs w:val="14"/>
          <w:color w:val="auto"/>
        </w:rPr>
        <w:t>cancelable operating leases that expire in December 2024.</w:t>
      </w:r>
    </w:p>
    <w:p>
      <w:pPr>
        <w:spacing w:after="0" w:line="107"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In January 2016, we executed an amendment to extend the lease for 75 Sidney Street in Cambridge, Massachusetts and executed a new agreement to lease 64 Sidney Street in Cambridge, Massachusetts, both terms going through December 2024.</w:t>
      </w:r>
    </w:p>
    <w:p>
      <w:pPr>
        <w:spacing w:after="0" w:line="96"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We enter into agreements in the normal course of business with CROs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8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The maximum aggregate potential milestone payments payable by us total approximately $12.0 million. Additionally, under the terms of one agreement, we have options to license intellectual property to be used in the development of therapies for four disease indications. If we exercise all of the options under the agreement, we would be obligated to pay aggregate up</w:t>
      </w:r>
      <w:r>
        <w:rPr>
          <w:rFonts w:ascii="MS PGothic" w:cs="MS PGothic" w:eastAsia="MS PGothic" w:hAnsi="MS PGothic"/>
          <w:sz w:val="17"/>
          <w:szCs w:val="17"/>
          <w:color w:val="auto"/>
        </w:rPr>
        <w:t>‑</w:t>
      </w:r>
      <w:r>
        <w:rPr>
          <w:rFonts w:ascii="Arial" w:cs="Arial" w:eastAsia="Arial" w:hAnsi="Arial"/>
          <w:sz w:val="17"/>
          <w:szCs w:val="17"/>
          <w:color w:val="auto"/>
        </w:rPr>
        <w:t>front fees of up to approximately $1.5 million and milestone payments that are contingent upon clinical trial results and regulatory approval of $5.0 million per disease indication, or up to $20.0 million in total. We may also be required to pay annual maintenance fees or minimum amounts payable ranging from low</w:t>
      </w:r>
      <w:r>
        <w:rPr>
          <w:rFonts w:ascii="MS PGothic" w:cs="MS PGothic" w:eastAsia="MS PGothic" w:hAnsi="MS PGothic"/>
          <w:sz w:val="17"/>
          <w:szCs w:val="17"/>
          <w:color w:val="auto"/>
        </w:rPr>
        <w:t>‑</w:t>
      </w:r>
      <w:r>
        <w:rPr>
          <w:rFonts w:ascii="Arial" w:cs="Arial" w:eastAsia="Arial" w:hAnsi="Arial"/>
          <w:sz w:val="17"/>
          <w:szCs w:val="17"/>
          <w:color w:val="auto"/>
        </w:rPr>
        <w:t>four digits to low five</w:t>
      </w:r>
      <w:r>
        <w:rPr>
          <w:rFonts w:ascii="MS PGothic" w:cs="MS PGothic" w:eastAsia="MS PGothic" w:hAnsi="MS PGothic"/>
          <w:sz w:val="17"/>
          <w:szCs w:val="17"/>
          <w:color w:val="auto"/>
        </w:rPr>
        <w:t>‑</w:t>
      </w:r>
      <w:r>
        <w:rPr>
          <w:rFonts w:ascii="Arial" w:cs="Arial" w:eastAsia="Arial" w:hAnsi="Arial"/>
          <w:sz w:val="17"/>
          <w:szCs w:val="17"/>
          <w:color w:val="auto"/>
        </w:rPr>
        <w:t>digits depending upon the terms of the applicable agreement.</w:t>
      </w:r>
    </w:p>
    <w:p>
      <w:pPr>
        <w:spacing w:after="0" w:line="9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w:t>
      </w:r>
    </w:p>
    <w:p>
      <w:pPr>
        <w:spacing w:after="0" w:line="87"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4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w:t>
      </w:r>
    </w:p>
    <w:p>
      <w:pPr>
        <w:spacing w:after="0" w:line="82"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 ended December 31, 2016.</w:t>
      </w:r>
    </w:p>
    <w:p>
      <w:pPr>
        <w:spacing w:after="0" w:line="5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158" w:lineRule="exact"/>
        <w:rPr>
          <w:sz w:val="20"/>
          <w:szCs w:val="20"/>
          <w:color w:val="auto"/>
        </w:rPr>
      </w:pPr>
    </w:p>
    <w:p>
      <w:pPr>
        <w:ind w:left="1520" w:right="30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81" w:lineRule="exact"/>
        <w:rPr>
          <w:sz w:val="20"/>
          <w:szCs w:val="20"/>
          <w:color w:val="auto"/>
        </w:rPr>
      </w:pPr>
    </w:p>
    <w:p>
      <w:pPr>
        <w:ind w:right="20" w:firstLine="441"/>
        <w:spacing w:after="0" w:line="24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Chief Financial Officer, who is also our principal financial and accounting officer, to allow timely decisions regarding required disclosure.</w:t>
      </w:r>
    </w:p>
    <w:p>
      <w:pPr>
        <w:spacing w:after="0" w:line="159" w:lineRule="exact"/>
        <w:rPr>
          <w:sz w:val="20"/>
          <w:szCs w:val="20"/>
          <w:color w:val="auto"/>
        </w:rPr>
      </w:pPr>
    </w:p>
    <w:p>
      <w:pPr>
        <w:ind w:firstLine="441"/>
        <w:spacing w:after="0" w:line="211" w:lineRule="auto"/>
        <w:rPr>
          <w:sz w:val="20"/>
          <w:szCs w:val="20"/>
          <w:color w:val="auto"/>
        </w:rPr>
      </w:pPr>
      <w:r>
        <w:rPr>
          <w:rFonts w:ascii="Arial" w:cs="Arial" w:eastAsia="Arial" w:hAnsi="Arial"/>
          <w:sz w:val="18"/>
          <w:szCs w:val="18"/>
          <w:color w:val="auto"/>
        </w:rPr>
        <w:t>As of December 31, 2016, our management, with the participation of our principal executive officer and principal financial and accounting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and accounting officer have concluded based upon the evaluation described above that, as of December 31, 2016,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740" w:right="380" w:hanging="89"/>
        <w:spacing w:after="0" w:line="246"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318" w:lineRule="exact"/>
        <w:rPr>
          <w:rFonts w:ascii="Arial" w:cs="Arial" w:eastAsia="Arial" w:hAnsi="Arial"/>
          <w:sz w:val="18"/>
          <w:szCs w:val="18"/>
          <w:color w:val="auto"/>
        </w:rPr>
      </w:pPr>
    </w:p>
    <w:p>
      <w:pPr>
        <w:ind w:left="740" w:right="140" w:hanging="89"/>
        <w:spacing w:after="0" w:line="231"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324" w:lineRule="exact"/>
        <w:rPr>
          <w:rFonts w:ascii="Arial" w:cs="Arial" w:eastAsia="Arial" w:hAnsi="Arial"/>
          <w:sz w:val="18"/>
          <w:szCs w:val="18"/>
          <w:color w:val="auto"/>
        </w:rPr>
      </w:pPr>
    </w:p>
    <w:p>
      <w:pPr>
        <w:ind w:left="740" w:right="700" w:hanging="89"/>
        <w:spacing w:after="0" w:line="275" w:lineRule="auto"/>
        <w:tabs>
          <w:tab w:leader="none" w:pos="7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2016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2016.</w:t>
      </w:r>
    </w:p>
    <w:p>
      <w:pPr>
        <w:spacing w:after="0" w:line="11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2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2017 Annual Meeting of Stockholders, which we will file with the SEC within 120 days of the end of the fiscal year to which this Annual Report on Form 10-K relates.</w:t>
      </w:r>
    </w:p>
    <w:p>
      <w:pPr>
        <w:spacing w:after="0" w:line="11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2017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ind w:left="152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2"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2017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ind w:left="1520" w:right="94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54"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2017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48"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2017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0" w:type="dxa"/>
            <w:vAlign w:val="bottom"/>
            <w:gridSpan w:val="3"/>
          </w:tcPr>
          <w:p>
            <w:pPr>
              <w:ind w:left="12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980" w:type="dxa"/>
            <w:vAlign w:val="bottom"/>
            <w:gridSpan w:val="7"/>
          </w:tcPr>
          <w:p>
            <w:pPr>
              <w:ind w:left="280"/>
              <w:spacing w:after="0"/>
              <w:rPr>
                <w:sz w:val="20"/>
                <w:szCs w:val="20"/>
                <w:color w:val="auto"/>
              </w:rPr>
            </w:pPr>
            <w:r>
              <w:rPr>
                <w:rFonts w:ascii="Arial" w:cs="Arial" w:eastAsia="Arial" w:hAnsi="Arial"/>
                <w:sz w:val="18"/>
                <w:szCs w:val="18"/>
                <w:b w:val="1"/>
                <w:bCs w:val="1"/>
                <w:color w:val="auto"/>
              </w:rPr>
              <w:t>EXHIBITS AND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260" w:type="dxa"/>
            <w:vAlign w:val="bottom"/>
            <w:gridSpan w:val="8"/>
          </w:tcPr>
          <w:p>
            <w:pPr>
              <w:ind w:left="660"/>
              <w:spacing w:after="0"/>
              <w:rPr>
                <w:sz w:val="20"/>
                <w:szCs w:val="20"/>
                <w:color w:val="auto"/>
              </w:rPr>
            </w:pPr>
            <w:r>
              <w:rPr>
                <w:rFonts w:ascii="Arial" w:cs="Arial" w:eastAsia="Arial" w:hAnsi="Arial"/>
                <w:sz w:val="18"/>
                <w:szCs w:val="18"/>
                <w:color w:val="auto"/>
              </w:rPr>
              <w:t>(a)(1)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gridSpan w:val="5"/>
            <w:vMerge w:val="restart"/>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Report of independent registered public accounting firm</w:t>
              </w:r>
            </w:hyperlink>
          </w:p>
        </w:tc>
        <w:tc>
          <w:tcPr>
            <w:tcW w:w="3200" w:type="dxa"/>
            <w:vAlign w:val="bottom"/>
            <w:gridSpan w:val="3"/>
            <w:vMerge w:val="restart"/>
          </w:tcPr>
          <w:p>
            <w:pPr>
              <w:spacing w:after="0"/>
              <w:rPr>
                <w:sz w:val="22"/>
                <w:szCs w:val="22"/>
                <w:color w:val="auto"/>
              </w:rPr>
            </w:pPr>
          </w:p>
        </w:tc>
        <w:tc>
          <w:tcPr>
            <w:tcW w:w="1020" w:type="dxa"/>
            <w:vAlign w:val="bottom"/>
          </w:tcPr>
          <w:p>
            <w:pPr>
              <w:jc w:val="center"/>
              <w:ind w:left="593"/>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194"/>
        </w:trPr>
        <w:tc>
          <w:tcPr>
            <w:tcW w:w="4060" w:type="dxa"/>
            <w:vAlign w:val="bottom"/>
            <w:tcBorders>
              <w:bottom w:val="single" w:sz="8" w:color="0000EE"/>
            </w:tcBorders>
            <w:gridSpan w:val="5"/>
            <w:vMerge w:val="continue"/>
          </w:tcPr>
          <w:p>
            <w:pPr>
              <w:spacing w:after="0"/>
              <w:rPr>
                <w:sz w:val="16"/>
                <w:szCs w:val="16"/>
                <w:color w:val="auto"/>
              </w:rPr>
            </w:pPr>
          </w:p>
        </w:tc>
        <w:tc>
          <w:tcPr>
            <w:tcW w:w="3200" w:type="dxa"/>
            <w:vAlign w:val="bottom"/>
            <w:gridSpan w:val="3"/>
            <w:vMerge w:val="continue"/>
          </w:tcPr>
          <w:p>
            <w:pPr>
              <w:spacing w:after="0"/>
              <w:rPr>
                <w:sz w:val="16"/>
                <w:szCs w:val="16"/>
                <w:color w:val="auto"/>
              </w:rPr>
            </w:pPr>
          </w:p>
        </w:tc>
        <w:tc>
          <w:tcPr>
            <w:tcW w:w="1020" w:type="dxa"/>
            <w:vAlign w:val="bottom"/>
          </w:tcPr>
          <w:p>
            <w:pPr>
              <w:jc w:val="center"/>
              <w:ind w:left="593"/>
              <w:spacing w:after="0" w:line="189"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Consolidated Balance Sheets</w:t>
              </w:r>
            </w:hyperlink>
          </w:p>
        </w:tc>
        <w:tc>
          <w:tcPr>
            <w:tcW w:w="5160" w:type="dxa"/>
            <w:vAlign w:val="bottom"/>
            <w:gridSpan w:val="6"/>
          </w:tcPr>
          <w:p>
            <w:pPr>
              <w:spacing w:after="0"/>
              <w:rPr>
                <w:sz w:val="24"/>
                <w:szCs w:val="24"/>
                <w:color w:val="auto"/>
              </w:rPr>
            </w:pPr>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77"/>
        </w:trPr>
        <w:tc>
          <w:tcPr>
            <w:tcW w:w="7260" w:type="dxa"/>
            <w:vAlign w:val="bottom"/>
            <w:gridSpan w:val="8"/>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Operations and Comprehensive Loss</w:t>
              </w:r>
            </w:hyperlink>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60" w:type="dxa"/>
            <w:vAlign w:val="bottom"/>
            <w:gridSpan w:val="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Convertible Preferred Stock and Stockholders’ Equity (Deficit)</w:t>
              </w:r>
            </w:hyperlink>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72"/>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77"/>
        </w:trPr>
        <w:tc>
          <w:tcPr>
            <w:tcW w:w="7260" w:type="dxa"/>
            <w:vAlign w:val="bottom"/>
            <w:gridSpan w:val="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Notes to consolidated financial statements</w:t>
              </w:r>
            </w:hyperlink>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85" w:lineRule="exact"/>
        <w:rPr>
          <w:sz w:val="20"/>
          <w:szCs w:val="20"/>
          <w:color w:val="auto"/>
        </w:rPr>
      </w:pPr>
    </w:p>
    <w:p>
      <w:pPr>
        <w:ind w:right="359" w:firstLine="501"/>
        <w:spacing w:after="0" w:line="235"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w:t>
      </w:r>
    </w:p>
    <w:p>
      <w:pPr>
        <w:spacing w:after="0" w:line="185" w:lineRule="exact"/>
        <w:rPr>
          <w:sz w:val="20"/>
          <w:szCs w:val="20"/>
          <w:color w:val="auto"/>
        </w:rPr>
      </w:pPr>
    </w:p>
    <w:p>
      <w:pPr>
        <w:ind w:right="259" w:firstLine="501"/>
        <w:spacing w:after="0" w:line="289" w:lineRule="auto"/>
        <w:rPr>
          <w:sz w:val="20"/>
          <w:szCs w:val="20"/>
          <w:color w:val="auto"/>
        </w:rPr>
      </w:pPr>
      <w:r>
        <w:rPr>
          <w:rFonts w:ascii="Arial" w:cs="Arial" w:eastAsia="Arial" w:hAnsi="Arial"/>
          <w:sz w:val="16"/>
          <w:szCs w:val="16"/>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30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94" w:right="1440"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rPr>
          <w:sz w:val="20"/>
          <w:szCs w:val="20"/>
          <w:color w:val="auto"/>
        </w:rPr>
      </w:pPr>
      <w:r>
        <w:rPr>
          <w:rFonts w:ascii="Arial" w:cs="Arial" w:eastAsia="Arial" w:hAnsi="Arial"/>
          <w:sz w:val="18"/>
          <w:szCs w:val="18"/>
          <w:color w:val="auto"/>
        </w:rPr>
        <w:t>Voyager Therapeutics, Inc.</w:t>
      </w:r>
    </w:p>
    <w:p>
      <w:pPr>
        <w:spacing w:after="0" w:line="12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have audited the accompanying consolidated balance sheets of Voyager Therapeutics, Inc. as of December 31, 2016 and 2015, and the related consolidated statements of operations and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Voyager Therapeutics, Inc. at December 31, 2016 and 2015, and the consolidated results of its operations and its cash flows for each of the three years in the period ended December 31, 2016, in conformity with U.S. generally accepted accounting principles.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15, 2017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3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Current assets:</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36,641</w:t>
            </w:r>
          </w:p>
        </w:tc>
        <w:tc>
          <w:tcPr>
            <w:tcW w:w="5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Marketable securities, current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137,777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4,368</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178,786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195,894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7,893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non-current assets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Marketable securities, non-current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tcBorders>
              <w:bottom w:val="single" w:sz="8" w:color="CCEEFF"/>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189,566</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229,457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320" w:type="dxa"/>
            <w:vAlign w:val="bottom"/>
          </w:tcPr>
          <w:p>
            <w:pPr>
              <w:spacing w:after="0" w:line="122"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4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5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6,488</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Deferred rent, current portion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revenue, current portion</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6,764</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ind w:left="44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13,802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23,931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net of current portion</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34,818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53,644</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60,383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3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Commitments and contingencies (see note 7)</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20" w:type="dxa"/>
            <w:vAlign w:val="bottom"/>
            <w:shd w:val="clear" w:color="auto" w:fill="CCEEFF"/>
          </w:tcPr>
          <w:p>
            <w:pPr>
              <w:ind w:left="320"/>
              <w:spacing w:after="0" w:line="108" w:lineRule="exact"/>
              <w:rPr>
                <w:sz w:val="20"/>
                <w:szCs w:val="20"/>
                <w:color w:val="auto"/>
              </w:rPr>
            </w:pPr>
            <w:r>
              <w:rPr>
                <w:rFonts w:ascii="Arial" w:cs="Arial" w:eastAsia="Arial" w:hAnsi="Arial"/>
                <w:sz w:val="12"/>
                <w:szCs w:val="12"/>
                <w:color w:val="auto"/>
              </w:rPr>
              <w:t>Preferred stock, $0.001 par value: 5,000,000 shares authorized; 0 shares issued and outstanding at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December 31, 2016 and 2015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320" w:type="dxa"/>
            <w:vAlign w:val="bottom"/>
          </w:tcPr>
          <w:p>
            <w:pPr>
              <w:ind w:left="320"/>
              <w:spacing w:after="0" w:line="108" w:lineRule="exact"/>
              <w:rPr>
                <w:sz w:val="20"/>
                <w:szCs w:val="20"/>
                <w:color w:val="auto"/>
              </w:rPr>
            </w:pPr>
            <w:r>
              <w:rPr>
                <w:rFonts w:ascii="Arial" w:cs="Arial" w:eastAsia="Arial" w:hAnsi="Arial"/>
                <w:sz w:val="12"/>
                <w:szCs w:val="12"/>
                <w:color w:val="auto"/>
              </w:rPr>
              <w:t>Common stock, $0.001 par value: 120,000,000 shares authorized; 25,597,912 and 24,930,979 shares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320"/>
              <w:spacing w:after="0"/>
              <w:rPr>
                <w:sz w:val="20"/>
                <w:szCs w:val="20"/>
                <w:color w:val="auto"/>
              </w:rPr>
            </w:pPr>
            <w:r>
              <w:rPr>
                <w:rFonts w:ascii="Arial" w:cs="Arial" w:eastAsia="Arial" w:hAnsi="Arial"/>
                <w:sz w:val="14"/>
                <w:szCs w:val="14"/>
                <w:color w:val="auto"/>
              </w:rPr>
              <w:t>issued and outstanding at December 31, 2016 and 2015, respectively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225,963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(90,015)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(49,822)</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ind w:left="440"/>
              <w:spacing w:after="0" w:line="142"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135,922</w:t>
            </w:r>
          </w:p>
        </w:tc>
        <w:tc>
          <w:tcPr>
            <w:tcW w:w="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169,074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Borders>
              <w:bottom w:val="single" w:sz="8" w:color="CCEEFF"/>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189,566</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229,457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Collaboration revenue</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14,220</w:t>
            </w:r>
          </w:p>
        </w:tc>
        <w:tc>
          <w:tcPr>
            <w:tcW w:w="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0" w:type="dxa"/>
            <w:vAlign w:val="bottom"/>
          </w:tcPr>
          <w:p>
            <w:pPr>
              <w:spacing w:after="0" w:line="176" w:lineRule="exact"/>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(40,193)</w:t>
            </w:r>
          </w:p>
        </w:tc>
        <w:tc>
          <w:tcPr>
            <w:tcW w:w="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0" w:type="dxa"/>
            <w:vAlign w:val="bottom"/>
          </w:tcPr>
          <w:p>
            <w:pPr>
              <w:ind w:left="220"/>
              <w:spacing w:after="0" w:line="149" w:lineRule="exact"/>
              <w:rPr>
                <w:sz w:val="20"/>
                <w:szCs w:val="20"/>
                <w:color w:val="auto"/>
              </w:rPr>
            </w:pPr>
            <w:r>
              <w:rPr>
                <w:rFonts w:ascii="Arial" w:cs="Arial" w:eastAsia="Arial" w:hAnsi="Arial"/>
                <w:sz w:val="17"/>
                <w:szCs w:val="17"/>
                <w:color w:val="auto"/>
              </w:rPr>
              <w:t>Net unrealized gain (loss) on available-for-sale-securities, net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of tax expense of $128 for the year ended December 31, 2016</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comprehensive loss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Comprehensive loss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(39,994)</w:t>
            </w:r>
          </w:p>
        </w:tc>
        <w:tc>
          <w:tcPr>
            <w:tcW w:w="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Reconciliation of net loss to net loss attributable to common stockholders:</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(40,193)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(16,317)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of redeemable convertible preferred stock to redemption value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dividends on series A preferred stock</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spacing w:after="0" w:line="203" w:lineRule="exact"/>
              <w:rPr>
                <w:sz w:val="20"/>
                <w:szCs w:val="20"/>
                <w:color w:val="auto"/>
              </w:rPr>
            </w:pPr>
            <w:r>
              <w:rPr>
                <w:rFonts w:ascii="Arial" w:cs="Arial" w:eastAsia="Arial" w:hAnsi="Arial"/>
                <w:sz w:val="18"/>
                <w:szCs w:val="18"/>
                <w:color w:val="auto"/>
                <w:w w:val="95"/>
              </w:rPr>
              <w:t>Net loss per share attributable to common stockholders, basic and diluted</w:t>
            </w:r>
          </w:p>
        </w:tc>
        <w:tc>
          <w:tcPr>
            <w:tcW w:w="4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(1.59)</w:t>
            </w:r>
          </w:p>
        </w:tc>
        <w:tc>
          <w:tcPr>
            <w:tcW w:w="60" w:type="dxa"/>
            <w:vAlign w:val="bottom"/>
            <w:vMerge w:val="continue"/>
          </w:tcPr>
          <w:p>
            <w:pPr>
              <w:spacing w:after="0"/>
              <w:rPr>
                <w:sz w:val="18"/>
                <w:szCs w:val="18"/>
                <w:color w:val="auto"/>
              </w:rPr>
            </w:pPr>
          </w:p>
        </w:tc>
        <w:tc>
          <w:tcPr>
            <w:tcW w:w="26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(9.14)</w:t>
            </w: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25,302,414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4,191,210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635,448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Voyager Therapeutics, Inc.</w:t>
      </w:r>
    </w:p>
    <w:p>
      <w:pPr>
        <w:jc w:val="center"/>
        <w:ind w:right="-79"/>
        <w:spacing w:after="0" w:line="203" w:lineRule="auto"/>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Series A</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Series B</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0" w:type="dxa"/>
            <w:vAlign w:val="bottom"/>
            <w:gridSpan w:val="5"/>
            <w:vMerge w:val="restart"/>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Redeemable</w:t>
            </w:r>
          </w:p>
        </w:tc>
        <w:tc>
          <w:tcPr>
            <w:tcW w:w="1460" w:type="dxa"/>
            <w:vAlign w:val="bottom"/>
            <w:gridSpan w:val="4"/>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Redeemable</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2"/>
                <w:szCs w:val="2"/>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3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60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20" w:type="dxa"/>
            <w:vAlign w:val="bottom"/>
            <w:shd w:val="clear" w:color="auto" w:fill="000000"/>
          </w:tcPr>
          <w:p>
            <w:pPr>
              <w:spacing w:after="0"/>
              <w:rPr>
                <w:sz w:val="10"/>
                <w:szCs w:val="10"/>
                <w:color w:val="auto"/>
              </w:rPr>
            </w:pPr>
          </w:p>
        </w:tc>
        <w:tc>
          <w:tcPr>
            <w:tcW w:w="112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w w:val="85"/>
              </w:rPr>
              <w:t>Common Stock</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6"/>
              </w:rPr>
              <w:t>Preferred Stock</w:t>
            </w:r>
          </w:p>
        </w:tc>
        <w:tc>
          <w:tcPr>
            <w:tcW w:w="14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 w:type="dxa"/>
            <w:vAlign w:val="bottom"/>
            <w:shd w:val="clear" w:color="auto" w:fill="000000"/>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Paid-In</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8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tcBorders>
            <w:gridSpan w:val="2"/>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Borders>
              <w:top w:val="single" w:sz="8" w:color="auto"/>
            </w:tcBorders>
            <w:shd w:val="clear" w:color="auto" w:fill="000000"/>
          </w:tcPr>
          <w:p>
            <w:pPr>
              <w:spacing w:after="0"/>
              <w:rPr>
                <w:sz w:val="11"/>
                <w:szCs w:val="11"/>
                <w:color w:val="auto"/>
              </w:rPr>
            </w:pPr>
          </w:p>
        </w:tc>
        <w:tc>
          <w:tcPr>
            <w:tcW w:w="86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8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93"/>
              </w:rPr>
              <w:t>Equity (Deficit)</w:t>
            </w:r>
          </w:p>
        </w:tc>
        <w:tc>
          <w:tcPr>
            <w:tcW w:w="0" w:type="dxa"/>
            <w:vAlign w:val="bottom"/>
          </w:tcPr>
          <w:p>
            <w:pPr>
              <w:spacing w:after="0"/>
              <w:rPr>
                <w:sz w:val="1"/>
                <w:szCs w:val="1"/>
                <w:color w:val="auto"/>
              </w:rPr>
            </w:pPr>
          </w:p>
        </w:tc>
      </w:tr>
      <w:tr>
        <w:trPr>
          <w:trHeight w:val="149"/>
        </w:trPr>
        <w:tc>
          <w:tcPr>
            <w:tcW w:w="23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2013</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2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2,352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(3,833)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for services</w:t>
            </w: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494,118</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251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Initial issuance of Series A redeemable</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Borders>
              <w:lef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convertible preferred stock, including</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exchange of convertible notes payable of</w:t>
            </w: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$2,929 and net of tranche rights of $2,600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6,500,000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3,878</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0"/>
                <w:szCs w:val="10"/>
                <w:color w:val="auto"/>
              </w:rPr>
            </w:pPr>
          </w:p>
        </w:tc>
        <w:tc>
          <w:tcPr>
            <w:tcW w:w="860" w:type="dxa"/>
            <w:vAlign w:val="bottom"/>
            <w:tcBorders>
              <w:lef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issuance costs of $22</w:t>
            </w:r>
          </w:p>
        </w:tc>
        <w:tc>
          <w:tcPr>
            <w:tcW w:w="7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Subsequent issuance of preferred stock, net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18,500,000</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18,491</w:t>
            </w:r>
          </w:p>
        </w:tc>
        <w:tc>
          <w:tcPr>
            <w:tcW w:w="160" w:type="dxa"/>
            <w:vAlign w:val="bottom"/>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of issuance costs of $9</w:t>
            </w: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Reclassification of tranche rights upon</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Borders>
              <w:lef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issuance of Series A redeemable</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(1,756)</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0"/>
                <w:szCs w:val="10"/>
                <w:color w:val="auto"/>
              </w:rPr>
            </w:pPr>
          </w:p>
        </w:tc>
        <w:tc>
          <w:tcPr>
            <w:tcW w:w="860" w:type="dxa"/>
            <w:vAlign w:val="bottom"/>
            <w:tcBorders>
              <w:lef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preferred stock</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3"/>
                <w:szCs w:val="13"/>
                <w:color w:val="auto"/>
              </w:rPr>
              <w:t>Vesting of restricted common stock</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318,364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Accretion of redeemable convertible</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1,366</w:t>
            </w:r>
          </w:p>
        </w:tc>
        <w:tc>
          <w:tcPr>
            <w:tcW w:w="160" w:type="dxa"/>
            <w:vAlign w:val="bottom"/>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(685)</w:t>
            </w:r>
          </w:p>
        </w:tc>
        <w:tc>
          <w:tcPr>
            <w:tcW w:w="8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(681)</w:t>
            </w:r>
          </w:p>
        </w:tc>
        <w:tc>
          <w:tcPr>
            <w:tcW w:w="240" w:type="dxa"/>
            <w:vAlign w:val="bottom"/>
          </w:tcPr>
          <w:p>
            <w:pPr>
              <w:spacing w:after="0"/>
              <w:rPr>
                <w:sz w:val="8"/>
                <w:szCs w:val="8"/>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(1,366)</w:t>
            </w: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preferred stock to redemption value</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(16,317)</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(16,317)</w:t>
            </w:r>
          </w:p>
        </w:tc>
        <w:tc>
          <w:tcPr>
            <w:tcW w:w="0" w:type="dxa"/>
            <w:vAlign w:val="bottom"/>
          </w:tcPr>
          <w:p>
            <w:pPr>
              <w:spacing w:after="0"/>
              <w:rPr>
                <w:sz w:val="1"/>
                <w:szCs w:val="1"/>
                <w:color w:val="auto"/>
              </w:rPr>
            </w:pPr>
          </w:p>
        </w:tc>
      </w:tr>
      <w:tr>
        <w:trPr>
          <w:trHeight w:val="136"/>
        </w:trPr>
        <w:tc>
          <w:tcPr>
            <w:tcW w:w="23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2014</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25,000,000</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21,979</w:t>
            </w:r>
          </w:p>
        </w:tc>
        <w:tc>
          <w:tcPr>
            <w:tcW w:w="1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814,834</w:t>
            </w:r>
          </w:p>
        </w:tc>
        <w:tc>
          <w:tcPr>
            <w:tcW w:w="14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(20,831)</w:t>
            </w:r>
          </w:p>
        </w:tc>
        <w:tc>
          <w:tcPr>
            <w:tcW w:w="1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(20,830)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Issuance of Series A preferred stock, net of</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19,999</w:t>
            </w:r>
          </w:p>
        </w:tc>
        <w:tc>
          <w:tcPr>
            <w:tcW w:w="160" w:type="dxa"/>
            <w:vAlign w:val="bottom"/>
            <w:shd w:val="clear" w:color="auto" w:fill="CCEEFF"/>
          </w:tcPr>
          <w:p>
            <w:pPr>
              <w:spacing w:after="0"/>
              <w:rPr>
                <w:sz w:val="7"/>
                <w:szCs w:val="7"/>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7"/>
                <w:szCs w:val="7"/>
                <w:color w:val="auto"/>
              </w:rPr>
            </w:pPr>
          </w:p>
        </w:tc>
        <w:tc>
          <w:tcPr>
            <w:tcW w:w="5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7"/>
                <w:szCs w:val="7"/>
                <w:color w:val="auto"/>
              </w:rPr>
            </w:pPr>
          </w:p>
        </w:tc>
        <w:tc>
          <w:tcPr>
            <w:tcW w:w="860" w:type="dxa"/>
            <w:vAlign w:val="bottom"/>
            <w:tcBorders>
              <w:lef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7"/>
                <w:szCs w:val="7"/>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7"/>
                <w:szCs w:val="7"/>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$1</w:t>
            </w:r>
          </w:p>
        </w:tc>
        <w:tc>
          <w:tcPr>
            <w:tcW w:w="7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Reclassification of tranche rights upon</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16,055</w:t>
            </w:r>
          </w:p>
        </w:tc>
        <w:tc>
          <w:tcPr>
            <w:tcW w:w="160" w:type="dxa"/>
            <w:vAlign w:val="bottom"/>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issuance of preferred stock</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Issuance of Series B preferred stock, net of</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Borders>
              <w:lef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discount of $5,000 and issuance costs of</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30,000,001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84,780</w:t>
            </w:r>
          </w:p>
        </w:tc>
        <w:tc>
          <w:tcPr>
            <w:tcW w:w="20" w:type="dxa"/>
            <w:vAlign w:val="bottom"/>
            <w:shd w:val="clear" w:color="auto" w:fill="000000"/>
          </w:tcPr>
          <w:p>
            <w:pPr>
              <w:spacing w:after="0"/>
              <w:rPr>
                <w:sz w:val="10"/>
                <w:szCs w:val="10"/>
                <w:color w:val="auto"/>
              </w:rPr>
            </w:pPr>
          </w:p>
        </w:tc>
        <w:tc>
          <w:tcPr>
            <w:tcW w:w="860" w:type="dxa"/>
            <w:vAlign w:val="bottom"/>
            <w:tcBorders>
              <w:lef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$220</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3"/>
                <w:szCs w:val="13"/>
                <w:color w:val="auto"/>
              </w:rPr>
              <w:t>Vesting of restricted stock</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717,747</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Exercises of vested stock options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720" w:type="dxa"/>
            <w:vAlign w:val="bottom"/>
            <w:tcBorders>
              <w:lef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initial</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20"/>
              <w:spacing w:after="0" w:line="122" w:lineRule="exact"/>
              <w:rPr>
                <w:sz w:val="20"/>
                <w:szCs w:val="20"/>
                <w:color w:val="auto"/>
              </w:rPr>
            </w:pPr>
            <w:r>
              <w:rPr>
                <w:rFonts w:ascii="Arial" w:cs="Arial" w:eastAsia="Arial" w:hAnsi="Arial"/>
                <w:sz w:val="13"/>
                <w:szCs w:val="13"/>
                <w:color w:val="auto"/>
              </w:rPr>
              <w:t>public offering (net of underwriters,</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5,750,000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72,948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72,954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discounts, and issuance costs)</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Unrealized loss on available-for-sale</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8"/>
                <w:szCs w:val="8"/>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securities, net of tax</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Accretion of preferred stock to redemption</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16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5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5,225</w:t>
            </w:r>
          </w:p>
        </w:tc>
        <w:tc>
          <w:tcPr>
            <w:tcW w:w="20" w:type="dxa"/>
            <w:vAlign w:val="bottom"/>
            <w:shd w:val="clear" w:color="auto" w:fill="000000"/>
          </w:tcPr>
          <w:p>
            <w:pPr>
              <w:spacing w:after="0"/>
              <w:rPr>
                <w:sz w:val="8"/>
                <w:szCs w:val="8"/>
                <w:color w:val="auto"/>
              </w:rPr>
            </w:pPr>
          </w:p>
        </w:tc>
        <w:tc>
          <w:tcPr>
            <w:tcW w:w="860" w:type="dxa"/>
            <w:vAlign w:val="bottom"/>
            <w:tcBorders>
              <w:lef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(2,560)</w:t>
            </w: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(4,813)</w:t>
            </w:r>
          </w:p>
        </w:tc>
        <w:tc>
          <w:tcPr>
            <w:tcW w:w="24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(7,373)</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value</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tcBorders>
              <w:left w:val="single" w:sz="8" w:color="CCEEFF"/>
            </w:tcBorders>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Conversion of redeemable convertible</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4"/>
              </w:rPr>
              <w:t>(45,000,000)</w:t>
            </w:r>
          </w:p>
        </w:tc>
        <w:tc>
          <w:tcPr>
            <w:tcW w:w="6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9"/>
              </w:rPr>
              <w:t>(60,182)</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4"/>
              </w:rPr>
              <w:t>(30,000,001)</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0"/>
              </w:rPr>
              <w:t>(90,005)</w:t>
            </w:r>
          </w:p>
        </w:tc>
        <w:tc>
          <w:tcPr>
            <w:tcW w:w="20" w:type="dxa"/>
            <w:vAlign w:val="bottom"/>
            <w:shd w:val="clear" w:color="auto" w:fill="000000"/>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17,647,054</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96"/>
              </w:rPr>
              <w:t>18</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3"/>
              </w:rPr>
              <w:t>144,675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5,494</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150,187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preferred stock to common stock</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(29,672)</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(29,672)</w:t>
            </w:r>
          </w:p>
        </w:tc>
        <w:tc>
          <w:tcPr>
            <w:tcW w:w="0" w:type="dxa"/>
            <w:vAlign w:val="bottom"/>
          </w:tcPr>
          <w:p>
            <w:pPr>
              <w:spacing w:after="0"/>
              <w:rPr>
                <w:sz w:val="1"/>
                <w:szCs w:val="1"/>
                <w:color w:val="auto"/>
              </w:rPr>
            </w:pPr>
          </w:p>
        </w:tc>
      </w:tr>
      <w:tr>
        <w:trPr>
          <w:trHeight w:val="136"/>
        </w:trPr>
        <w:tc>
          <w:tcPr>
            <w:tcW w:w="23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2015</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24,930,979</w:t>
            </w:r>
          </w:p>
        </w:tc>
        <w:tc>
          <w:tcPr>
            <w:tcW w:w="14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25</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219,122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(251)</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(49,822)</w:t>
            </w:r>
          </w:p>
        </w:tc>
        <w:tc>
          <w:tcPr>
            <w:tcW w:w="1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169,074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Vesting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720" w:type="dxa"/>
            <w:vAlign w:val="bottom"/>
            <w:tcBorders>
              <w:lef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601,501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Arial" w:cs="Arial" w:eastAsia="Arial" w:hAnsi="Arial"/>
                <w:sz w:val="13"/>
                <w:szCs w:val="13"/>
                <w:color w:val="auto"/>
              </w:rPr>
              <w:t>Exercises of vested stock options</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65,432</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Stock-based compensation expense</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Arial" w:cs="Arial" w:eastAsia="Arial" w:hAnsi="Arial"/>
                <w:sz w:val="9"/>
                <w:szCs w:val="9"/>
                <w:color w:val="auto"/>
              </w:rPr>
              <w:t>Unrealized loss on available-for-sale</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8"/>
                <w:szCs w:val="8"/>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199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199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20"/>
              <w:spacing w:after="0"/>
              <w:rPr>
                <w:sz w:val="20"/>
                <w:szCs w:val="20"/>
                <w:color w:val="auto"/>
              </w:rPr>
            </w:pPr>
            <w:r>
              <w:rPr>
                <w:rFonts w:ascii="Arial" w:cs="Arial" w:eastAsia="Arial" w:hAnsi="Arial"/>
                <w:sz w:val="13"/>
                <w:szCs w:val="13"/>
                <w:color w:val="auto"/>
              </w:rPr>
              <w:t>securities, net of tax</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60" w:type="dxa"/>
            <w:vAlign w:val="bottom"/>
            <w:tcBorders>
              <w:left w:val="single" w:sz="8" w:color="CCEEFF"/>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(40,193)</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(40,193)</w:t>
            </w:r>
          </w:p>
        </w:tc>
        <w:tc>
          <w:tcPr>
            <w:tcW w:w="0" w:type="dxa"/>
            <w:vAlign w:val="bottom"/>
          </w:tcPr>
          <w:p>
            <w:pPr>
              <w:spacing w:after="0"/>
              <w:rPr>
                <w:sz w:val="1"/>
                <w:szCs w:val="1"/>
                <w:color w:val="auto"/>
              </w:rPr>
            </w:pPr>
          </w:p>
        </w:tc>
      </w:tr>
      <w:tr>
        <w:trPr>
          <w:trHeight w:val="136"/>
        </w:trPr>
        <w:tc>
          <w:tcPr>
            <w:tcW w:w="23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2016</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25,597,912</w:t>
            </w:r>
          </w:p>
        </w:tc>
        <w:tc>
          <w:tcPr>
            <w:tcW w:w="14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26</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225,963</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(90,015)</w:t>
            </w:r>
          </w:p>
        </w:tc>
        <w:tc>
          <w:tcPr>
            <w:tcW w:w="1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135,922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112" w:right="75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Voyager Therapeutics, Inc.</w:t>
      </w:r>
    </w:p>
    <w:p>
      <w:pPr>
        <w:jc w:val="center"/>
        <w:ind w:right="-199"/>
        <w:spacing w:after="0" w:line="203" w:lineRule="auto"/>
        <w:rPr>
          <w:sz w:val="20"/>
          <w:szCs w:val="20"/>
          <w:color w:val="auto"/>
        </w:rPr>
      </w:pPr>
      <w:r>
        <w:rPr>
          <w:rFonts w:ascii="Arial" w:cs="Arial" w:eastAsia="Arial" w:hAnsi="Arial"/>
          <w:sz w:val="18"/>
          <w:szCs w:val="18"/>
          <w:b w:val="1"/>
          <w:bCs w:val="1"/>
          <w:color w:val="auto"/>
        </w:rPr>
        <w:t>Condensed Statements of Cash Flows</w:t>
      </w:r>
    </w:p>
    <w:p>
      <w:pPr>
        <w:jc w:val="center"/>
        <w:ind w:right="-199"/>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(40,193)</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(29,672)</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20" w:type="dxa"/>
            <w:vAlign w:val="bottom"/>
          </w:tcPr>
          <w:p>
            <w:pPr>
              <w:spacing w:after="0" w:line="135"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premiums and discounts on marketable securities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Change in fair value of preferred stock tranche liability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interest on convertible promissory notes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Expense related to shares issued in connection with services performed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In-kind research and development expenses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Other non-cash items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52,666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Lease incentive benefit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(42,482)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41,299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 from investing activities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(220,399)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Proceeds from maturities or sales of marketable securities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26,660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92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47,300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(194,769)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(3,302)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 from financing activities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Proceeds from the issuance of redeemable convertible preferred stock net of discount and issuance</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104,779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common stock and restricted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72,955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177,744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31,309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7,035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36,641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31,309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7,035</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920" w:type="dxa"/>
            <w:vAlign w:val="bottom"/>
          </w:tcPr>
          <w:p>
            <w:pPr>
              <w:spacing w:after="0" w:line="122" w:lineRule="exact"/>
              <w:rPr>
                <w:sz w:val="20"/>
                <w:szCs w:val="20"/>
                <w:color w:val="auto"/>
              </w:rPr>
            </w:pPr>
            <w:r>
              <w:rPr>
                <w:rFonts w:ascii="Arial" w:cs="Arial" w:eastAsia="Arial" w:hAnsi="Arial"/>
                <w:sz w:val="14"/>
                <w:szCs w:val="14"/>
                <w:b w:val="1"/>
                <w:bCs w:val="1"/>
                <w:color w:val="auto"/>
              </w:rPr>
              <w:t>Supplemental disclosure of cash and non-cash activities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Accretion of redeemable convertible preferred stock to redemption value</w:t>
            </w:r>
          </w:p>
        </w:tc>
        <w:tc>
          <w:tcPr>
            <w:tcW w:w="4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7,373</w:t>
            </w:r>
          </w:p>
        </w:tc>
        <w:tc>
          <w:tcPr>
            <w:tcW w:w="100" w:type="dxa"/>
            <w:vAlign w:val="bottom"/>
          </w:tcPr>
          <w:p>
            <w:pPr>
              <w:spacing w:after="0"/>
              <w:rPr>
                <w:sz w:val="12"/>
                <w:szCs w:val="12"/>
                <w:color w:val="auto"/>
              </w:rPr>
            </w:pPr>
          </w:p>
        </w:tc>
        <w:tc>
          <w:tcPr>
            <w:tcW w:w="2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9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Exchange of promissory notes payable and accrued interest into Series A redeemable convertible</w:t>
            </w:r>
          </w:p>
        </w:tc>
        <w:tc>
          <w:tcPr>
            <w:tcW w:w="4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and tranche rights</w:t>
            </w:r>
          </w:p>
        </w:tc>
        <w:tc>
          <w:tcPr>
            <w:tcW w:w="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920" w:type="dxa"/>
            <w:vAlign w:val="bottom"/>
          </w:tcPr>
          <w:p>
            <w:pPr>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150,187</w:t>
            </w:r>
          </w:p>
        </w:tc>
        <w:tc>
          <w:tcPr>
            <w:tcW w:w="100" w:type="dxa"/>
            <w:vAlign w:val="bottom"/>
          </w:tcPr>
          <w:p>
            <w:pPr>
              <w:spacing w:after="0"/>
              <w:rPr>
                <w:sz w:val="16"/>
                <w:szCs w:val="16"/>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VOYAGER THERAPEUTICS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Voyager Therapeutics, Inc. (“the Company”) is a clinical</w:t>
      </w:r>
      <w:r>
        <w:rPr>
          <w:rFonts w:ascii="MS PGothic" w:cs="MS PGothic" w:eastAsia="MS PGothic" w:hAnsi="MS PGothic"/>
          <w:sz w:val="17"/>
          <w:szCs w:val="17"/>
          <w:color w:val="auto"/>
        </w:rPr>
        <w:t>‑</w:t>
      </w:r>
      <w:r>
        <w:rPr>
          <w:rFonts w:ascii="Arial" w:cs="Arial" w:eastAsia="Arial" w:hAnsi="Arial"/>
          <w:sz w:val="17"/>
          <w:szCs w:val="17"/>
          <w:color w:val="auto"/>
        </w:rPr>
        <w:t>stage gene therapy company focused on developing</w:t>
      </w:r>
    </w:p>
    <w:p>
      <w:pPr>
        <w:spacing w:after="0" w:line="176" w:lineRule="exact"/>
        <w:rPr>
          <w:sz w:val="20"/>
          <w:szCs w:val="20"/>
          <w:color w:val="auto"/>
        </w:rPr>
      </w:pPr>
      <w:r>
        <w:rPr>
          <w:rFonts w:ascii="Arial" w:cs="Arial" w:eastAsia="Arial" w:hAnsi="Arial"/>
          <w:sz w:val="16"/>
          <w:szCs w:val="16"/>
          <w:color w:val="auto"/>
        </w:rPr>
        <w:t>life</w:t>
      </w:r>
      <w:r>
        <w:rPr>
          <w:rFonts w:ascii="MS PGothic" w:cs="MS PGothic" w:eastAsia="MS PGothic" w:hAnsi="MS PGothic"/>
          <w:sz w:val="16"/>
          <w:szCs w:val="16"/>
          <w:color w:val="auto"/>
        </w:rPr>
        <w:t>‑</w:t>
      </w:r>
      <w:r>
        <w:rPr>
          <w:rFonts w:ascii="Arial" w:cs="Arial" w:eastAsia="Arial" w:hAnsi="Arial"/>
          <w:sz w:val="16"/>
          <w:szCs w:val="16"/>
          <w:color w:val="auto"/>
        </w:rPr>
        <w:t>changing treatments for patients suffering from severe diseases of the central nervous system (the “CNS”). The Company</w:t>
      </w:r>
    </w:p>
    <w:p>
      <w:pPr>
        <w:spacing w:after="0" w:line="176" w:lineRule="exact"/>
        <w:rPr>
          <w:sz w:val="20"/>
          <w:szCs w:val="20"/>
          <w:color w:val="auto"/>
        </w:rPr>
      </w:pPr>
      <w:r>
        <w:rPr>
          <w:rFonts w:ascii="Arial" w:cs="Arial" w:eastAsia="Arial" w:hAnsi="Arial"/>
          <w:sz w:val="17"/>
          <w:szCs w:val="17"/>
          <w:color w:val="auto"/>
        </w:rPr>
        <w:t>focuses on CNS diseases where it believes that an adeno</w:t>
      </w:r>
      <w:r>
        <w:rPr>
          <w:rFonts w:ascii="MS PGothic" w:cs="MS PGothic" w:eastAsia="MS PGothic" w:hAnsi="MS PGothic"/>
          <w:sz w:val="17"/>
          <w:szCs w:val="17"/>
          <w:color w:val="auto"/>
        </w:rPr>
        <w:t>‑</w:t>
      </w:r>
      <w:r>
        <w:rPr>
          <w:rFonts w:ascii="Arial" w:cs="Arial" w:eastAsia="Arial" w:hAnsi="Arial"/>
          <w:sz w:val="17"/>
          <w:szCs w:val="17"/>
          <w:color w:val="auto"/>
        </w:rPr>
        <w:t>associated virus (“AAV”) gene therapy approach can have a</w:t>
      </w:r>
    </w:p>
    <w:p>
      <w:pPr>
        <w:spacing w:after="0" w:line="216" w:lineRule="auto"/>
        <w:rPr>
          <w:sz w:val="20"/>
          <w:szCs w:val="20"/>
          <w:color w:val="auto"/>
        </w:rPr>
      </w:pPr>
      <w:r>
        <w:rPr>
          <w:rFonts w:ascii="Arial" w:cs="Arial" w:eastAsia="Arial" w:hAnsi="Arial"/>
          <w:sz w:val="17"/>
          <w:szCs w:val="17"/>
          <w:color w:val="auto"/>
        </w:rPr>
        <w:t>clinically meaningful impact by either increasing or decreasing the production of a specific protein. The Company has</w:t>
      </w:r>
    </w:p>
    <w:p>
      <w:pPr>
        <w:spacing w:after="0" w:line="176" w:lineRule="exact"/>
        <w:rPr>
          <w:sz w:val="20"/>
          <w:szCs w:val="20"/>
          <w:color w:val="auto"/>
        </w:rPr>
      </w:pPr>
      <w:r>
        <w:rPr>
          <w:rFonts w:ascii="Arial" w:cs="Arial" w:eastAsia="Arial" w:hAnsi="Arial"/>
          <w:sz w:val="16"/>
          <w:szCs w:val="16"/>
          <w:color w:val="auto"/>
        </w:rPr>
        <w:t>created a product engine that enables it to engineer, optimize, manufacture and deliver its AAV</w:t>
      </w:r>
      <w:r>
        <w:rPr>
          <w:rFonts w:ascii="MS PGothic" w:cs="MS PGothic" w:eastAsia="MS PGothic" w:hAnsi="MS PGothic"/>
          <w:sz w:val="16"/>
          <w:szCs w:val="16"/>
          <w:color w:val="auto"/>
        </w:rPr>
        <w:t>‑</w:t>
      </w:r>
      <w:r>
        <w:rPr>
          <w:rFonts w:ascii="Arial" w:cs="Arial" w:eastAsia="Arial" w:hAnsi="Arial"/>
          <w:sz w:val="16"/>
          <w:szCs w:val="16"/>
          <w:color w:val="auto"/>
        </w:rPr>
        <w:t>based gene therapies that</w:t>
      </w:r>
    </w:p>
    <w:p>
      <w:pPr>
        <w:spacing w:after="0" w:line="229" w:lineRule="auto"/>
        <w:rPr>
          <w:sz w:val="20"/>
          <w:szCs w:val="20"/>
          <w:color w:val="auto"/>
        </w:rPr>
      </w:pPr>
      <w:r>
        <w:rPr>
          <w:rFonts w:ascii="Arial" w:cs="Arial" w:eastAsia="Arial" w:hAnsi="Arial"/>
          <w:sz w:val="16"/>
          <w:szCs w:val="16"/>
          <w:color w:val="auto"/>
        </w:rPr>
        <w:t>have the potential to provide durable efficacy following a single administration directly to the CNS. The Company’s pipeline</w:t>
      </w:r>
    </w:p>
    <w:p>
      <w:pPr>
        <w:spacing w:after="0" w:line="215" w:lineRule="auto"/>
        <w:rPr>
          <w:sz w:val="20"/>
          <w:szCs w:val="20"/>
          <w:color w:val="auto"/>
        </w:rPr>
      </w:pPr>
      <w:r>
        <w:rPr>
          <w:rFonts w:ascii="Arial" w:cs="Arial" w:eastAsia="Arial" w:hAnsi="Arial"/>
          <w:sz w:val="17"/>
          <w:szCs w:val="17"/>
          <w:color w:val="auto"/>
        </w:rPr>
        <w:t>consists of six programs for CNS indications, including advanced Parkinson's disease; a monogenic form of amyotrophic</w:t>
      </w:r>
    </w:p>
    <w:p>
      <w:pPr>
        <w:spacing w:after="0" w:line="216" w:lineRule="auto"/>
        <w:rPr>
          <w:sz w:val="20"/>
          <w:szCs w:val="20"/>
          <w:color w:val="auto"/>
        </w:rPr>
      </w:pPr>
      <w:r>
        <w:rPr>
          <w:rFonts w:ascii="Arial" w:cs="Arial" w:eastAsia="Arial" w:hAnsi="Arial"/>
          <w:sz w:val="17"/>
          <w:szCs w:val="17"/>
          <w:color w:val="auto"/>
        </w:rPr>
        <w:t>lateral sclerosis; Huntington's disease; Friedreich's ataxia; frontotemporal dementia / Alzheimer’s disease; and severe,</w:t>
      </w:r>
    </w:p>
    <w:p>
      <w:pPr>
        <w:spacing w:after="0"/>
        <w:rPr>
          <w:sz w:val="20"/>
          <w:szCs w:val="20"/>
          <w:color w:val="auto"/>
        </w:rPr>
      </w:pPr>
      <w:r>
        <w:rPr>
          <w:rFonts w:ascii="Arial" w:cs="Arial" w:eastAsia="Arial" w:hAnsi="Arial"/>
          <w:sz w:val="18"/>
          <w:szCs w:val="18"/>
          <w:color w:val="auto"/>
        </w:rPr>
        <w:t>chronic pain.</w:t>
      </w:r>
    </w:p>
    <w:p>
      <w:pPr>
        <w:spacing w:after="0" w:line="169" w:lineRule="exact"/>
        <w:rPr>
          <w:sz w:val="20"/>
          <w:szCs w:val="20"/>
          <w:color w:val="auto"/>
        </w:rPr>
      </w:pPr>
    </w:p>
    <w:p>
      <w:pPr>
        <w:ind w:right="120" w:firstLine="648"/>
        <w:spacing w:after="0" w:line="183" w:lineRule="exact"/>
        <w:rPr>
          <w:sz w:val="20"/>
          <w:szCs w:val="20"/>
          <w:color w:val="auto"/>
        </w:rPr>
      </w:pPr>
      <w:r>
        <w:rPr>
          <w:rFonts w:ascii="Arial" w:cs="Arial" w:eastAsia="Arial" w:hAnsi="Arial"/>
          <w:sz w:val="18"/>
          <w:szCs w:val="18"/>
          <w:color w:val="auto"/>
        </w:rPr>
        <w:t>The Company is devoting substantially all of its efforts to product research and development, market development, and raising capital. The Company is subject to risks common to companies in the biotechnology and gene therapy industry, including but not limited to, risks of failure of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the need to obtain marketing approval for its drug product candidates, the need to successfully commercialize and gain market acceptance of its drug product candidates, dependence on key personnel, protection of proprietary technology, compliance with government regulations, development by competitors of technological innovations and ability to transition from pilot</w:t>
      </w:r>
      <w:r>
        <w:rPr>
          <w:rFonts w:ascii="MS PGothic" w:cs="MS PGothic" w:eastAsia="MS PGothic" w:hAnsi="MS PGothic"/>
          <w:sz w:val="18"/>
          <w:szCs w:val="18"/>
          <w:color w:val="auto"/>
        </w:rPr>
        <w:t>‑</w:t>
      </w:r>
      <w:r>
        <w:rPr>
          <w:rFonts w:ascii="Arial" w:cs="Arial" w:eastAsia="Arial" w:hAnsi="Arial"/>
          <w:sz w:val="18"/>
          <w:szCs w:val="18"/>
          <w:color w:val="auto"/>
        </w:rPr>
        <w:t>scale manufacturing to large</w:t>
      </w:r>
      <w:r>
        <w:rPr>
          <w:rFonts w:ascii="MS PGothic" w:cs="MS PGothic" w:eastAsia="MS PGothic" w:hAnsi="MS PGothic"/>
          <w:sz w:val="18"/>
          <w:szCs w:val="18"/>
          <w:color w:val="auto"/>
        </w:rPr>
        <w:t>‑</w:t>
      </w:r>
      <w:r>
        <w:rPr>
          <w:rFonts w:ascii="Arial" w:cs="Arial" w:eastAsia="Arial" w:hAnsi="Arial"/>
          <w:sz w:val="18"/>
          <w:szCs w:val="18"/>
          <w:color w:val="auto"/>
        </w:rPr>
        <w:t>scale production of products.</w:t>
      </w:r>
    </w:p>
    <w:p>
      <w:pPr>
        <w:spacing w:after="0" w:line="165"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The Company has incurred annual net operating losses in every year since inception. As of December 31, 2016, the Company had incurred losses of $90.0 million. The Company has not generated any product revenues and has financed its operations primarily through public offerings and private placements of its equity securities and funding from its collaboration with Sanofi-Genzyme. There can be no assurance that the Company will be able to obtain additional debt or equity financing or generate product revenue or revenue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Voyager Securities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6"/>
          <w:szCs w:val="16"/>
          <w:color w:val="auto"/>
        </w:rPr>
        <w:t>On November 16, 2015, the Company completed the sale of 5,750,000 shares of its common stock in its initial public offering (the “IPO”), at a price to the public of $14.00 per share, resulting in net proceeds to the Company of $72.9 million after deducting underwriting discounts and commissions and offering expenses payable by the Company.</w:t>
      </w:r>
    </w:p>
    <w:p>
      <w:pPr>
        <w:spacing w:after="0" w:line="10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On October 29, 2015, in preparation for the Company’s IPO, the Company’s Board of Directors and stockholders approved a 1-for-4.25 reverse split of the Company’s common stock, which became effective on October 29, 2015. All share and per share amounts in the financial statements and notes thereto have been retroactively adjusted for all periods presented to give effect to this reverse split, including reclassifying an amount equal to the reduction in par value of common stock to additional paid-in capital.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66"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Upon the closing of the IPO, all of the Company’s outstanding redeemable convertible preferred stock automatically converted into shares of common stock, resulting in the issuance of an additional 17,647,054 shares of common stock. The significant increase in shares outstanding in November 2015 is expected to impact the year-over-year comparability of the Company’s net loss per share calculations.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valuation of the tranche rights,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taxes and the fair value of common stock. The Company bases its estimates on historical experience and other market specific or other relevant assumptions that it believes to be reasonable under the circumstances. Actual results may differ from those estimates or assumptions.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163" w:lineRule="exact"/>
        <w:rPr>
          <w:sz w:val="20"/>
          <w:szCs w:val="20"/>
          <w:color w:val="auto"/>
        </w:rPr>
      </w:pPr>
    </w:p>
    <w:p>
      <w:pPr>
        <w:ind w:left="740" w:hanging="89"/>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198" w:lineRule="exact"/>
        <w:rPr>
          <w:rFonts w:ascii="Arial" w:cs="Arial" w:eastAsia="Arial" w:hAnsi="Arial"/>
          <w:sz w:val="18"/>
          <w:szCs w:val="18"/>
          <w:color w:val="auto"/>
        </w:rPr>
      </w:pPr>
    </w:p>
    <w:p>
      <w:pPr>
        <w:ind w:left="740" w:right="240" w:hanging="89"/>
        <w:spacing w:after="0" w:line="246"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inputs that are either directly or indirectly observable, such as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interest rates, and yield curves.</w:t>
      </w:r>
    </w:p>
    <w:p>
      <w:pPr>
        <w:spacing w:after="0" w:line="169" w:lineRule="exact"/>
        <w:rPr>
          <w:rFonts w:ascii="Arial" w:cs="Arial" w:eastAsia="Arial" w:hAnsi="Arial"/>
          <w:sz w:val="18"/>
          <w:szCs w:val="18"/>
          <w:color w:val="auto"/>
        </w:rPr>
      </w:pPr>
    </w:p>
    <w:p>
      <w:pPr>
        <w:ind w:left="740" w:right="20" w:hanging="89"/>
        <w:spacing w:after="0" w:line="246"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developed using estimates of assumptions developed by the Company, which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those that a market participant would use.</w:t>
      </w:r>
    </w:p>
    <w:p>
      <w:pPr>
        <w:spacing w:after="0" w:line="170"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400" w:firstLine="648"/>
        <w:spacing w:after="0" w:line="203" w:lineRule="exact"/>
        <w:rPr>
          <w:sz w:val="20"/>
          <w:szCs w:val="20"/>
          <w:color w:val="auto"/>
        </w:rPr>
      </w:pPr>
      <w:r>
        <w:rPr>
          <w:rFonts w:ascii="Arial" w:cs="Arial" w:eastAsia="Arial" w:hAnsi="Arial"/>
          <w:sz w:val="15"/>
          <w:szCs w:val="15"/>
          <w:color w:val="auto"/>
        </w:rPr>
        <w:t>The carrying amounts reflected in the balance sheets for cash and cash equivalents, prepaid expenses and other current assets, accounts payable and accrued expenses approximate their fair values, due to their short</w:t>
      </w:r>
      <w:r>
        <w:rPr>
          <w:rFonts w:ascii="MS PGothic" w:cs="MS PGothic" w:eastAsia="MS PGothic" w:hAnsi="MS PGothic"/>
          <w:sz w:val="15"/>
          <w:szCs w:val="15"/>
          <w:color w:val="auto"/>
        </w:rPr>
        <w:t>‑</w:t>
      </w:r>
      <w:r>
        <w:rPr>
          <w:rFonts w:ascii="Arial" w:cs="Arial" w:eastAsia="Arial" w:hAnsi="Arial"/>
          <w:sz w:val="15"/>
          <w:szCs w:val="15"/>
          <w:color w:val="auto"/>
        </w:rPr>
        <w: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classifies marketable debt securities with a remaining maturity when purchased of greater than three months as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Marketable debt securities with a remaining maturity date greater than one year and marketable equity securities are classified as non</w:t>
      </w:r>
      <w:r>
        <w:rPr>
          <w:rFonts w:ascii="MS PGothic" w:cs="MS PGothic" w:eastAsia="MS PGothic" w:hAnsi="MS PGothic"/>
          <w:sz w:val="16"/>
          <w:szCs w:val="16"/>
          <w:color w:val="auto"/>
        </w:rPr>
        <w:t>‑</w:t>
      </w:r>
      <w:r>
        <w:rPr>
          <w:rFonts w:ascii="Arial" w:cs="Arial" w:eastAsia="Arial" w:hAnsi="Arial"/>
          <w:sz w:val="16"/>
          <w:szCs w:val="16"/>
          <w:color w:val="auto"/>
        </w:rPr>
        <w:t>current where the Company has the intent and ability to hold these securities for at least the next 12 months. During 2016, the Company invested in a supplier and received common stock and warrants to purchase common stock in that entity. The common stock is considered an available-for-sale marketable equity security and is included in non-current marketable securities and the warrants are included in non-current assets.</w:t>
      </w:r>
    </w:p>
    <w:p>
      <w:pPr>
        <w:spacing w:after="0" w:line="166"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2016 and 2015, there were no realized gains or losses on sales of investments, and no investments were adjusted for other than temporary declines in fair value</w:t>
      </w:r>
    </w:p>
    <w:p>
      <w:pPr>
        <w:spacing w:after="0" w:line="163"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maintained by an investment manager and may consist of U.S. Treasury securities and U.S. government agency securities.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carried at fair value with the unrealized gains and losses included in other comprehensive income as a component of stockholders’ equity (deficit)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and, if so, recognizes the unrealized loss through a charge to the Company’s statement of operations and comprehensive loss.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cash equivalents, and marketable securities as of December 31, 2016 and 2015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Losses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8"/>
                <w:szCs w:val="18"/>
                <w:color w:val="auto"/>
              </w:rPr>
              <w:t>(in thousands)</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7"/>
              </w:rPr>
              <w:t>Money market funds included in 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Government agency bonds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debt securities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137,777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money market funds and marketable securities</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175,064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175,140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7"/>
              </w:rPr>
              <w:t>Money market funds included in 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U.S. Treasury notes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157,981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bonds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193,287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193,036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money market funds and marketable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222,637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The estimated fair value of the Company’s marketable securities balance at December 31, 2016, by contractual maturity, is as follows:</w:t>
      </w:r>
    </w:p>
    <w:p>
      <w:pPr>
        <w:spacing w:after="0" w:line="189" w:lineRule="exact"/>
        <w:rPr>
          <w:sz w:val="20"/>
          <w:szCs w:val="20"/>
          <w:color w:val="auto"/>
        </w:rPr>
      </w:pPr>
    </w:p>
    <w:p>
      <w:pPr>
        <w:spacing w:after="0"/>
        <w:tabs>
          <w:tab w:leader="none" w:pos="5200" w:val="left"/>
          <w:tab w:leader="none" w:pos="6440" w:val="left"/>
        </w:tabs>
        <w:rPr>
          <w:sz w:val="20"/>
          <w:szCs w:val="20"/>
          <w:color w:val="auto"/>
        </w:rPr>
      </w:pPr>
      <w:r>
        <w:rPr>
          <w:rFonts w:ascii="Arial" w:cs="Arial" w:eastAsia="Arial" w:hAnsi="Arial"/>
          <w:sz w:val="18"/>
          <w:szCs w:val="18"/>
          <w:color w:val="auto"/>
        </w:rPr>
        <w:t>Due in one year or less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137,777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9676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180" w:firstLine="648"/>
        <w:spacing w:after="0" w:line="258" w:lineRule="auto"/>
        <w:rPr>
          <w:sz w:val="20"/>
          <w:szCs w:val="20"/>
          <w:color w:val="auto"/>
        </w:rPr>
      </w:pPr>
      <w:r>
        <w:rPr>
          <w:rFonts w:ascii="Arial" w:cs="Arial" w:eastAsia="Arial" w:hAnsi="Arial"/>
          <w:sz w:val="17"/>
          <w:szCs w:val="17"/>
          <w:color w:val="auto"/>
        </w:rPr>
        <w:t>At December 31, 2016 and 2015, the Company maintained restricted cash totaling approximately $0.7 million and $0.3 million, respectively, held in the form of money market accounts as collateral for the Company’s facility lease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03" w:lineRule="exact"/>
        <w:rPr>
          <w:sz w:val="20"/>
          <w:szCs w:val="20"/>
          <w:color w:val="auto"/>
        </w:rPr>
      </w:pPr>
      <w:r>
        <w:rPr>
          <w:rFonts w:ascii="Arial" w:cs="Arial" w:eastAsia="Arial" w:hAnsi="Arial"/>
          <w:sz w:val="18"/>
          <w:szCs w:val="18"/>
          <w:color w:val="auto"/>
        </w:rPr>
        <w:t>obligation and credit cards. The balance is included within deposits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 in the accompanying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w:t>
      </w:r>
    </w:p>
    <w:p>
      <w:pPr>
        <w:spacing w:after="0" w:line="1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44"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The Company evaluates long</w:t>
      </w:r>
      <w:r>
        <w:rPr>
          <w:rFonts w:ascii="MS PGothic" w:cs="MS PGothic" w:eastAsia="MS PGothic" w:hAnsi="MS PGothic"/>
          <w:sz w:val="18"/>
          <w:szCs w:val="18"/>
          <w:color w:val="auto"/>
        </w:rPr>
        <w:t>‑</w:t>
      </w:r>
      <w:r>
        <w:rPr>
          <w:rFonts w:ascii="Arial" w:cs="Arial" w:eastAsia="Arial" w:hAnsi="Arial"/>
          <w:sz w:val="18"/>
          <w:szCs w:val="18"/>
          <w:color w:val="auto"/>
        </w:rPr>
        <w:t>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As of December 31, 2016, all of the Company’s revenue is generated exclusively from its collaboration agreement with Sanofi-Genzyme Corporation, a Sanofi company (“Sanofi-Genzyme”).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recognizes revenue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pacing w:after="0"/>
        <w:rPr>
          <w:sz w:val="20"/>
          <w:szCs w:val="20"/>
          <w:color w:val="auto"/>
        </w:rPr>
      </w:pPr>
      <w:r>
        <w:rPr>
          <w:rFonts w:ascii="Arial" w:cs="Arial" w:eastAsia="Arial" w:hAnsi="Arial"/>
          <w:sz w:val="18"/>
          <w:szCs w:val="18"/>
          <w:color w:val="auto"/>
        </w:rPr>
        <w:t>Accordingly, revenue is recognized for each unit of accounting when all of the following criteria are met:</w:t>
      </w:r>
    </w:p>
    <w:p>
      <w:pPr>
        <w:spacing w:after="0" w:line="128" w:lineRule="exact"/>
        <w:rPr>
          <w:sz w:val="20"/>
          <w:szCs w:val="20"/>
          <w:color w:val="auto"/>
        </w:rPr>
      </w:pPr>
    </w:p>
    <w:p>
      <w:pPr>
        <w:ind w:left="800" w:hanging="149"/>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color w:val="auto"/>
        </w:rPr>
      </w:pPr>
    </w:p>
    <w:p>
      <w:pPr>
        <w:ind w:left="780" w:hanging="12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57" w:lineRule="exact"/>
        <w:rPr>
          <w:rFonts w:ascii="Arial" w:cs="Arial" w:eastAsia="Arial" w:hAnsi="Arial"/>
          <w:sz w:val="18"/>
          <w:szCs w:val="18"/>
          <w:color w:val="auto"/>
        </w:rPr>
      </w:pPr>
    </w:p>
    <w:p>
      <w:pPr>
        <w:ind w:left="780" w:hanging="12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57" w:lineRule="exact"/>
        <w:rPr>
          <w:rFonts w:ascii="Arial" w:cs="Arial" w:eastAsia="Arial" w:hAnsi="Arial"/>
          <w:sz w:val="18"/>
          <w:szCs w:val="18"/>
          <w:color w:val="auto"/>
        </w:rPr>
      </w:pPr>
    </w:p>
    <w:p>
      <w:pPr>
        <w:ind w:left="840" w:hanging="189"/>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58"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recorded as deferred revenue in the Company’s balance sheet. Amounts expected to be recognized as revenue within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36" w:lineRule="exact"/>
        <w:rPr>
          <w:sz w:val="20"/>
          <w:szCs w:val="20"/>
          <w:color w:val="auto"/>
        </w:rPr>
      </w:pPr>
    </w:p>
    <w:p>
      <w:pPr>
        <w:ind w:right="100" w:firstLine="648"/>
        <w:spacing w:after="0" w:line="179" w:lineRule="exact"/>
        <w:rPr>
          <w:sz w:val="20"/>
          <w:szCs w:val="20"/>
          <w:color w:val="auto"/>
        </w:rPr>
      </w:pPr>
      <w:r>
        <w:rPr>
          <w:rFonts w:ascii="Arial" w:cs="Arial" w:eastAsia="Arial" w:hAnsi="Arial"/>
          <w:sz w:val="16"/>
          <w:szCs w:val="16"/>
          <w:color w:val="auto"/>
        </w:rPr>
        <w:t>The Company analyzes the multiple element arrangements based on the guidance in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Recognition—Multiple Element Arrangements </w:t>
      </w:r>
      <w:r>
        <w:rPr>
          <w:rFonts w:ascii="Arial" w:cs="Arial" w:eastAsia="Arial" w:hAnsi="Arial"/>
          <w:sz w:val="16"/>
          <w:szCs w:val="16"/>
          <w:color w:val="auto"/>
        </w:rPr>
        <w:t>(“ASC 605</w:t>
      </w:r>
      <w:r>
        <w:rPr>
          <w:rFonts w:ascii="MS PGothic" w:cs="MS PGothic" w:eastAsia="MS PGothic" w:hAnsi="MS PGothic"/>
          <w:sz w:val="16"/>
          <w:szCs w:val="16"/>
          <w:color w:val="auto"/>
        </w:rPr>
        <w:t>‑</w:t>
      </w:r>
      <w:r>
        <w:rPr>
          <w:rFonts w:ascii="Arial" w:cs="Arial" w:eastAsia="Arial" w:hAnsi="Arial"/>
          <w:sz w:val="16"/>
          <w:szCs w:val="16"/>
          <w:color w:val="auto"/>
        </w:rPr>
        <w:t>25”). Pursuant to the guidance in ASC 605</w:t>
      </w:r>
      <w:r>
        <w:rPr>
          <w:rFonts w:ascii="MS PGothic" w:cs="MS PGothic" w:eastAsia="MS PGothic" w:hAnsi="MS PGothic"/>
          <w:sz w:val="16"/>
          <w:szCs w:val="16"/>
          <w:color w:val="auto"/>
        </w:rPr>
        <w:t>‑</w:t>
      </w:r>
      <w:r>
        <w:rPr>
          <w:rFonts w:ascii="Arial" w:cs="Arial" w:eastAsia="Arial" w:hAnsi="Arial"/>
          <w:sz w:val="16"/>
          <w:szCs w:val="16"/>
          <w:color w:val="auto"/>
        </w:rPr>
        <w:t>25,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Company’s collaboration agreement does not contain a general right of return relative to any delivered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 are applied to each of the separate units of accounting in determining the appropriate period and pattern of recognition. The Company determines the selling price of a unit of accounting following the hierarchy of evidence prescribed by ASC 605</w:t>
      </w:r>
      <w:r>
        <w:rPr>
          <w:rFonts w:ascii="MS PGothic" w:cs="MS PGothic" w:eastAsia="MS PGothic" w:hAnsi="MS PGothic"/>
          <w:sz w:val="16"/>
          <w:szCs w:val="16"/>
          <w:color w:val="auto"/>
        </w:rPr>
        <w:t>‑</w:t>
      </w:r>
      <w:r>
        <w:rPr>
          <w:rFonts w:ascii="Arial" w:cs="Arial" w:eastAsia="Arial" w:hAnsi="Arial"/>
          <w:sz w:val="16"/>
          <w:szCs w:val="16"/>
          <w:color w:val="auto"/>
        </w:rPr>
        <w:t>25. Accordingly, the Company determines the estimated selling price for units of accounting within each arrangement using vendor specific objective evidence (“VSOE”) of selling price, if available, third party evidence (“TPE”) of selling price if VSOE is not available, or best estimate of selling price (“BESP”) if neither VSOE or TPE is available. The Company has only used BESP to estimate the selling price, since it has not had VSOE or TPE of selling price of any units of accounting to date. Determining BESP for a unit of accounting requires significant judgment. In developing the BESP for a unit of accounting, the Company considers applicable market conditions and relevant entity specific factors, including factors that were contemplated in negotiating the agreement with the customer and estimated costs. The Company validates BESP for units of accounting by evaluating whether changes in the key assumptions used to determine the BESP will have a significant effect on the allocation of arrangement consideration between multiple units of accounting.</w:t>
      </w:r>
    </w:p>
    <w:p>
      <w:pPr>
        <w:spacing w:after="0" w:line="58"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5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The Company will recognize revenue associated with license options upon exercise of the option, if the underlying license has standalone value from the other deliverables to be provided subsequent to delivery of the license. If the license does not have standalone value, the amounts allocated to the license option will be combined with the related undelivered items as a single unit of accounting. The amounts allocated to the license option in the Sanofi-Genzyme agreement will be deferred until the option is exercised. The revenue recognition upon option exercise will be determined based on whether the license has standalone value from the remaining deliverables under the arrangement at the time of exercise.</w:t>
      </w:r>
    </w:p>
    <w:p>
      <w:pPr>
        <w:spacing w:after="0" w:line="59"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The Company recognizes the amounts associated with research and development services, alliance joint steering committees and development advisory committees ratably over the associated period of performance. If there is no discernible pattern of performance and/or objectively measurable performance measures do not exist, then the Company recognizes revenue under the arrangement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performance obligations. Conversely, if the pattern of performance in which the service is provided to the customer can be determined and objectively measurable performance exist, then the Company recognizes revenue under the arrangement using the proportional performance method. Revenue recognized is limited to the lesser of the cumulative amount of payments received of the cumulative revenue earned determined using the straight line method or proportional performance, as applicable, as of the period end date.</w:t>
      </w:r>
    </w:p>
    <w:p>
      <w:pPr>
        <w:spacing w:after="0" w:line="5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the deliverables and payment terms within the arrangement. The Company evaluates factors such as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the criteria required to conclude that a milestone is substantive. In accordance with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(“ASC 605</w:t>
      </w:r>
      <w:r>
        <w:rPr>
          <w:rFonts w:ascii="MS PGothic" w:cs="MS PGothic" w:eastAsia="MS PGothic" w:hAnsi="MS PGothic"/>
          <w:sz w:val="16"/>
          <w:szCs w:val="16"/>
          <w:color w:val="auto"/>
        </w:rPr>
        <w:t>‑</w:t>
      </w:r>
      <w:r>
        <w:rPr>
          <w:rFonts w:ascii="Arial" w:cs="Arial" w:eastAsia="Arial" w:hAnsi="Arial"/>
          <w:sz w:val="16"/>
          <w:szCs w:val="16"/>
          <w:color w:val="auto"/>
        </w:rPr>
        <w:t>28”) clinical and regulatory milestones that are considered substantive, will be recognized as revenue in its entirety upon successful accomplishment of the milestone, assuming all other revenue recognition criteria are met.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5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Company also considers the impact of potential future payments it makes in its role as a vendor to its customers or collaboration partners and evaluates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7"/>
          <w:szCs w:val="17"/>
          <w:color w:val="auto"/>
        </w:rPr>
        <w:t>Research and development costs are charged to expense as incurred in performing research and development activities. The costs include employee compensation costs, external research, consultant costs, sponsored research, in</w:t>
      </w:r>
      <w:r>
        <w:rPr>
          <w:rFonts w:ascii="MS PGothic" w:cs="MS PGothic" w:eastAsia="MS PGothic" w:hAnsi="MS PGothic"/>
          <w:sz w:val="17"/>
          <w:szCs w:val="17"/>
          <w:color w:val="auto"/>
        </w:rPr>
        <w:t>‑</w:t>
      </w:r>
      <w:r>
        <w:rPr>
          <w:rFonts w:ascii="Arial" w:cs="Arial" w:eastAsia="Arial" w:hAnsi="Arial"/>
          <w:sz w:val="17"/>
          <w:szCs w:val="17"/>
          <w:color w:val="auto"/>
        </w:rPr>
        <w:t>kind services provided under the Sanofi-Genzyme agreement, license fees, process development and facilities costs. Facilities costs primarily include the allocation of rent, utilities and depreciation.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7"/>
          <w:szCs w:val="17"/>
          <w:color w:val="auto"/>
        </w:rPr>
        <w:t>The Company accounts for its stock</w:t>
      </w:r>
      <w:r>
        <w:rPr>
          <w:rFonts w:ascii="MS PGothic" w:cs="MS PGothic" w:eastAsia="MS PGothic" w:hAnsi="MS PGothic"/>
          <w:sz w:val="17"/>
          <w:szCs w:val="17"/>
          <w:color w:val="auto"/>
        </w:rPr>
        <w:t>‑</w:t>
      </w:r>
      <w:r>
        <w:rPr>
          <w:rFonts w:ascii="Arial" w:cs="Arial" w:eastAsia="Arial" w:hAnsi="Arial"/>
          <w:sz w:val="17"/>
          <w:szCs w:val="17"/>
          <w:color w:val="auto"/>
        </w:rPr>
        <w:t xml:space="preserve">based compensation awards in accordance with ASC Topic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(“ASC 718”). ASC 718 requires all stock</w:t>
      </w:r>
      <w:r>
        <w:rPr>
          <w:rFonts w:ascii="MS PGothic" w:cs="MS PGothic" w:eastAsia="MS PGothic" w:hAnsi="MS PGothic"/>
          <w:sz w:val="17"/>
          <w:szCs w:val="17"/>
          <w:color w:val="auto"/>
        </w:rPr>
        <w:t>‑</w:t>
      </w:r>
      <w:r>
        <w:rPr>
          <w:rFonts w:ascii="Arial" w:cs="Arial" w:eastAsia="Arial" w:hAnsi="Arial"/>
          <w:sz w:val="17"/>
          <w:szCs w:val="17"/>
          <w:color w:val="auto"/>
        </w:rPr>
        <w:t>based payments to employees and directors,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grants of restricted stock and stock options, to be recognized as expense in the statements of operations based on their grant date fair values. Grants of restricted stock and stock options to other service providers, referred to as non</w:t>
      </w:r>
      <w:r>
        <w:rPr>
          <w:rFonts w:ascii="MS PGothic" w:cs="MS PGothic" w:eastAsia="MS PGothic" w:hAnsi="MS PGothic"/>
          <w:sz w:val="17"/>
          <w:szCs w:val="17"/>
          <w:color w:val="auto"/>
        </w:rPr>
        <w:t>‑</w:t>
      </w:r>
      <w:r>
        <w:rPr>
          <w:rFonts w:ascii="Arial" w:cs="Arial" w:eastAsia="Arial" w:hAnsi="Arial"/>
          <w:sz w:val="17"/>
          <w:szCs w:val="17"/>
          <w:color w:val="auto"/>
        </w:rPr>
        <w:t>employees, are required to be recognized as expense in the statements of operations based on their vesting date fair values. The Company estimates the fair value of options granted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uses the value of its common stock to determine the fair value of restricted stock awards.</w:t>
      </w:r>
    </w:p>
    <w:p>
      <w:pPr>
        <w:spacing w:after="0" w:line="162"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inputs based on certain subjective assumptions, including (a) the expected stock price volatility, (b) the calculation of expected term of the award, (c)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w:t>
      </w:r>
    </w:p>
    <w:p>
      <w:pPr>
        <w:spacing w:after="0" w:line="1" w:lineRule="exact"/>
        <w:rPr>
          <w:sz w:val="20"/>
          <w:szCs w:val="20"/>
          <w:color w:val="auto"/>
        </w:rPr>
      </w:pPr>
    </w:p>
    <w:p>
      <w:pPr>
        <w:ind w:right="20" w:firstLine="3"/>
        <w:spacing w:after="0" w:line="182" w:lineRule="exact"/>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expected dividends. Due to a lack of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data of the Company’s common stock,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185" w:lineRule="exact"/>
        <w:rPr>
          <w:sz w:val="20"/>
          <w:szCs w:val="20"/>
          <w:color w:val="auto"/>
        </w:rPr>
      </w:pPr>
      <w:r>
        <w:rPr>
          <w:rFonts w:ascii="Arial" w:cs="Arial" w:eastAsia="Arial" w:hAnsi="Arial"/>
          <w:sz w:val="17"/>
          <w:szCs w:val="17"/>
          <w:color w:val="auto"/>
        </w:rPr>
        <w:t xml:space="preserve">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w:t>
      </w:r>
      <w:r>
        <w:rPr>
          <w:rFonts w:ascii="Arial" w:cs="Arial" w:eastAsia="Arial" w:hAnsi="Arial"/>
          <w:sz w:val="17"/>
          <w:szCs w:val="17"/>
          <w:color w:val="auto"/>
        </w:rPr>
        <w:t>, to calculate the expected term for stock options granted to employees as it does not have sufficient historical exercise data to provide a reasonable basis upon which to estimate the expected term. For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utilizes the contractual term of the arrangement as the basis for the expected term assumption.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6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7"/>
          <w:szCs w:val="17"/>
          <w:color w:val="auto"/>
        </w:rPr>
        <w:t>The Company expenses the fair value of 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employees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associated service period, which is generally the period in which the related services are received.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adjusted through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at each reporting period end to reflect the current fair value of such awards and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w:t>
      </w:r>
    </w:p>
    <w:p>
      <w:pPr>
        <w:spacing w:after="0" w:line="163"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The Company records the expense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6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2016, the Company does not have any significant uncertain tax positions.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Comprehensive loss is comprised of net loss and other comprehensive income or loss. Other comprehensive gain or loss consists of unrealized gains or losses on marketable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shares of common stock and potentially dilutive securities outstanding for the period determined using the treasury</w:t>
      </w:r>
      <w:r>
        <w:rPr>
          <w:rFonts w:ascii="MS PGothic" w:cs="MS PGothic" w:eastAsia="MS PGothic" w:hAnsi="MS PGothic"/>
          <w:sz w:val="16"/>
          <w:szCs w:val="16"/>
          <w:color w:val="auto"/>
        </w:rPr>
        <w:t>‑</w:t>
      </w:r>
      <w:r>
        <w:rPr>
          <w:rFonts w:ascii="Arial" w:cs="Arial" w:eastAsia="Arial" w:hAnsi="Arial"/>
          <w:sz w:val="16"/>
          <w:szCs w:val="16"/>
          <w:color w:val="auto"/>
        </w:rPr>
        <w:t>stock and if</w:t>
      </w:r>
      <w:r>
        <w:rPr>
          <w:rFonts w:ascii="MS PGothic" w:cs="MS PGothic" w:eastAsia="MS PGothic" w:hAnsi="MS PGothic"/>
          <w:sz w:val="16"/>
          <w:szCs w:val="16"/>
          <w:color w:val="auto"/>
        </w:rPr>
        <w:t>‑</w:t>
      </w:r>
      <w:r>
        <w:rPr>
          <w:rFonts w:ascii="Arial" w:cs="Arial" w:eastAsia="Arial" w:hAnsi="Arial"/>
          <w:sz w:val="16"/>
          <w:szCs w:val="16"/>
          <w:color w:val="auto"/>
        </w:rPr>
        <w:t>converted methods.</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8"/>
          <w:szCs w:val="18"/>
          <w:color w:val="auto"/>
        </w:rPr>
        <w:t>For purposes of the diluted net loss per share attributable to common stockholders calculation, redeemable convertible preferred stock, unvested restricted common stock, and outstanding stock options are considered to be potentially dilutive securities, but are excluded from the calculation of diluted net loss per share attributable to common stockholders because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and therefore, basic and diluted net loss per share attributable to common stockholders were the same for all periods presented.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20" w:firstLine="648"/>
        <w:spacing w:after="0" w:line="194" w:lineRule="exact"/>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attributable to common stockholders because to do so would be anti</w:t>
      </w:r>
      <w:r>
        <w:rPr>
          <w:rFonts w:ascii="MS PGothic" w:cs="MS PGothic" w:eastAsia="MS PGothic" w:hAnsi="MS PGothic"/>
          <w:sz w:val="18"/>
          <w:szCs w:val="18"/>
          <w:color w:val="auto"/>
        </w:rPr>
        <w:t>‑</w:t>
      </w:r>
      <w:r>
        <w:rPr>
          <w:rFonts w:ascii="Arial" w:cs="Arial" w:eastAsia="Arial" w:hAnsi="Arial"/>
          <w:sz w:val="18"/>
          <w:szCs w:val="18"/>
          <w:color w:val="auto"/>
        </w:rPr>
        <w:t>dilutive (in common stock equivalent shares):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As of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7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5,882,352</w:t>
            </w:r>
          </w:p>
        </w:tc>
        <w:tc>
          <w:tcPr>
            <w:tcW w:w="1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1,167,984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1,818,261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2,578,817</w:t>
            </w:r>
          </w:p>
        </w:tc>
        <w:tc>
          <w:tcPr>
            <w:tcW w:w="1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4,226,265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2,905,458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5,394,249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4,723,719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8,461,169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All of the Company’s outstanding convertible preferred stock automatically converted into shares of common stock as of November 16, 2015, resulting in the issuance by the Company of an additional 17,647,054 shares of common stock.</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 Sheet Risk</w:t>
      </w:r>
    </w:p>
    <w:p>
      <w:pPr>
        <w:spacing w:after="0" w:line="18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7"/>
          <w:szCs w:val="17"/>
          <w:color w:val="auto"/>
        </w:rPr>
        <w:t>The Company has no financial instruments with off</w:t>
      </w:r>
      <w:r>
        <w:rPr>
          <w:rFonts w:ascii="MS PGothic" w:cs="MS PGothic" w:eastAsia="MS PGothic" w:hAnsi="MS PGothic"/>
          <w:sz w:val="17"/>
          <w:szCs w:val="17"/>
          <w:color w:val="auto"/>
        </w:rPr>
        <w:t>‑</w:t>
      </w:r>
      <w:r>
        <w:rPr>
          <w:rFonts w:ascii="Arial" w:cs="Arial" w:eastAsia="Arial" w:hAnsi="Arial"/>
          <w:sz w:val="17"/>
          <w:szCs w:val="17"/>
          <w:color w:val="auto"/>
        </w:rPr>
        <w:t>balance sheet risk such as foreign exchange contracts, option contracts or other foreign hedging arrangements. Financial instruments that potentially subject the Company to a concentration of credit risk are cash and cash equivalents. The Company’s cash is held in accounts at a financial institution that may exceed federally insured limits. The Company has not experienced any credit losses in such accounts and does not believe it is exposed to any significant credit risk on these funds.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185"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 Company is dependent on a third</w:t>
      </w:r>
      <w:r>
        <w:rPr>
          <w:rFonts w:ascii="MS PGothic" w:cs="MS PGothic" w:eastAsia="MS PGothic" w:hAnsi="MS PGothic"/>
          <w:sz w:val="18"/>
          <w:szCs w:val="18"/>
          <w:color w:val="auto"/>
        </w:rPr>
        <w:t>‑</w:t>
      </w:r>
      <w:r>
        <w:rPr>
          <w:rFonts w:ascii="Arial" w:cs="Arial" w:eastAsia="Arial" w:hAnsi="Arial"/>
          <w:sz w:val="18"/>
          <w:szCs w:val="18"/>
          <w:color w:val="auto"/>
        </w:rPr>
        <w:t>party manufacturer to supply certain products for research and development activities in its programs. In particular, the Company relies and expects to continue to rely on a sole manufacturer to supply it with specific vectors related to the Company’s research and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100" w:firstLine="648"/>
        <w:spacing w:after="0" w:line="20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(“ASU 2014-09”). Subsequently, the FASB also issued ASU 2015-14,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adjusted the effective date of ASU 2014-09; ASU No. 2016-08,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Principal versus Agent Considerations (Reporting Revenue Gross versus Net), which amends the principal-versus-agent implementation guidance and illustrations in ASU 2014-09; ASU No. 2016-10,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Identifying Performance Obligations and Licensing, which clarifies identifying performance obligation and licensing implementation guidance and illustrations in ASU 2014-09; and ASU No. 2016-12, Revenue from Contracts with Customers (Topic 606): Narrow-Scope Improvements and Practical Expedients, which addresses implementation issues and is intended to reduce the cost and complexity of applying the new revenue standard in ASU 2014-09 (collectively, the “Revenue ASUs”).</w:t>
      </w:r>
    </w:p>
    <w:p>
      <w:pPr>
        <w:spacing w:after="0" w:line="16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retrospective method). The Company will adopt the Revenue ASUs effective January 1, 2018. The Company has not yet determined which adoption method will be utilized. As of December 31, 2016, revenue is generated exclusively from the Company’s collaboration arrangement with Sanofi-Genzyme. The Company is currently evaluating the potential impact that Topic 606 may have on its financial position and results of operations as it relates to this single arrangement. The adoption of the Revenue ASUs is expected to have a significant impact on the Company’s notes to consolidated financial statements and its internal controls over financial reporting.</w:t>
      </w:r>
    </w:p>
    <w:p>
      <w:pPr>
        <w:spacing w:after="0" w:line="16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Intra-Entity Transfers of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Than Inventory </w:t>
      </w:r>
      <w:r>
        <w:rPr>
          <w:rFonts w:ascii="Arial" w:cs="Arial" w:eastAsia="Arial" w:hAnsi="Arial"/>
          <w:sz w:val="18"/>
          <w:szCs w:val="18"/>
          <w:color w:val="auto"/>
        </w:rPr>
        <w:t>(“ASU 2016-16”), which removes the prohibition in ASC 740 against the immediate recognition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and deferred income tax effects of intra-entity transfers of assets other than inventory. ASU 2016-16 is effective for the Company for annual periods beginning after December 15, 2017, and interim periods within those annual periods. Early adoption is permitted as of the beginning of a fiscal year for which neither the annual nor the interim (if applicable) financial statements have been issued. The Company is currently in the process of evaluating the impact of the guidance on its consolidated financial statements.</w:t>
      </w:r>
    </w:p>
    <w:p>
      <w:pPr>
        <w:spacing w:after="0" w:line="16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(Topic 718): </w:t>
      </w: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(“ASU 2016-09”), which simplifies several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employee share-based payment transactions, including income taxes consequences, classification of awards as either equity or liabilities, and classification in the statement of cash flows. ASU 2016-09 is effective for annual reporting periods beginning after December 15, 2016, including interim periods within those annual reporting periods. The Company is currently in the process of evaluating the impact of the guidance on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All Convertible Preferred Stock converted at the time of the IPO, therefore there were no liabilities outstanding as of December 31, 2016 and 2015.</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and liabilities measured at fair value on a recurring basis as of December 31, 2016 and 2015 are as follows: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8898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included in cash and cash equivalents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 Treasury notes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 Government agency securities</w:t>
      </w:r>
    </w:p>
    <w:p>
      <w:pPr>
        <w:ind w:left="220"/>
        <w:spacing w:after="0" w:line="227" w:lineRule="auto"/>
        <w:rPr>
          <w:sz w:val="20"/>
          <w:szCs w:val="20"/>
          <w:color w:val="auto"/>
        </w:rPr>
      </w:pPr>
      <w:r>
        <w:rPr>
          <w:rFonts w:ascii="Arial" w:cs="Arial" w:eastAsia="Arial" w:hAnsi="Arial"/>
          <w:sz w:val="18"/>
          <w:szCs w:val="18"/>
          <w:color w:val="auto"/>
        </w:rPr>
        <w:t>Equity securities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Quoted Prices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5"/>
                <w:szCs w:val="15"/>
                <w:color w:val="auto"/>
              </w:rPr>
            </w:pPr>
          </w:p>
        </w:tc>
        <w:tc>
          <w:tcPr>
            <w:tcW w:w="78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5"/>
                <w:szCs w:val="15"/>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Markets for</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4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4"/>
        </w:trPr>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78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0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3"/>
          </w:tcPr>
          <w:p>
            <w:pPr>
              <w:jc w:val="right"/>
              <w:ind w:right="498"/>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940" w:type="dxa"/>
            <w:vAlign w:val="bottom"/>
          </w:tcPr>
          <w:p>
            <w:pPr>
              <w:jc w:val="right"/>
              <w:ind w:right="54"/>
              <w:spacing w:after="0"/>
              <w:rPr>
                <w:sz w:val="20"/>
                <w:szCs w:val="20"/>
                <w:color w:val="auto"/>
              </w:rPr>
            </w:pPr>
            <w:r>
              <w:rPr>
                <w:rFonts w:ascii="Arial" w:cs="Arial" w:eastAsia="Arial" w:hAnsi="Arial"/>
                <w:sz w:val="18"/>
                <w:szCs w:val="18"/>
                <w:color w:val="auto"/>
              </w:rPr>
              <w:t>$  36,003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36,003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940" w:type="dxa"/>
            <w:vAlign w:val="bottom"/>
          </w:tcPr>
          <w:p>
            <w:pPr>
              <w:jc w:val="right"/>
              <w:ind w:right="54"/>
              <w:spacing w:after="0"/>
              <w:rPr>
                <w:sz w:val="20"/>
                <w:szCs w:val="20"/>
                <w:color w:val="auto"/>
              </w:rPr>
            </w:pPr>
            <w:r>
              <w:rPr>
                <w:rFonts w:ascii="Arial" w:cs="Arial" w:eastAsia="Arial" w:hAnsi="Arial"/>
                <w:sz w:val="18"/>
                <w:szCs w:val="18"/>
                <w:color w:val="auto"/>
              </w:rPr>
              <w:t>130,173</w:t>
            </w:r>
          </w:p>
        </w:tc>
        <w:tc>
          <w:tcPr>
            <w:tcW w:w="260" w:type="dxa"/>
            <w:vAlign w:val="bottom"/>
          </w:tcPr>
          <w:p>
            <w:pPr>
              <w:spacing w:after="0"/>
              <w:rPr>
                <w:sz w:val="24"/>
                <w:szCs w:val="24"/>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130,173</w:t>
            </w:r>
          </w:p>
        </w:tc>
        <w:tc>
          <w:tcPr>
            <w:tcW w:w="220" w:type="dxa"/>
            <w:vAlign w:val="bottom"/>
          </w:tcPr>
          <w:p>
            <w:pPr>
              <w:spacing w:after="0"/>
              <w:rPr>
                <w:sz w:val="24"/>
                <w:szCs w:val="24"/>
                <w:color w:val="auto"/>
              </w:rPr>
            </w:pP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jc w:val="right"/>
              <w:ind w:right="54"/>
              <w:spacing w:after="0"/>
              <w:rPr>
                <w:sz w:val="20"/>
                <w:szCs w:val="20"/>
                <w:color w:val="auto"/>
              </w:rPr>
            </w:pPr>
            <w:r>
              <w:rPr>
                <w:rFonts w:ascii="Arial" w:cs="Arial" w:eastAsia="Arial" w:hAnsi="Arial"/>
                <w:sz w:val="18"/>
                <w:szCs w:val="18"/>
                <w:color w:val="auto"/>
              </w:rPr>
              <w:t>7,604</w:t>
            </w:r>
          </w:p>
        </w:tc>
        <w:tc>
          <w:tcPr>
            <w:tcW w:w="260" w:type="dxa"/>
            <w:vAlign w:val="bottom"/>
          </w:tcPr>
          <w:p>
            <w:pPr>
              <w:spacing w:after="0"/>
              <w:rPr>
                <w:sz w:val="18"/>
                <w:szCs w:val="18"/>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7,604</w:t>
            </w:r>
          </w:p>
        </w:tc>
        <w:tc>
          <w:tcPr>
            <w:tcW w:w="2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40" w:type="dxa"/>
            <w:vAlign w:val="bottom"/>
          </w:tcPr>
          <w:p>
            <w:pPr>
              <w:jc w:val="right"/>
              <w:ind w:right="54"/>
              <w:spacing w:after="0"/>
              <w:rPr>
                <w:sz w:val="20"/>
                <w:szCs w:val="20"/>
                <w:color w:val="auto"/>
              </w:rPr>
            </w:pPr>
            <w:r>
              <w:rPr>
                <w:rFonts w:ascii="Arial" w:cs="Arial" w:eastAsia="Arial" w:hAnsi="Arial"/>
                <w:sz w:val="18"/>
                <w:szCs w:val="18"/>
                <w:color w:val="auto"/>
              </w:rPr>
              <w:t>1,360</w:t>
            </w:r>
          </w:p>
        </w:tc>
        <w:tc>
          <w:tcPr>
            <w:tcW w:w="260" w:type="dxa"/>
            <w:vAlign w:val="bottom"/>
          </w:tcPr>
          <w:p>
            <w:pPr>
              <w:spacing w:after="0"/>
              <w:rPr>
                <w:sz w:val="19"/>
                <w:szCs w:val="19"/>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9"/>
                <w:szCs w:val="19"/>
                <w:color w:val="auto"/>
              </w:rPr>
            </w:pP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-769620</wp:posOffset>
            </wp:positionV>
            <wp:extent cx="5754370" cy="1117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-521335</wp:posOffset>
            </wp:positionV>
            <wp:extent cx="5754370" cy="1117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-272415</wp:posOffset>
            </wp:positionV>
            <wp:extent cx="575437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60" w:space="500"/>
            <w:col w:w="4300"/>
          </w:cols>
          <w:pgMar w:left="1420" w:top="111" w:right="141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139,137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131,533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equity securities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r>
      <w:tr>
        <w:trPr>
          <w:trHeight w:val="230"/>
        </w:trPr>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175,932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167,536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163"/>
        </w:trPr>
        <w:tc>
          <w:tcPr>
            <w:tcW w:w="47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176"/>
        </w:trPr>
        <w:tc>
          <w:tcPr>
            <w:tcW w:w="476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157,981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35,055</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35,055</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r>
      <w:tr>
        <w:trPr>
          <w:trHeight w:val="217"/>
        </w:trPr>
        <w:tc>
          <w:tcPr>
            <w:tcW w:w="4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222,637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187,582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35,055</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Company measures the fair value of money market funds, U.S. Treasuries and equity securities based on quoted prices in active markets for identical securities. The Level 2 debt securities include U.S. Government agency securities that are valued either based on recent trades of securities in inactive markets or based on quoted market prices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of similar instruments and other significant inputs derived from or corroborated by observable market data. The Level 2 equity securities include warrants used to purchase equity securities that are valued using the Black-Scholes model. The Black-Scholes option pricing model requires inputs based on certain subjective assumptions, including (a) the expected stock price volatility, (b) the calculation of expected term of the awards, (c) the risk-free interest rate, and (d) expected dividends. The assumptions utilized to value the warrants to purchase equity securities on the acquisition date, September 2, 2016 and as of December 31, 2016 are as follows:</w:t>
      </w:r>
    </w:p>
    <w:p>
      <w:pPr>
        <w:sectPr>
          <w:pgSz w:w="11900" w:h="16838" w:orient="portrait"/>
          <w:cols w:equalWidth="0" w:num="1">
            <w:col w:w="9060"/>
          </w:cols>
          <w:pgMar w:left="1420" w:top="111" w:right="1419" w:bottom="1440" w:gutter="0" w:footer="0" w:header="0"/>
        </w:sectPr>
      </w:pPr>
    </w:p>
    <w:p>
      <w:pPr>
        <w:spacing w:after="0" w:line="208"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As of September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20955</wp:posOffset>
            </wp:positionV>
            <wp:extent cx="12522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8"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36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20955</wp:posOffset>
            </wp:positionV>
            <wp:extent cx="12604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8"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sectPr>
          <w:pgSz w:w="11900" w:h="16838" w:orient="portrait"/>
          <w:cols w:equalWidth="0" w:num="2">
            <w:col w:w="4800" w:space="720"/>
            <w:col w:w="3540"/>
          </w:cols>
          <w:pgMar w:left="1420" w:top="111" w:right="14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208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rPr>
              <w:t>— %</w:t>
            </w:r>
          </w:p>
        </w:tc>
        <w:tc>
          <w:tcPr>
            <w:tcW w:w="210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rPr>
              <w:t>— %</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r>
    </w:tbl>
    <w:p>
      <w:pPr>
        <w:spacing w:after="0" w:line="161"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The expected volatility is based on the historic volatility for the equity securities underlying the warrants and is calculated based on a period of time commensurate with the expected term assumption. The expected term is based on the remaining contractual life of the warrants on each measurement date. The risk-free interest rate is based on a treasury instrument whose term is consistent with the expected term of the warrants. The expected dividend yield is assumed to be zero as the entity that issued the warrants has never paid and has not indicated any intention to pay dividends.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 and other current assets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December 31,</w:t>
            </w:r>
          </w:p>
        </w:tc>
      </w:tr>
      <w:tr>
        <w:trPr>
          <w:trHeight w:val="129"/>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55"/>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center"/>
              <w:ind w:right="132"/>
              <w:spacing w:after="0" w:line="154" w:lineRule="exact"/>
              <w:rPr>
                <w:sz w:val="20"/>
                <w:szCs w:val="20"/>
                <w:color w:val="auto"/>
              </w:rPr>
            </w:pPr>
            <w:r>
              <w:rPr>
                <w:rFonts w:ascii="Arial" w:cs="Arial" w:eastAsia="Arial" w:hAnsi="Arial"/>
                <w:sz w:val="17"/>
                <w:szCs w:val="17"/>
                <w:color w:val="auto"/>
                <w:w w:val="96"/>
              </w:rPr>
              <w:t>(in thousands)</w:t>
            </w:r>
          </w:p>
        </w:tc>
        <w:tc>
          <w:tcPr>
            <w:tcW w:w="100" w:type="dxa"/>
            <w:vAlign w:val="bottom"/>
          </w:tcPr>
          <w:p>
            <w:pPr>
              <w:spacing w:after="0"/>
              <w:rPr>
                <w:sz w:val="13"/>
                <w:szCs w:val="13"/>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Tenant improvement receivable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contracts</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18"/>
                <w:szCs w:val="18"/>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r>
      <w:tr>
        <w:trPr>
          <w:trHeight w:val="379"/>
        </w:trPr>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5. Property and equipment, net</w:t>
            </w: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92"/>
        </w:trPr>
        <w:tc>
          <w:tcPr>
            <w:tcW w:w="4660" w:type="dxa"/>
            <w:vAlign w:val="bottom"/>
          </w:tcPr>
          <w:p>
            <w:pPr>
              <w:ind w:left="660"/>
              <w:spacing w:after="0"/>
              <w:rPr>
                <w:sz w:val="20"/>
                <w:szCs w:val="20"/>
                <w:color w:val="auto"/>
              </w:rPr>
            </w:pPr>
            <w:r>
              <w:rPr>
                <w:rFonts w:ascii="Arial" w:cs="Arial" w:eastAsia="Arial" w:hAnsi="Arial"/>
                <w:sz w:val="18"/>
                <w:szCs w:val="18"/>
                <w:color w:val="auto"/>
                <w:w w:val="93"/>
              </w:rPr>
              <w:t>Property and equipment, net consists of the following:</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55"/>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center"/>
              <w:ind w:right="192"/>
              <w:spacing w:after="0" w:line="154" w:lineRule="exact"/>
              <w:rPr>
                <w:sz w:val="20"/>
                <w:szCs w:val="20"/>
                <w:color w:val="auto"/>
              </w:rPr>
            </w:pPr>
            <w:r>
              <w:rPr>
                <w:rFonts w:ascii="Arial" w:cs="Arial" w:eastAsia="Arial" w:hAnsi="Arial"/>
                <w:sz w:val="17"/>
                <w:szCs w:val="17"/>
                <w:color w:val="auto"/>
                <w:w w:val="94"/>
              </w:rPr>
              <w:t>(in thousands)</w:t>
            </w:r>
          </w:p>
        </w:tc>
        <w:tc>
          <w:tcPr>
            <w:tcW w:w="100" w:type="dxa"/>
            <w:vAlign w:val="bottom"/>
          </w:tcPr>
          <w:p>
            <w:pPr>
              <w:spacing w:after="0"/>
              <w:rPr>
                <w:sz w:val="13"/>
                <w:szCs w:val="13"/>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Laboratory equipment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3,306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tcPr>
          <w:p>
            <w:pPr>
              <w:spacing w:after="0"/>
              <w:rPr>
                <w:sz w:val="18"/>
                <w:szCs w:val="18"/>
                <w:color w:val="auto"/>
              </w:rPr>
            </w:pPr>
          </w:p>
        </w:tc>
      </w:tr>
      <w:tr>
        <w:trPr>
          <w:trHeight w:val="21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8"/>
                <w:szCs w:val="18"/>
                <w:color w:val="auto"/>
              </w:rPr>
            </w:pPr>
          </w:p>
        </w:tc>
      </w:tr>
      <w:tr>
        <w:trPr>
          <w:trHeight w:val="27"/>
        </w:trPr>
        <w:tc>
          <w:tcPr>
            <w:tcW w:w="466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Company recorded $0.6 million, $0.6 million, and $0.2 million in depreciation expense during the years ended December 31, 2016, 2015, and 2014 respectively. Construction-in-progress as of December 31, 2016 includes $3.0 million related to costs which were reimbursable by the landlord. Refer to Note 7 “Commitments and contingencies” for further details.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3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1"/>
                <w:szCs w:val="11"/>
                <w:color w:val="auto"/>
              </w:rPr>
            </w:pPr>
          </w:p>
        </w:tc>
      </w:tr>
      <w:tr>
        <w:trPr>
          <w:trHeight w:val="169"/>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552"/>
              <w:spacing w:after="0" w:line="170"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4"/>
                <w:szCs w:val="14"/>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Employee compensation costs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goods and services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Patent costs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80" w:type="dxa"/>
            <w:vAlign w:val="bottom"/>
            <w:shd w:val="clear" w:color="auto" w:fill="CCEEFF"/>
          </w:tcPr>
          <w:p>
            <w:pPr>
              <w:spacing w:after="0"/>
              <w:rPr>
                <w:sz w:val="18"/>
                <w:szCs w:val="18"/>
                <w:color w:val="auto"/>
              </w:rPr>
            </w:pPr>
          </w:p>
        </w:tc>
      </w:tr>
      <w:tr>
        <w:trPr>
          <w:trHeight w:val="27"/>
        </w:trPr>
        <w:tc>
          <w:tcPr>
            <w:tcW w:w="3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March 2014, the Company entered into an agreement to lease the 75 Sidney Street facility under a</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 that expires December 15, 2019. The lease includes two renewal options, each for five year</w:t>
      </w:r>
    </w:p>
    <w:p>
      <w:pPr>
        <w:spacing w:after="0" w:line="229" w:lineRule="auto"/>
        <w:rPr>
          <w:sz w:val="20"/>
          <w:szCs w:val="20"/>
          <w:color w:val="auto"/>
        </w:rPr>
      </w:pPr>
      <w:r>
        <w:rPr>
          <w:rFonts w:ascii="Arial" w:cs="Arial" w:eastAsia="Arial" w:hAnsi="Arial"/>
          <w:sz w:val="16"/>
          <w:szCs w:val="16"/>
          <w:color w:val="auto"/>
        </w:rPr>
        <w:t>terms and at fair market value upon exercise. The lease contains escalating rent clauses which require higher rent payments in</w:t>
      </w:r>
    </w:p>
    <w:p>
      <w:pPr>
        <w:spacing w:after="0" w:line="184" w:lineRule="exact"/>
        <w:rPr>
          <w:sz w:val="20"/>
          <w:szCs w:val="20"/>
          <w:color w:val="auto"/>
        </w:rPr>
      </w:pPr>
      <w:r>
        <w:rPr>
          <w:rFonts w:ascii="Arial" w:cs="Arial" w:eastAsia="Arial" w:hAnsi="Arial"/>
          <w:sz w:val="16"/>
          <w:szCs w:val="16"/>
          <w:color w:val="auto"/>
        </w:rPr>
        <w:t>future years. The Company expenses rent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term of the lease, including any rent</w:t>
      </w:r>
      <w:r>
        <w:rPr>
          <w:rFonts w:ascii="MS PGothic" w:cs="MS PGothic" w:eastAsia="MS PGothic" w:hAnsi="MS PGothic"/>
          <w:sz w:val="16"/>
          <w:szCs w:val="16"/>
          <w:color w:val="auto"/>
        </w:rPr>
        <w:t>‑</w:t>
      </w:r>
      <w:r>
        <w:rPr>
          <w:rFonts w:ascii="Arial" w:cs="Arial" w:eastAsia="Arial" w:hAnsi="Arial"/>
          <w:sz w:val="16"/>
          <w:szCs w:val="16"/>
          <w:color w:val="auto"/>
        </w:rPr>
        <w:t>free periods.</w:t>
      </w:r>
    </w:p>
    <w:p>
      <w:pPr>
        <w:spacing w:after="0" w:line="151" w:lineRule="exact"/>
        <w:rPr>
          <w:sz w:val="20"/>
          <w:szCs w:val="20"/>
          <w:color w:val="auto"/>
        </w:rPr>
      </w:pPr>
    </w:p>
    <w:p>
      <w:pPr>
        <w:ind w:right="400" w:firstLine="648"/>
        <w:spacing w:after="0" w:line="249" w:lineRule="auto"/>
        <w:rPr>
          <w:sz w:val="20"/>
          <w:szCs w:val="20"/>
          <w:color w:val="auto"/>
        </w:rPr>
      </w:pPr>
      <w:r>
        <w:rPr>
          <w:rFonts w:ascii="Arial" w:cs="Arial" w:eastAsia="Arial" w:hAnsi="Arial"/>
          <w:sz w:val="16"/>
          <w:szCs w:val="16"/>
          <w:color w:val="auto"/>
        </w:rPr>
        <w:t>In January 2016, the Company executed an amendment to extend the 75 Sidney Street lease and executed an agreement to lease the 64 Sidney Street facility until December 31, 2024. The additional facility includes laboratory and office space, and was ready for occupancy in early 2017. The table below includes estimated payments related to the amended 75 Sidney Street lease and the new lease for 64 Sidney Street to December 2024.</w:t>
      </w:r>
    </w:p>
    <w:p>
      <w:pPr>
        <w:spacing w:after="0" w:line="114" w:lineRule="exact"/>
        <w:rPr>
          <w:sz w:val="20"/>
          <w:szCs w:val="20"/>
          <w:color w:val="auto"/>
        </w:rPr>
      </w:pPr>
    </w:p>
    <w:p>
      <w:pPr>
        <w:jc w:val="both"/>
        <w:ind w:right="140" w:firstLine="648"/>
        <w:spacing w:after="0" w:line="219" w:lineRule="auto"/>
        <w:rPr>
          <w:sz w:val="20"/>
          <w:szCs w:val="20"/>
          <w:color w:val="auto"/>
        </w:rPr>
      </w:pPr>
      <w:r>
        <w:rPr>
          <w:rFonts w:ascii="Arial" w:cs="Arial" w:eastAsia="Arial" w:hAnsi="Arial"/>
          <w:sz w:val="18"/>
          <w:szCs w:val="18"/>
          <w:color w:val="auto"/>
        </w:rPr>
        <w:t>The Company received leasehold improvement incentives from the landlord totaling $1.3 million and $3.5 million for 75 Sidney Street and 64 Sidney Street, respectively. The Company recorded these incentives as a component of deferred rent and will amortize these incentives as a reduction of rent expense over the life of the lease. The leasehold improvements have been recorded as fixed assets.</w:t>
      </w:r>
    </w:p>
    <w:p>
      <w:pPr>
        <w:spacing w:after="0" w:line="13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Rent expense of approximately $2.0 million, $0.9 million, and $0.7 million was incurred during the years ended December 31, 2016, 2015, and 2014,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4"/>
          </w:tcPr>
          <w:p>
            <w:pPr>
              <w:ind w:left="660"/>
              <w:spacing w:after="0"/>
              <w:rPr>
                <w:sz w:val="20"/>
                <w:szCs w:val="20"/>
                <w:color w:val="auto"/>
              </w:rPr>
            </w:pPr>
            <w:r>
              <w:rPr>
                <w:rFonts w:ascii="Arial" w:cs="Arial" w:eastAsia="Arial" w:hAnsi="Arial"/>
                <w:sz w:val="18"/>
                <w:szCs w:val="18"/>
                <w:color w:val="auto"/>
              </w:rPr>
              <w:t>Future annual minimum lease payments at December 31, 2016 are as follows:</w:t>
            </w:r>
          </w:p>
        </w:tc>
        <w:tc>
          <w:tcPr>
            <w:tcW w:w="1820" w:type="dxa"/>
            <w:vAlign w:val="bottom"/>
          </w:tcPr>
          <w:p>
            <w:pPr>
              <w:spacing w:after="0"/>
              <w:rPr>
                <w:sz w:val="20"/>
                <w:szCs w:val="20"/>
                <w:color w:val="auto"/>
              </w:rPr>
            </w:pPr>
          </w:p>
        </w:tc>
      </w:tr>
      <w:tr>
        <w:trPr>
          <w:trHeight w:val="328"/>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Total Minimum</w:t>
            </w:r>
          </w:p>
        </w:tc>
        <w:tc>
          <w:tcPr>
            <w:tcW w:w="1820" w:type="dxa"/>
            <w:vAlign w:val="bottom"/>
          </w:tcPr>
          <w:p>
            <w:pPr>
              <w:spacing w:after="0"/>
              <w:rPr>
                <w:sz w:val="24"/>
                <w:szCs w:val="24"/>
                <w:color w:val="auto"/>
              </w:rPr>
            </w:pPr>
          </w:p>
        </w:tc>
      </w:tr>
      <w:tr>
        <w:trPr>
          <w:trHeight w:val="17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Lease Payments</w:t>
            </w:r>
          </w:p>
        </w:tc>
        <w:tc>
          <w:tcPr>
            <w:tcW w:w="182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14"/>
              <w:spacing w:after="0" w:line="170" w:lineRule="exact"/>
              <w:rPr>
                <w:sz w:val="20"/>
                <w:szCs w:val="20"/>
                <w:color w:val="auto"/>
              </w:rPr>
            </w:pPr>
            <w:r>
              <w:rPr>
                <w:rFonts w:ascii="Arial" w:cs="Arial" w:eastAsia="Arial" w:hAnsi="Arial"/>
                <w:sz w:val="18"/>
                <w:szCs w:val="18"/>
                <w:color w:val="auto"/>
                <w:w w:val="91"/>
              </w:rPr>
              <w:t>(in thousands)</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3,290</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3,762</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8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592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180" w:type="dxa"/>
            <w:vAlign w:val="bottom"/>
            <w:shd w:val="clear" w:color="auto" w:fill="CCEEFF"/>
          </w:tcPr>
          <w:p>
            <w:pPr>
              <w:spacing w:after="0"/>
              <w:rPr>
                <w:sz w:val="19"/>
                <w:szCs w:val="19"/>
                <w:color w:val="auto"/>
              </w:rPr>
            </w:pPr>
          </w:p>
        </w:tc>
        <w:tc>
          <w:tcPr>
            <w:tcW w:w="1820" w:type="dxa"/>
            <w:vAlign w:val="bottom"/>
          </w:tcPr>
          <w:p>
            <w:pPr>
              <w:spacing w:after="0"/>
              <w:rPr>
                <w:sz w:val="19"/>
                <w:szCs w:val="19"/>
                <w:color w:val="auto"/>
              </w:rPr>
            </w:pPr>
          </w:p>
        </w:tc>
      </w:tr>
      <w:tr>
        <w:trPr>
          <w:trHeight w:val="204"/>
        </w:trPr>
        <w:tc>
          <w:tcPr>
            <w:tcW w:w="5820" w:type="dxa"/>
            <w:vAlign w:val="bottom"/>
            <w:tcBorders>
              <w:top w:val="single" w:sz="8" w:color="CCEEFF"/>
            </w:tcBorders>
          </w:tcPr>
          <w:p>
            <w:pPr>
              <w:ind w:left="660"/>
              <w:spacing w:after="0" w:line="204"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20" w:type="dxa"/>
            <w:vAlign w:val="bottom"/>
          </w:tcPr>
          <w:p>
            <w:pPr>
              <w:spacing w:after="0"/>
              <w:rPr>
                <w:sz w:val="17"/>
                <w:szCs w:val="17"/>
                <w:color w:val="auto"/>
              </w:rPr>
            </w:pPr>
          </w:p>
        </w:tc>
      </w:tr>
      <w:tr>
        <w:trPr>
          <w:trHeight w:val="377"/>
        </w:trPr>
        <w:tc>
          <w:tcPr>
            <w:tcW w:w="5920" w:type="dxa"/>
            <w:vAlign w:val="bottom"/>
            <w:gridSpan w:val="2"/>
          </w:tcPr>
          <w:p>
            <w:pPr>
              <w:ind w:left="4360"/>
              <w:spacing w:after="0"/>
              <w:rPr>
                <w:sz w:val="20"/>
                <w:szCs w:val="20"/>
                <w:color w:val="auto"/>
              </w:rPr>
            </w:pPr>
            <w:r>
              <w:rPr>
                <w:rFonts w:ascii="Arial" w:cs="Arial" w:eastAsia="Arial" w:hAnsi="Arial"/>
                <w:sz w:val="18"/>
                <w:szCs w:val="18"/>
                <w:color w:val="auto"/>
              </w:rPr>
              <w:t>F-16</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5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Sanofi-Genzyme Collaboration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February 2015, the Company entered into an agreement with Sanofi-Genzyme (“Collaboration Agreement”), which included a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of $65.0 million. In addition, contemporaneous with entering into the Collaboration Agreement, Sanofi-Genzyme entered into a Series B Stock Purchase Agreement, under which Sanofi-Genzyme purchased 10,000,000 shares of Series B Preferred Stock for $30.0 million. The fair value of the Series B Preferred Stock at the time of issuance was approximately $25.0 million. The $5.0 million premium over the fair value is accounted for as additional consideration under the Collaboration Agreement.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Collaboration Agreement, the Company granted Sanofi-Genzyme an exclusive option to license, develop</w:t>
      </w:r>
    </w:p>
    <w:p>
      <w:pPr>
        <w:spacing w:after="0" w:line="183" w:lineRule="exact"/>
        <w:rPr>
          <w:sz w:val="20"/>
          <w:szCs w:val="20"/>
          <w:color w:val="auto"/>
        </w:rPr>
      </w:pPr>
      <w:r>
        <w:rPr>
          <w:rFonts w:ascii="Arial" w:cs="Arial" w:eastAsia="Arial" w:hAnsi="Arial"/>
          <w:sz w:val="18"/>
          <w:szCs w:val="18"/>
          <w:color w:val="auto"/>
        </w:rPr>
        <w:t>and commercialize (i) ex</w:t>
      </w:r>
      <w:r>
        <w:rPr>
          <w:rFonts w:ascii="MS PGothic" w:cs="MS PGothic" w:eastAsia="MS PGothic" w:hAnsi="MS PGothic"/>
          <w:sz w:val="18"/>
          <w:szCs w:val="18"/>
          <w:color w:val="auto"/>
        </w:rPr>
        <w:t>‑</w:t>
      </w:r>
      <w:r>
        <w:rPr>
          <w:rFonts w:ascii="Arial" w:cs="Arial" w:eastAsia="Arial" w:hAnsi="Arial"/>
          <w:sz w:val="18"/>
          <w:szCs w:val="18"/>
          <w:color w:val="auto"/>
        </w:rPr>
        <w:t>U.S. rights to the following programs, which are referred to as Split Territory Programs;</w:t>
      </w:r>
    </w:p>
    <w:p>
      <w:pPr>
        <w:spacing w:after="0" w:line="176" w:lineRule="exact"/>
        <w:rPr>
          <w:sz w:val="20"/>
          <w:szCs w:val="20"/>
          <w:color w:val="auto"/>
        </w:rPr>
      </w:pPr>
      <w:r>
        <w:rPr>
          <w:rFonts w:ascii="Arial" w:cs="Arial" w:eastAsia="Arial" w:hAnsi="Arial"/>
          <w:sz w:val="17"/>
          <w:szCs w:val="17"/>
          <w:color w:val="auto"/>
        </w:rPr>
        <w:t>VY</w:t>
      </w:r>
      <w:r>
        <w:rPr>
          <w:rFonts w:ascii="MS PGothic" w:cs="MS PGothic" w:eastAsia="MS PGothic" w:hAnsi="MS PGothic"/>
          <w:sz w:val="17"/>
          <w:szCs w:val="17"/>
          <w:color w:val="auto"/>
        </w:rPr>
        <w:t>‑</w:t>
      </w:r>
      <w:r>
        <w:rPr>
          <w:rFonts w:ascii="Arial" w:cs="Arial" w:eastAsia="Arial" w:hAnsi="Arial"/>
          <w:sz w:val="17"/>
          <w:szCs w:val="17"/>
          <w:color w:val="auto"/>
        </w:rPr>
        <w:t>AADC01 (“Parkinson’s Program”), VY</w:t>
      </w:r>
      <w:r>
        <w:rPr>
          <w:rFonts w:ascii="MS PGothic" w:cs="MS PGothic" w:eastAsia="MS PGothic" w:hAnsi="MS PGothic"/>
          <w:sz w:val="17"/>
          <w:szCs w:val="17"/>
          <w:color w:val="auto"/>
        </w:rPr>
        <w:t>‑</w:t>
      </w:r>
      <w:r>
        <w:rPr>
          <w:rFonts w:ascii="Arial" w:cs="Arial" w:eastAsia="Arial" w:hAnsi="Arial"/>
          <w:sz w:val="17"/>
          <w:szCs w:val="17"/>
          <w:color w:val="auto"/>
        </w:rPr>
        <w:t>FXN01 (“Friedreich’s Ataxia Program”), a future program to be designated by</w:t>
      </w:r>
    </w:p>
    <w:p>
      <w:pPr>
        <w:spacing w:after="0" w:line="176" w:lineRule="exact"/>
        <w:rPr>
          <w:sz w:val="20"/>
          <w:szCs w:val="20"/>
          <w:color w:val="auto"/>
        </w:rPr>
      </w:pPr>
      <w:r>
        <w:rPr>
          <w:rFonts w:ascii="Arial" w:cs="Arial" w:eastAsia="Arial" w:hAnsi="Arial"/>
          <w:sz w:val="18"/>
          <w:szCs w:val="18"/>
          <w:color w:val="auto"/>
        </w:rPr>
        <w:t>Sanofi-Genzyme (“Future Program”) and VY</w:t>
      </w:r>
      <w:r>
        <w:rPr>
          <w:rFonts w:ascii="MS PGothic" w:cs="MS PGothic" w:eastAsia="MS PGothic" w:hAnsi="MS PGothic"/>
          <w:sz w:val="18"/>
          <w:szCs w:val="18"/>
          <w:color w:val="auto"/>
        </w:rPr>
        <w:t>‑</w:t>
      </w:r>
      <w:r>
        <w:rPr>
          <w:rFonts w:ascii="Arial" w:cs="Arial" w:eastAsia="Arial" w:hAnsi="Arial"/>
          <w:sz w:val="18"/>
          <w:szCs w:val="18"/>
          <w:color w:val="auto"/>
        </w:rPr>
        <w:t>HTT01 (“Huntington’s Program”) with an incremental option to</w:t>
      </w:r>
    </w:p>
    <w:p>
      <w:pPr>
        <w:spacing w:after="0" w:line="176" w:lineRule="exact"/>
        <w:rPr>
          <w:sz w:val="20"/>
          <w:szCs w:val="20"/>
          <w:color w:val="auto"/>
        </w:rPr>
      </w:pPr>
      <w:r>
        <w:rPr>
          <w:rFonts w:ascii="Arial" w:cs="Arial" w:eastAsia="Arial" w:hAnsi="Arial"/>
          <w:sz w:val="17"/>
          <w:szCs w:val="17"/>
          <w:color w:val="auto"/>
        </w:rPr>
        <w:t>co</w:t>
      </w:r>
      <w:r>
        <w:rPr>
          <w:rFonts w:ascii="MS PGothic" w:cs="MS PGothic" w:eastAsia="MS PGothic" w:hAnsi="MS PGothic"/>
          <w:sz w:val="17"/>
          <w:szCs w:val="17"/>
          <w:color w:val="auto"/>
        </w:rPr>
        <w:t>‑</w:t>
      </w:r>
      <w:r>
        <w:rPr>
          <w:rFonts w:ascii="Arial" w:cs="Arial" w:eastAsia="Arial" w:hAnsi="Arial"/>
          <w:sz w:val="17"/>
          <w:szCs w:val="17"/>
          <w:color w:val="auto"/>
        </w:rPr>
        <w:t>commercialize VY</w:t>
      </w:r>
      <w:r>
        <w:rPr>
          <w:rFonts w:ascii="MS PGothic" w:cs="MS PGothic" w:eastAsia="MS PGothic" w:hAnsi="MS PGothic"/>
          <w:sz w:val="17"/>
          <w:szCs w:val="17"/>
          <w:color w:val="auto"/>
        </w:rPr>
        <w:t>‑</w:t>
      </w:r>
      <w:r>
        <w:rPr>
          <w:rFonts w:ascii="Arial" w:cs="Arial" w:eastAsia="Arial" w:hAnsi="Arial"/>
          <w:sz w:val="17"/>
          <w:szCs w:val="17"/>
          <w:color w:val="auto"/>
        </w:rPr>
        <w:t>HTT01 in the United States and (ii) worldwide rights to VY</w:t>
      </w:r>
      <w:r>
        <w:rPr>
          <w:rFonts w:ascii="MS PGothic" w:cs="MS PGothic" w:eastAsia="MS PGothic" w:hAnsi="MS PGothic"/>
          <w:sz w:val="17"/>
          <w:szCs w:val="17"/>
          <w:color w:val="auto"/>
        </w:rPr>
        <w:t>‑</w:t>
      </w:r>
      <w:r>
        <w:rPr>
          <w:rFonts w:ascii="Arial" w:cs="Arial" w:eastAsia="Arial" w:hAnsi="Arial"/>
          <w:sz w:val="17"/>
          <w:szCs w:val="17"/>
          <w:color w:val="auto"/>
        </w:rPr>
        <w:t>SMN101 (“Spinal Muscular Atrophy</w:t>
      </w:r>
    </w:p>
    <w:p>
      <w:pPr>
        <w:spacing w:after="0" w:line="229" w:lineRule="auto"/>
        <w:rPr>
          <w:sz w:val="20"/>
          <w:szCs w:val="20"/>
          <w:color w:val="auto"/>
        </w:rPr>
      </w:pPr>
      <w:r>
        <w:rPr>
          <w:rFonts w:ascii="Arial" w:cs="Arial" w:eastAsia="Arial" w:hAnsi="Arial"/>
          <w:sz w:val="16"/>
          <w:szCs w:val="16"/>
          <w:color w:val="auto"/>
        </w:rPr>
        <w:t>Program”). Sanofi-Genzyme’s option for the Split Territory Programs and the Spinal Muscular Atrophy Program is triggered</w:t>
      </w:r>
    </w:p>
    <w:p>
      <w:pPr>
        <w:spacing w:after="0" w:line="184" w:lineRule="exact"/>
        <w:rPr>
          <w:sz w:val="20"/>
          <w:szCs w:val="20"/>
          <w:color w:val="auto"/>
        </w:rPr>
      </w:pPr>
      <w:r>
        <w:rPr>
          <w:rFonts w:ascii="Arial" w:cs="Arial" w:eastAsia="Arial" w:hAnsi="Arial"/>
          <w:sz w:val="16"/>
          <w:szCs w:val="16"/>
          <w:color w:val="auto"/>
        </w:rPr>
        <w:t>following the completion of the first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principle human clinical study (“POP Study”), on a program by program basis.</w:t>
      </w:r>
    </w:p>
    <w:p>
      <w:pPr>
        <w:spacing w:after="0" w:line="16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Prior to any option exercise by Sanofi-Genzyme, the Company will collaborate with Sanofi-Genzyme in the development of products under each Split Territory Program and VY</w:t>
      </w:r>
      <w:r>
        <w:rPr>
          <w:rFonts w:ascii="MS PGothic" w:cs="MS PGothic" w:eastAsia="MS PGothic" w:hAnsi="MS PGothic"/>
          <w:sz w:val="18"/>
          <w:szCs w:val="18"/>
          <w:color w:val="auto"/>
        </w:rPr>
        <w:t>‑</w:t>
      </w:r>
      <w:r>
        <w:rPr>
          <w:rFonts w:ascii="Arial" w:cs="Arial" w:eastAsia="Arial" w:hAnsi="Arial"/>
          <w:sz w:val="18"/>
          <w:szCs w:val="18"/>
          <w:color w:val="auto"/>
        </w:rPr>
        <w:t>SMN101 pursuant to a written development plan and under the guidance of an Alliance Joint Steering Committee (“AJSC”), comprised of an equal number of employees from the Company and Sanofi-Genzyme.</w:t>
      </w:r>
    </w:p>
    <w:p>
      <w:pPr>
        <w:spacing w:after="0" w:line="122"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7"/>
          <w:szCs w:val="17"/>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Sanofi-Genzyme technology relating to the VY</w:t>
      </w:r>
      <w:r>
        <w:rPr>
          <w:rFonts w:ascii="MS PGothic" w:cs="MS PGothic" w:eastAsia="MS PGothic" w:hAnsi="MS PGothic"/>
          <w:sz w:val="17"/>
          <w:szCs w:val="17"/>
          <w:color w:val="auto"/>
        </w:rPr>
        <w:t>‑</w:t>
      </w:r>
      <w:r>
        <w:rPr>
          <w:rFonts w:ascii="Arial" w:cs="Arial" w:eastAsia="Arial" w:hAnsi="Arial"/>
          <w:sz w:val="17"/>
          <w:szCs w:val="17"/>
          <w:color w:val="auto"/>
        </w:rPr>
        <w:t>AADC01 Program, the VY</w:t>
      </w:r>
      <w:r>
        <w:rPr>
          <w:rFonts w:ascii="MS PGothic" w:cs="MS PGothic" w:eastAsia="MS PGothic" w:hAnsi="MS PGothic"/>
          <w:sz w:val="17"/>
          <w:szCs w:val="17"/>
          <w:color w:val="auto"/>
        </w:rPr>
        <w:t>‑</w:t>
      </w:r>
      <w:r>
        <w:rPr>
          <w:rFonts w:ascii="Arial" w:cs="Arial" w:eastAsia="Arial" w:hAnsi="Arial"/>
          <w:sz w:val="17"/>
          <w:szCs w:val="17"/>
          <w:color w:val="auto"/>
        </w:rPr>
        <w:t>HTT01 Program or generally with the manufacture of Split Territory Program products.</w:t>
      </w:r>
    </w:p>
    <w:p>
      <w:pPr>
        <w:spacing w:after="0" w:line="121"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Company is solely responsible for all costs incurred in connection with the development of the Split Territory Programs and the Spinal Muscular Atrophy Program products prior to the exercise of an option by Sanofi-Genzyme with the exception of the following: (i) at the Company’s request and upon mutual agreement, Sanofi-Genzyme will provide “in</w:t>
      </w:r>
      <w:r>
        <w:rPr>
          <w:rFonts w:ascii="MS PGothic" w:cs="MS PGothic" w:eastAsia="MS PGothic" w:hAnsi="MS PGothic"/>
          <w:sz w:val="16"/>
          <w:szCs w:val="16"/>
          <w:color w:val="auto"/>
        </w:rPr>
        <w:t>‑</w:t>
      </w:r>
      <w:r>
        <w:rPr>
          <w:rFonts w:ascii="Arial" w:cs="Arial" w:eastAsia="Arial" w:hAnsi="Arial"/>
          <w:sz w:val="16"/>
          <w:szCs w:val="16"/>
          <w:color w:val="auto"/>
        </w:rPr>
        <w:t>kind” services valued at up to $5.0 million and (ii) Sanofi-Genzyme shall be responsible for the costs and expenses of activities under the Huntington’s Program development plan to the extent such activities are covered by financial support Sanofi-Genzyme is entitled to receive from a patient advocacy group, collectively Sanofi-Genzyme “in</w:t>
      </w:r>
      <w:r>
        <w:rPr>
          <w:rFonts w:ascii="MS PGothic" w:cs="MS PGothic" w:eastAsia="MS PGothic" w:hAnsi="MS PGothic"/>
          <w:sz w:val="16"/>
          <w:szCs w:val="16"/>
          <w:color w:val="auto"/>
        </w:rPr>
        <w:t>‑</w:t>
      </w:r>
      <w:r>
        <w:rPr>
          <w:rFonts w:ascii="Arial" w:cs="Arial" w:eastAsia="Arial" w:hAnsi="Arial"/>
          <w:sz w:val="16"/>
          <w:szCs w:val="16"/>
          <w:color w:val="auto"/>
        </w:rPr>
        <w:t>kind” and other funding.</w:t>
      </w:r>
    </w:p>
    <w:p>
      <w:pPr>
        <w:spacing w:after="0" w:line="13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Other than the Parkinson’s Program (for which a POP Study has already been commenced), if the Company does not initiate a POP Study for a given Split Territory Program by December 31, 2026 (or for the Future Program by the tenth anniversary of the date the Future Program is nominated by Sanofi-Genzyme), and Sanofi-Genzyme has not terminated the Collaboration Agreement with respect to the collaboration program, then Sanofi-Genzyme shall be entitled, as its sole and exclusive remedy, to a credit of $10.0 million for each such program against other milestone or royalty payments payable by Sanofi-Genzyme under the Collaboration Agreement. However, if the POP Study is not initiated due to a regulatory delay or a force majeure event, such time period shall be extended for so long as such delay continues.</w:t>
      </w:r>
    </w:p>
    <w:p>
      <w:pPr>
        <w:spacing w:after="0" w:line="122"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With the exception of the Parkinson’s Program, Sanofi-Genzyme is required to pay an option exercise payment of $20.0 million or $30.0 million for each Split Territory Program, as well as the Spinal Muscular Atrophy Program.</w:t>
      </w:r>
    </w:p>
    <w:p>
      <w:pPr>
        <w:spacing w:after="0" w:line="84"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Upon Sanofi-Genzyme’s exercise of its option to license a given product in a Split Territory Program (“Split Territory Licensed Product”), the Company will have sole responsibility for the development of such Split Territory Licensed Product in the United States and Sanofi-Genzyme shall have sole responsibility for development of such Split Territory Licensed Product in the rest of the world. The Company and Sanofi-Genzyme will have shared responsibility for execution of ongoing development of such Split Territory Licensed Product that is not specific to either territory,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187" w:lineRule="exact"/>
        <w:rPr>
          <w:sz w:val="20"/>
          <w:szCs w:val="20"/>
          <w:color w:val="auto"/>
        </w:rPr>
      </w:pPr>
      <w:r>
        <w:rPr>
          <w:rFonts w:ascii="Arial" w:cs="Arial" w:eastAsia="Arial" w:hAnsi="Arial"/>
          <w:sz w:val="17"/>
          <w:szCs w:val="17"/>
          <w:color w:val="auto"/>
        </w:rPr>
        <w:t>including costs associated therewith. The Company is responsible for all commercialization activities relating to Split Territory Licensed Products in the United States, including all of the associated costs. Sanofi-Genzyme is responsible for all commercialization activities relating to the Split Territory Licensed Products in the rest of the world, including all of the associated costs. If Sanofi-Genzyme exercised its co</w:t>
      </w:r>
      <w:r>
        <w:rPr>
          <w:rFonts w:ascii="MS PGothic" w:cs="MS PGothic" w:eastAsia="MS PGothic" w:hAnsi="MS PGothic"/>
          <w:sz w:val="17"/>
          <w:szCs w:val="17"/>
          <w:color w:val="auto"/>
        </w:rPr>
        <w:t>‑</w:t>
      </w:r>
      <w:r>
        <w:rPr>
          <w:rFonts w:ascii="Arial" w:cs="Arial" w:eastAsia="Arial" w:hAnsi="Arial"/>
          <w:sz w:val="17"/>
          <w:szCs w:val="17"/>
          <w:color w:val="auto"/>
        </w:rPr>
        <w:t>commercialization rights, Sanofi-Genzyme will be the lead party responsible for all commercialization activities related to Huntington’s Licensed Product in the United States.</w:t>
      </w:r>
    </w:p>
    <w:p>
      <w:pPr>
        <w:spacing w:after="0" w:line="12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Upon exercise of the option, Sanofi-Genzyme shall have the sole right to develop the Spinal Muscular Atrophy Product worldwide. Sanofi-Genzyme shall be responsible for all of the development costs that occur after the option exercise date for the Spinal Muscular Atrophy Program. Sanofi-Genzyme is also responsible for commercialization activities relating to the Spinal Muscular Atrophy Product worldwide.</w:t>
      </w:r>
    </w:p>
    <w:p>
      <w:pPr>
        <w:spacing w:after="0" w:line="163"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Sanofi-Genzyme is required to pay the Company for specified regulatory and commercial milestones, if achieved, up to $645.0 million across all programs. The regulatory approval milestones are payable upon either regulatory approval in the United States or regulatory and reimbursement approval in the European Union and range from $40.0 million to $50.0 million per milestone, with an aggregate total of $265.0 million. The commercial milestones are payable upon achievement of specified annual net sales in each program and range from $50.0 million to $100.0 million per milestone, with an aggregate total of $380.0 million.</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addition, to the extent any Split Territory Licensed Products or the Spinal Muscular Atrophy Licensed Product are commercialized, the Company is entitled to tiered royalty payments ranging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mid</w:t>
      </w:r>
      <w:r>
        <w:rPr>
          <w:rFonts w:ascii="MS PGothic" w:cs="MS PGothic" w:eastAsia="MS PGothic" w:hAnsi="MS PGothic"/>
          <w:sz w:val="17"/>
          <w:szCs w:val="17"/>
          <w:color w:val="auto"/>
        </w:rPr>
        <w:t>‑</w:t>
      </w:r>
      <w:r>
        <w:rPr>
          <w:rFonts w:ascii="Arial" w:cs="Arial" w:eastAsia="Arial" w:hAnsi="Arial"/>
          <w:sz w:val="17"/>
          <w:szCs w:val="17"/>
          <w:color w:val="auto"/>
        </w:rPr>
        <w:t>teens based on a percentage of net sales by Sanofi-Genzyme. Sanofi-Genzyme is entitled to receive tiered royalty payments related to sales of Split Territory Licensed Product ranging from the low</w:t>
      </w:r>
      <w:r>
        <w:rPr>
          <w:rFonts w:ascii="MS PGothic" w:cs="MS PGothic" w:eastAsia="MS PGothic" w:hAnsi="MS PGothic"/>
          <w:sz w:val="17"/>
          <w:szCs w:val="17"/>
          <w:color w:val="auto"/>
        </w:rPr>
        <w:t>‑</w:t>
      </w:r>
      <w:r>
        <w:rPr>
          <w:rFonts w:ascii="Arial" w:cs="Arial" w:eastAsia="Arial" w:hAnsi="Arial"/>
          <w:sz w:val="17"/>
          <w:szCs w:val="17"/>
          <w:color w:val="auto"/>
        </w:rPr>
        <w:t>single digits to mid</w:t>
      </w:r>
      <w:r>
        <w:rPr>
          <w:rFonts w:ascii="MS PGothic" w:cs="MS PGothic" w:eastAsia="MS PGothic" w:hAnsi="MS PGothic"/>
          <w:sz w:val="17"/>
          <w:szCs w:val="17"/>
          <w:color w:val="auto"/>
        </w:rPr>
        <w:t>‑</w:t>
      </w:r>
      <w:r>
        <w:rPr>
          <w:rFonts w:ascii="Arial" w:cs="Arial" w:eastAsia="Arial" w:hAnsi="Arial"/>
          <w:sz w:val="17"/>
          <w:szCs w:val="17"/>
          <w:color w:val="auto"/>
        </w:rPr>
        <w:t>single digits based on a percentage of net sales by the Company depending on whether the Company uses Sanofi-Genzyme technology in the Split Territory Licensed Product. If Sanofi-Genzyme elects to co</w:t>
      </w:r>
      <w:r>
        <w:rPr>
          <w:rFonts w:ascii="MS PGothic" w:cs="MS PGothic" w:eastAsia="MS PGothic" w:hAnsi="MS PGothic"/>
          <w:sz w:val="17"/>
          <w:szCs w:val="17"/>
          <w:color w:val="auto"/>
        </w:rPr>
        <w:t>‑</w:t>
      </w:r>
      <w:r>
        <w:rPr>
          <w:rFonts w:ascii="Arial" w:cs="Arial" w:eastAsia="Arial" w:hAnsi="Arial"/>
          <w:sz w:val="17"/>
          <w:szCs w:val="17"/>
          <w:color w:val="auto"/>
        </w:rPr>
        <w:t>commercialize VY</w:t>
      </w:r>
      <w:r>
        <w:rPr>
          <w:rFonts w:ascii="MS PGothic" w:cs="MS PGothic" w:eastAsia="MS PGothic" w:hAnsi="MS PGothic"/>
          <w:sz w:val="17"/>
          <w:szCs w:val="17"/>
          <w:color w:val="auto"/>
        </w:rPr>
        <w:t>‑</w:t>
      </w:r>
      <w:r>
        <w:rPr>
          <w:rFonts w:ascii="Arial" w:cs="Arial" w:eastAsia="Arial" w:hAnsi="Arial"/>
          <w:sz w:val="17"/>
          <w:szCs w:val="17"/>
          <w:color w:val="auto"/>
        </w:rPr>
        <w:t>HTT01 in the United States, the Company and Sanofi-Genzyme will share in any profits or losses from VY</w:t>
      </w:r>
      <w:r>
        <w:rPr>
          <w:rFonts w:ascii="MS PGothic" w:cs="MS PGothic" w:eastAsia="MS PGothic" w:hAnsi="MS PGothic"/>
          <w:sz w:val="17"/>
          <w:szCs w:val="17"/>
          <w:color w:val="auto"/>
        </w:rPr>
        <w:t>‑</w:t>
      </w:r>
      <w:r>
        <w:rPr>
          <w:rFonts w:ascii="Arial" w:cs="Arial" w:eastAsia="Arial" w:hAnsi="Arial"/>
          <w:sz w:val="17"/>
          <w:szCs w:val="17"/>
          <w:color w:val="auto"/>
        </w:rPr>
        <w:t>HTT01 product sales.</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Collaboration Agreement will continue in effect until the later of (i) the expiration of the last to expire of the option rights and (ii) the expiration of all payment obligations unless sooner terminated by the Company or Sanofi-Genzyme. The Company and Sanofi-Genzyme have customary termination rights including the right to terminate for an uncured material breach of the agreement committed by the other party and Sanofi-Genzyme has the right to terminate for convenience.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Collaboration Agreement includes the following deliverables: (i) research and development services for each of the Split Territory License Programs and the Spinal Muscular Atrophy Program, (ii) participation in the AJSC,</w:t>
      </w:r>
    </w:p>
    <w:p>
      <w:pPr>
        <w:spacing w:after="0" w:line="1" w:lineRule="exact"/>
        <w:rPr>
          <w:sz w:val="20"/>
          <w:szCs w:val="20"/>
          <w:color w:val="auto"/>
        </w:rPr>
      </w:pPr>
    </w:p>
    <w:p>
      <w:pPr>
        <w:ind w:firstLine="3"/>
        <w:spacing w:after="0" w:line="232" w:lineRule="auto"/>
        <w:tabs>
          <w:tab w:leader="none" w:pos="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participation in the DAC and (iv) the option to obtain a development and commercial license in the Parkinson’s Program and related deliverables. The Company has determined that the option to obtain a development and commercial license in the Parkinson’s program is not a substantive option for accounting purposes, primarily because there is no additional option exercise payment payable by Sanofi-Genzyme at the time the option is exercised. Therefore, the option to obtain a license and other obligations of the Company that are contingent upon exercise of the option are considered deliverables at the inception of the arrangement. The options in the other Split Territory Programs and the Spinal Muscular Atrophy Program are considered substantive as there is substantial option exercise payments payable by Sanofi-Genzyme upon exercise. In addition, as a result of the uncertainties related to the discovery, research, development and commercialization activities, the Company is at risk with regard to whether Sanofi-Genzyme will exercise the options. Moreover, the substantive options are not priced at a significant incremental discount. Accordingly, the substantive options are not considered deliverables at the inception of the arrangement and the associated option exercise payments are not included in allocable arrangement consideration. The Company has also determined that any obligations which are contingent upon the exercise of a substantive option are not considered deliverables at the outset of the arrangement, as these deliverables are contingent upon the exercise of the options. In addition, any option exercise payments associated with the substantive options are not included in the allocable arrangement consideration.</w:t>
      </w:r>
    </w:p>
    <w:p>
      <w:pPr>
        <w:spacing w:after="0" w:line="16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6"/>
          <w:szCs w:val="16"/>
          <w:color w:val="auto"/>
        </w:rPr>
        <w:t>The Company has concluded that each of the deliverables identified at the inception of the arrangement has standalone value from the other undelivered elements. Additionally, the Collaboration Agreement does not include return rights related to the initial collaboration term. Accordingly, each deliverable qualifies as a separate unit of accounting.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The Company has identified $79.3 million of allocable arrangement consideration consisting of the $65 million upfront fee, the $5.0 million premium paid in excess of fair value of the Series B Preferred Stock and $9.3 million of Sanofi-Genzyme “in</w:t>
      </w:r>
      <w:r>
        <w:rPr>
          <w:rFonts w:ascii="MS PGothic" w:cs="MS PGothic" w:eastAsia="MS PGothic" w:hAnsi="MS PGothic"/>
          <w:sz w:val="18"/>
          <w:szCs w:val="18"/>
          <w:color w:val="auto"/>
        </w:rPr>
        <w:t>‑</w:t>
      </w:r>
      <w:r>
        <w:rPr>
          <w:rFonts w:ascii="Arial" w:cs="Arial" w:eastAsia="Arial" w:hAnsi="Arial"/>
          <w:sz w:val="18"/>
          <w:szCs w:val="18"/>
          <w:color w:val="auto"/>
        </w:rPr>
        <w:t>kind” and other funding.</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Company has allocated the allocable arrangement consideration based on the relative selling price of each unit of accounting. For all units of accounting, the Company determined the selling price using the best estimate of selling price (“BESP”). The Company determined the BESP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 development activities include, the length of time required and the number and costs of various studies that will be performed to complete the POP Study. The BESP for the AJSC and DAC have been estimated based on the costs incurred to participate in the committees, marked up to include a reasonable profit margin. The BESP for the license option was determined based on the estimated value of the license and related deliverables adjusted for the estimated probability that the option would be exercised by Sanofi-Genzyme.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relative selling price allocation, the allocable arrangement consideration was allocated as follows:</w:t>
      </w:r>
    </w:p>
    <w:p>
      <w:pPr>
        <w:sectPr>
          <w:pgSz w:w="11900" w:h="16838" w:orient="portrait"/>
          <w:cols w:equalWidth="0" w:num="1">
            <w:col w:w="9060"/>
          </w:cols>
          <w:pgMar w:left="1420" w:top="111" w:right="14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7992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Services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4596765" cy="111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Huntington’s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Parkinson’s Program</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Friedreich’s Ataxia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Spinal Muscular Atrophy Program</w:t>
      </w:r>
    </w:p>
    <w:p>
      <w:pPr>
        <w:ind w:left="220"/>
        <w:spacing w:after="0" w:line="216" w:lineRule="auto"/>
        <w:rPr>
          <w:sz w:val="20"/>
          <w:szCs w:val="20"/>
          <w:color w:val="auto"/>
        </w:rPr>
      </w:pPr>
      <w:r>
        <w:rPr>
          <w:rFonts w:ascii="Arial" w:cs="Arial" w:eastAsia="Arial" w:hAnsi="Arial"/>
          <w:sz w:val="18"/>
          <w:szCs w:val="18"/>
          <w:color w:val="auto"/>
        </w:rPr>
        <w:t>Future Program</w:t>
      </w:r>
    </w:p>
    <w:p>
      <w:pPr>
        <w:spacing w:after="0"/>
        <w:rPr>
          <w:sz w:val="20"/>
          <w:szCs w:val="20"/>
          <w:color w:val="auto"/>
        </w:rPr>
      </w:pPr>
      <w:r>
        <w:rPr>
          <w:rFonts w:ascii="Arial" w:cs="Arial" w:eastAsia="Arial" w:hAnsi="Arial"/>
          <w:sz w:val="18"/>
          <w:szCs w:val="18"/>
          <w:color w:val="auto"/>
        </w:rPr>
        <w:t>Committee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4596765" cy="1117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DAC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License Option and related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59676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96765" cy="163195"/>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894"/>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604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(in thousands)</w:t>
      </w:r>
    </w:p>
    <w:p>
      <w:pPr>
        <w:spacing w:after="0" w:line="165" w:lineRule="exact"/>
        <w:rPr>
          <w:sz w:val="20"/>
          <w:szCs w:val="20"/>
          <w:color w:val="auto"/>
        </w:rPr>
      </w:pPr>
    </w:p>
    <w:p>
      <w:pPr>
        <w:ind w:left="486" w:hanging="486"/>
        <w:spacing w:after="0"/>
        <w:tabs>
          <w:tab w:leader="none" w:pos="486" w:val="left"/>
        </w:tabs>
        <w:numPr>
          <w:ilvl w:val="0"/>
          <w:numId w:val="84"/>
        </w:numPr>
        <w:rPr>
          <w:rFonts w:ascii="Arial" w:cs="Arial" w:eastAsia="Arial" w:hAnsi="Arial"/>
          <w:sz w:val="17"/>
          <w:szCs w:val="17"/>
          <w:color w:val="auto"/>
        </w:rPr>
      </w:pPr>
      <w:r>
        <w:rPr>
          <w:rFonts w:ascii="Arial" w:cs="Arial" w:eastAsia="Arial" w:hAnsi="Arial"/>
          <w:sz w:val="17"/>
          <w:szCs w:val="17"/>
          <w:color w:val="auto"/>
        </w:rPr>
        <w:t>15,662</w:t>
      </w:r>
    </w:p>
    <w:p>
      <w:pPr>
        <w:spacing w:after="0" w:line="36" w:lineRule="exact"/>
        <w:rPr>
          <w:rFonts w:ascii="Arial" w:cs="Arial" w:eastAsia="Arial" w:hAnsi="Arial"/>
          <w:sz w:val="17"/>
          <w:szCs w:val="17"/>
          <w:color w:val="auto"/>
        </w:rPr>
      </w:pPr>
    </w:p>
    <w:p>
      <w:pPr>
        <w:ind w:left="586"/>
        <w:spacing w:after="0"/>
        <w:rPr>
          <w:rFonts w:ascii="Arial" w:cs="Arial" w:eastAsia="Arial" w:hAnsi="Arial"/>
          <w:sz w:val="17"/>
          <w:szCs w:val="17"/>
          <w:color w:val="auto"/>
        </w:rPr>
      </w:pPr>
      <w:r>
        <w:rPr>
          <w:rFonts w:ascii="Arial" w:cs="Arial" w:eastAsia="Arial" w:hAnsi="Arial"/>
          <w:sz w:val="17"/>
          <w:szCs w:val="17"/>
          <w:color w:val="auto"/>
        </w:rPr>
        <w:t>6,648</w:t>
      </w:r>
    </w:p>
    <w:p>
      <w:pPr>
        <w:spacing w:after="0" w:line="1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16,315</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32,050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2,464</w:t>
      </w:r>
    </w:p>
    <w:p>
      <w:pPr>
        <w:spacing w:after="0" w:line="170"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147</w:t>
      </w:r>
    </w:p>
    <w:p>
      <w:pPr>
        <w:spacing w:after="0" w:line="23"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227</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5,743</w:t>
      </w:r>
    </w:p>
    <w:p>
      <w:pPr>
        <w:spacing w:after="0" w:line="9" w:lineRule="exact"/>
        <w:rPr>
          <w:sz w:val="20"/>
          <w:szCs w:val="20"/>
          <w:color w:val="auto"/>
        </w:rPr>
      </w:pPr>
    </w:p>
    <w:p>
      <w:pPr>
        <w:ind w:left="486" w:hanging="486"/>
        <w:spacing w:after="0"/>
        <w:tabs>
          <w:tab w:leader="none" w:pos="486" w:val="left"/>
        </w:tabs>
        <w:numPr>
          <w:ilvl w:val="0"/>
          <w:numId w:val="85"/>
        </w:numPr>
        <w:rPr>
          <w:rFonts w:ascii="Arial" w:cs="Arial" w:eastAsia="Arial" w:hAnsi="Arial"/>
          <w:sz w:val="17"/>
          <w:szCs w:val="17"/>
          <w:color w:val="auto"/>
        </w:rPr>
      </w:pPr>
      <w:r>
        <w:rPr>
          <w:rFonts w:ascii="Arial" w:cs="Arial" w:eastAsia="Arial" w:hAnsi="Arial"/>
          <w:sz w:val="17"/>
          <w:szCs w:val="17"/>
          <w:color w:val="auto"/>
        </w:rPr>
        <w:t>79,256</w:t>
      </w:r>
    </w:p>
    <w:p>
      <w:pPr>
        <w:spacing w:after="0" w:line="249" w:lineRule="exact"/>
        <w:rPr>
          <w:sz w:val="20"/>
          <w:szCs w:val="20"/>
          <w:color w:val="auto"/>
        </w:rPr>
      </w:pPr>
    </w:p>
    <w:p>
      <w:pPr>
        <w:sectPr>
          <w:pgSz w:w="11900" w:h="16838" w:orient="portrait"/>
          <w:cols w:equalWidth="0" w:num="2">
            <w:col w:w="5414" w:space="720"/>
            <w:col w:w="2926"/>
          </w:cols>
          <w:pgMar w:left="1420" w:top="111" w:right="1419" w:bottom="1440" w:gutter="0" w:footer="0" w:header="0"/>
          <w:type w:val="continuous"/>
        </w:sectPr>
      </w:pPr>
    </w:p>
    <w:p>
      <w:pPr>
        <w:ind w:firstLine="648"/>
        <w:spacing w:after="0" w:line="226" w:lineRule="auto"/>
        <w:rPr>
          <w:sz w:val="20"/>
          <w:szCs w:val="20"/>
          <w:color w:val="auto"/>
        </w:rPr>
      </w:pPr>
      <w:r>
        <w:rPr>
          <w:rFonts w:ascii="Arial" w:cs="Arial" w:eastAsia="Arial" w:hAnsi="Arial"/>
          <w:sz w:val="17"/>
          <w:szCs w:val="17"/>
          <w:color w:val="auto"/>
        </w:rPr>
        <w:t>The Company recognizes the amounts associated with research and development services on a straight-line basis over the period of service as there is no discernable pattern or objective measure of performance for the services. Similarly, the Company recognizes the amount associated with the committee obligations on a straight-line basis over the period of service consistent with the expected pattern of performance. The amounts allocated to the license option will be deferred until the option is exercised. The revenue recognition upon option exercise will be determined based on whether the license has standalone value from the remaining deliverables at the time of exercise.</w:t>
      </w:r>
    </w:p>
    <w:p>
      <w:pPr>
        <w:spacing w:after="0" w:line="165" w:lineRule="exact"/>
        <w:rPr>
          <w:sz w:val="20"/>
          <w:szCs w:val="20"/>
          <w:color w:val="auto"/>
        </w:rPr>
      </w:pPr>
    </w:p>
    <w:p>
      <w:pPr>
        <w:ind w:right="200" w:firstLine="648"/>
        <w:spacing w:after="0" w:line="226" w:lineRule="auto"/>
        <w:rPr>
          <w:sz w:val="20"/>
          <w:szCs w:val="20"/>
          <w:color w:val="auto"/>
        </w:rPr>
      </w:pPr>
      <w:r>
        <w:rPr>
          <w:rFonts w:ascii="Arial" w:cs="Arial" w:eastAsia="Arial" w:hAnsi="Arial"/>
          <w:sz w:val="17"/>
          <w:szCs w:val="17"/>
          <w:color w:val="auto"/>
        </w:rPr>
        <w:t>During 2016 the Company reassessed the estimated period of performance for each of the units of accounting and determined that the estimated period would be extended for two units of accounting, the Company and Sanofi-Genzyme deprioritized and agreed to pause the development of VY-SMN101, and reduced the estimates related to the amount of “in-kind” services that would be provided by Sanofi-Genzyme. As a result, the Company is no longer recognizing the amount allocated to the VY-SMN101 program. These adjustments were made on a prospective basis and will result in decreases in revenue recognized by $2.4 million per quarter.</w:t>
      </w:r>
    </w:p>
    <w:p>
      <w:pPr>
        <w:spacing w:after="0" w:line="16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 has evaluated all of the milestones that may be received in connection with the Split Territory Licensed Product and the Spinal Muscular Atrophy Program Licensed Product.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 performance to achieve the milestone, (ii) the consideration relates solely to past performance and (iii) the consideration is reasonable relative to all of the deliverables and payment terms within the arrangement. All regulatory milestones are considered substantive on the basis of the contingent nature of the milestone, specifically reviewing factors such as the scientific, clinical, regulatory,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 accounted for in the same manner as royalties and recorded as revenue upon achievement of the milestone, assuming all other revenue recognition criteria are met.</w:t>
      </w:r>
    </w:p>
    <w:p>
      <w:pPr>
        <w:spacing w:after="0" w:line="163"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During the year ended December 31, 2016 and 2015, the Company recognized $14.2 million and $17.3 million, respectively, of revenue associated with its collaboration with Sanofi-Genzyme related to research and development services performed during the period. As of December 31, 2016, there is $41.6 million of deferred revenue related to the Collaboration Agreement, which is classified as either current or noncurrent in the accompanying balance sheet based on the period the services are expected to be delivered.</w:t>
      </w:r>
    </w:p>
    <w:p>
      <w:pPr>
        <w:spacing w:after="0" w:line="162"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Costs incurred relating to the programs that Sanofi-Genzyme has the option to license under the Collaboration Agreement consist of internal and external research and development costs, which primarily include: salaries and benefits, lab supplies and preclinical research studies. The Company does not separately track or segregate the amount of costs incurred under the Collaboration Agreement. All costs are included in research and development expenses in the Company’s statement of operations during the year ended December 31, 2016. The Company estimates that the majority of research and development expense during the period relate to programs for which Sanofi-Genzyme has an option right.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Massachusetts (“UMass”) and MassBiologics Collaboration</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January 2014, UMass and the Company entered into a Collaboration Agreement wherein the Company granted UMass 23,529 shares of common stock, valued at $12.0 thousand, which was recorded as research and development expense. This was the only payment made under the Collaboration Agreement until it was amended by the Collaboration Agreement entered into with UMass and MassBiologics in October 2014.</w:t>
      </w:r>
    </w:p>
    <w:p>
      <w:pPr>
        <w:spacing w:after="0" w:line="163"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On October 20, 2014, the Company entered into a Collaboration Agreement with UMass and MassBiologics (of the UMass Medical School).</w:t>
      </w:r>
    </w:p>
    <w:p>
      <w:pPr>
        <w:spacing w:after="0" w:line="162" w:lineRule="exact"/>
        <w:rPr>
          <w:sz w:val="20"/>
          <w:szCs w:val="20"/>
          <w:color w:val="auto"/>
        </w:rPr>
      </w:pPr>
    </w:p>
    <w:p>
      <w:pPr>
        <w:ind w:right="300" w:firstLine="648"/>
        <w:spacing w:after="0" w:line="189" w:lineRule="exact"/>
        <w:rPr>
          <w:sz w:val="20"/>
          <w:szCs w:val="20"/>
          <w:color w:val="auto"/>
        </w:rPr>
      </w:pPr>
      <w:r>
        <w:rPr>
          <w:rFonts w:ascii="Arial" w:cs="Arial" w:eastAsia="Arial" w:hAnsi="Arial"/>
          <w:sz w:val="17"/>
          <w:szCs w:val="17"/>
          <w:color w:val="auto"/>
        </w:rPr>
        <w:t>Under the agreement, the Company shall (i) fund certain projects that will be conducted by UMass or MassBiologics, (ii) fund certain educational programs of UMass, including post</w:t>
      </w:r>
      <w:r>
        <w:rPr>
          <w:rFonts w:ascii="MS PGothic" w:cs="MS PGothic" w:eastAsia="MS PGothic" w:hAnsi="MS PGothic"/>
          <w:sz w:val="17"/>
          <w:szCs w:val="17"/>
          <w:color w:val="auto"/>
        </w:rPr>
        <w:t>‑</w:t>
      </w:r>
      <w:r>
        <w:rPr>
          <w:rFonts w:ascii="Arial" w:cs="Arial" w:eastAsia="Arial" w:hAnsi="Arial"/>
          <w:sz w:val="17"/>
          <w:szCs w:val="17"/>
          <w:color w:val="auto"/>
        </w:rPr>
        <w:t>doctoral research at the Company’s laboratories beginning in 2015, and (iii) collaborate with MassBiologics to establish scalable processes for manufacturing recombinant adeno</w:t>
      </w:r>
      <w:r>
        <w:rPr>
          <w:rFonts w:ascii="MS PGothic" w:cs="MS PGothic" w:eastAsia="MS PGothic" w:hAnsi="MS PGothic"/>
          <w:sz w:val="17"/>
          <w:szCs w:val="17"/>
          <w:color w:val="auto"/>
        </w:rPr>
        <w:t>‑</w:t>
      </w:r>
      <w:r>
        <w:rPr>
          <w:rFonts w:ascii="Arial" w:cs="Arial" w:eastAsia="Arial" w:hAnsi="Arial"/>
          <w:sz w:val="17"/>
          <w:szCs w:val="17"/>
          <w:color w:val="auto"/>
        </w:rPr>
        <w:t>associated viral vector products using current good manufacturing practices.</w:t>
      </w:r>
    </w:p>
    <w:p>
      <w:pPr>
        <w:spacing w:after="0" w:line="163" w:lineRule="exact"/>
        <w:rPr>
          <w:sz w:val="20"/>
          <w:szCs w:val="20"/>
          <w:color w:val="auto"/>
        </w:rPr>
      </w:pPr>
    </w:p>
    <w:p>
      <w:pPr>
        <w:ind w:right="440" w:firstLine="648"/>
        <w:spacing w:after="0" w:line="249" w:lineRule="auto"/>
        <w:rPr>
          <w:sz w:val="20"/>
          <w:szCs w:val="20"/>
          <w:color w:val="auto"/>
        </w:rPr>
      </w:pPr>
      <w:r>
        <w:rPr>
          <w:rFonts w:ascii="Arial" w:cs="Arial" w:eastAsia="Arial" w:hAnsi="Arial"/>
          <w:sz w:val="16"/>
          <w:szCs w:val="16"/>
          <w:color w:val="auto"/>
        </w:rPr>
        <w:t>In November 2014, the parties agreed to the first project under this agreement whereby the Company will fund approximately $2.9 million over a sixteen month period for certain research and development services performed by MassBiologics. The project commenced in January 2015 and completed during 2016. Research and development costs incurred by MassBiologics under the project agreement were expensed by the Company as incurred.</w:t>
      </w:r>
    </w:p>
    <w:p>
      <w:pPr>
        <w:spacing w:after="0" w:line="151" w:lineRule="exact"/>
        <w:rPr>
          <w:sz w:val="20"/>
          <w:szCs w:val="20"/>
          <w:color w:val="auto"/>
        </w:rPr>
      </w:pPr>
    </w:p>
    <w:p>
      <w:pPr>
        <w:ind w:right="4140"/>
        <w:spacing w:after="0" w:line="456" w:lineRule="auto"/>
        <w:rPr>
          <w:sz w:val="20"/>
          <w:szCs w:val="20"/>
          <w:color w:val="auto"/>
        </w:rPr>
      </w:pPr>
      <w:r>
        <w:rPr>
          <w:rFonts w:ascii="Arial" w:cs="Arial" w:eastAsia="Arial" w:hAnsi="Arial"/>
          <w:sz w:val="18"/>
          <w:szCs w:val="18"/>
          <w:b w:val="1"/>
          <w:bCs w:val="1"/>
          <w:color w:val="auto"/>
        </w:rPr>
        <w:t xml:space="preserve">MRI Interventions License and Securities Purchase Agreements </w:t>
      </w:r>
      <w:r>
        <w:rPr>
          <w:rFonts w:ascii="Arial" w:cs="Arial" w:eastAsia="Arial" w:hAnsi="Arial"/>
          <w:sz w:val="18"/>
          <w:szCs w:val="18"/>
          <w:i w:val="1"/>
          <w:iCs w:val="1"/>
          <w:color w:val="auto"/>
        </w:rPr>
        <w:t>Summary of Agreement</w:t>
      </w:r>
    </w:p>
    <w:p>
      <w:pPr>
        <w:spacing w:after="0" w:line="1"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September 2016, the Company entered into a Securities Purchase and License agreements with MRI Interventions, Inc. (“MRIC”). MRIC is the primary supplier of the ClearPoint System, which is being used by the Company in ongoing development and clinical trials. Under the Securities Purchase Agreement, the Company paid $2.0 million for shares of MRIC common stock and a warrant to purchase additional shares of MRIC common stock. The License Agreement provides for certain rights to MRIC technology, and for MRIC to transfer the rights and know-how to manufacture the ClearPoint System, in order to enable the Company to utilize an alternative supplier for the ClearPoint System for use in the Company’s development and clinical trials. Upon completion of the transfer of the manufacturing and know how, the Company may be obligated to purchase an additional $1.0 million of MRIC common stock at the then fair market value. In addition, the Company has purchased approximately $0.3 million of supplies for use in the ongoing development and clinical trials and has agreed to negotiate a Development and Supply agreement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Company has accounted for its interest in MRIC common stock under ASC 320 “Investments - Debt and Equity Securities” since the Company does not have the ability to control or exercise significant influence over the operations of MRIC. As the MRIC common stock is actively traded, the Company has accounted for the investment in MRIC common stock as an available-for-sale marketable security. The $2.0 million payment was allocated to the common stock and warrant, based on relative fair value. The investment in MRIC common stock was initially recorded at $1.2 million and the warrant was recorded at $0.8 million.</w:t>
      </w:r>
    </w:p>
    <w:p>
      <w:pPr>
        <w:spacing w:after="0" w:line="162" w:lineRule="exact"/>
        <w:rPr>
          <w:sz w:val="20"/>
          <w:szCs w:val="20"/>
          <w:color w:val="auto"/>
        </w:rPr>
      </w:pPr>
    </w:p>
    <w:p>
      <w:pPr>
        <w:jc w:val="both"/>
        <w:ind w:right="320" w:firstLine="648"/>
        <w:spacing w:after="0" w:line="232" w:lineRule="auto"/>
        <w:rPr>
          <w:sz w:val="20"/>
          <w:szCs w:val="20"/>
          <w:color w:val="auto"/>
        </w:rPr>
      </w:pPr>
      <w:r>
        <w:rPr>
          <w:rFonts w:ascii="Arial" w:cs="Arial" w:eastAsia="Arial" w:hAnsi="Arial"/>
          <w:sz w:val="17"/>
          <w:szCs w:val="17"/>
          <w:color w:val="auto"/>
        </w:rPr>
        <w:t>The shares of MRIC common stock are classified as non-current available-for-sale marketable securities and the warrants are classified as other assets in the accompanying balance sheet. Remeasurement gains related to the marketable securities are recorded as a component of other comprehensive income and gains related to the warrant are recorded as a component of other expenses in the consolidated statement of operations.</w:t>
      </w:r>
    </w:p>
    <w:p>
      <w:pPr>
        <w:spacing w:after="0" w:line="16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The Company concluded that the fair value of the potential obligation to purchase an additional $1.0 million of common stock was insignificant as the share acquisition price will be based on the market price of the MRIC common stock upon completion of the transfer of manufacturing and know how.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2016, 2015, and 2014, the Company entered into various agreements with contract research organizations</w:t>
      </w:r>
    </w:p>
    <w:p>
      <w:pPr>
        <w:spacing w:after="0"/>
        <w:rPr>
          <w:sz w:val="20"/>
          <w:szCs w:val="20"/>
          <w:color w:val="auto"/>
        </w:rPr>
      </w:pPr>
      <w:r>
        <w:rPr>
          <w:rFonts w:ascii="Arial" w:cs="Arial" w:eastAsia="Arial" w:hAnsi="Arial"/>
          <w:sz w:val="16"/>
          <w:szCs w:val="16"/>
          <w:color w:val="auto"/>
        </w:rPr>
        <w:t>and institutions to license intellectual property. In consideration for the licensed rights the Company generally made upfront</w:t>
      </w:r>
    </w:p>
    <w:p>
      <w:pPr>
        <w:spacing w:after="0" w:line="215" w:lineRule="auto"/>
        <w:rPr>
          <w:sz w:val="20"/>
          <w:szCs w:val="20"/>
          <w:color w:val="auto"/>
        </w:rPr>
      </w:pPr>
      <w:r>
        <w:rPr>
          <w:rFonts w:ascii="Arial" w:cs="Arial" w:eastAsia="Arial" w:hAnsi="Arial"/>
          <w:sz w:val="17"/>
          <w:szCs w:val="17"/>
          <w:color w:val="auto"/>
        </w:rPr>
        <w:t>payments, which were recorded as research and development expense as the acquired technologies were considered</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During the years ended December 31, 2016 and 2015, the Company paid $0.6 million</w:t>
      </w:r>
    </w:p>
    <w:p>
      <w:pPr>
        <w:spacing w:after="0" w:line="176" w:lineRule="exact"/>
        <w:rPr>
          <w:sz w:val="20"/>
          <w:szCs w:val="20"/>
          <w:color w:val="auto"/>
        </w:rPr>
      </w:pPr>
      <w:r>
        <w:rPr>
          <w:rFonts w:ascii="Arial" w:cs="Arial" w:eastAsia="Arial" w:hAnsi="Arial"/>
          <w:sz w:val="16"/>
          <w:szCs w:val="16"/>
          <w:color w:val="auto"/>
        </w:rPr>
        <w:t>and $0.1 million respectively, in up</w:t>
      </w:r>
      <w:r>
        <w:rPr>
          <w:rFonts w:ascii="MS PGothic" w:cs="MS PGothic" w:eastAsia="MS PGothic" w:hAnsi="MS PGothic"/>
          <w:sz w:val="16"/>
          <w:szCs w:val="16"/>
          <w:color w:val="auto"/>
        </w:rPr>
        <w:t>‑</w:t>
      </w:r>
      <w:r>
        <w:rPr>
          <w:rFonts w:ascii="Arial" w:cs="Arial" w:eastAsia="Arial" w:hAnsi="Arial"/>
          <w:sz w:val="16"/>
          <w:szCs w:val="16"/>
          <w:color w:val="auto"/>
        </w:rPr>
        <w:t>front license fees. The license agreements also obligate the Company to make additional</w:t>
      </w:r>
    </w:p>
    <w:p>
      <w:pPr>
        <w:spacing w:after="0" w:line="216" w:lineRule="auto"/>
        <w:rPr>
          <w:sz w:val="20"/>
          <w:szCs w:val="20"/>
          <w:color w:val="auto"/>
        </w:rPr>
      </w:pPr>
      <w:r>
        <w:rPr>
          <w:rFonts w:ascii="Arial" w:cs="Arial" w:eastAsia="Arial" w:hAnsi="Arial"/>
          <w:sz w:val="17"/>
          <w:szCs w:val="17"/>
          <w:color w:val="auto"/>
        </w:rPr>
        <w:t>payments that are contingent upon specific clinical trial and regulatory approval milestones being achieved as well as</w:t>
      </w:r>
    </w:p>
    <w:p>
      <w:pPr>
        <w:spacing w:after="0" w:line="229" w:lineRule="auto"/>
        <w:rPr>
          <w:sz w:val="20"/>
          <w:szCs w:val="20"/>
          <w:color w:val="auto"/>
        </w:rPr>
      </w:pPr>
      <w:r>
        <w:rPr>
          <w:rFonts w:ascii="Arial" w:cs="Arial" w:eastAsia="Arial" w:hAnsi="Arial"/>
          <w:sz w:val="16"/>
          <w:szCs w:val="16"/>
          <w:color w:val="auto"/>
        </w:rPr>
        <w:t>royalties on future product sales. The agreements to license intellectual property include potential milestone payments that</w:t>
      </w:r>
    </w:p>
    <w:p>
      <w:pPr>
        <w:spacing w:after="0" w:line="229" w:lineRule="auto"/>
        <w:rPr>
          <w:sz w:val="20"/>
          <w:szCs w:val="20"/>
          <w:color w:val="auto"/>
        </w:rPr>
      </w:pPr>
      <w:r>
        <w:rPr>
          <w:rFonts w:ascii="Arial" w:cs="Arial" w:eastAsia="Arial" w:hAnsi="Arial"/>
          <w:sz w:val="16"/>
          <w:szCs w:val="16"/>
          <w:color w:val="auto"/>
        </w:rPr>
        <w:t>are dependent upon the development of products licensed under the agreements and contingent upon the achievement of</w:t>
      </w:r>
    </w:p>
    <w:p>
      <w:pPr>
        <w:spacing w:after="0" w:line="215" w:lineRule="auto"/>
        <w:rPr>
          <w:sz w:val="20"/>
          <w:szCs w:val="20"/>
          <w:color w:val="auto"/>
        </w:rPr>
      </w:pPr>
      <w:r>
        <w:rPr>
          <w:rFonts w:ascii="Arial" w:cs="Arial" w:eastAsia="Arial" w:hAnsi="Arial"/>
          <w:sz w:val="17"/>
          <w:szCs w:val="17"/>
          <w:color w:val="auto"/>
        </w:rPr>
        <w:t>clinical trial or regulatory approval milestones. The maximum aggregate potential milestone payments payable by the</w:t>
      </w:r>
    </w:p>
    <w:p>
      <w:pPr>
        <w:spacing w:after="0" w:line="229" w:lineRule="auto"/>
        <w:rPr>
          <w:sz w:val="20"/>
          <w:szCs w:val="20"/>
          <w:color w:val="auto"/>
        </w:rPr>
      </w:pPr>
      <w:r>
        <w:rPr>
          <w:rFonts w:ascii="Arial" w:cs="Arial" w:eastAsia="Arial" w:hAnsi="Arial"/>
          <w:sz w:val="16"/>
          <w:szCs w:val="16"/>
          <w:color w:val="auto"/>
        </w:rPr>
        <w:t>Company total approximately $12.0 million. Additionally, under the terms of one agreement, the Company has options to</w:t>
      </w:r>
    </w:p>
    <w:p>
      <w:pPr>
        <w:spacing w:after="0" w:line="216" w:lineRule="auto"/>
        <w:rPr>
          <w:sz w:val="20"/>
          <w:szCs w:val="20"/>
          <w:color w:val="auto"/>
        </w:rPr>
      </w:pPr>
      <w:r>
        <w:rPr>
          <w:rFonts w:ascii="Arial" w:cs="Arial" w:eastAsia="Arial" w:hAnsi="Arial"/>
          <w:sz w:val="17"/>
          <w:szCs w:val="17"/>
          <w:color w:val="auto"/>
        </w:rPr>
        <w:t>license intellectual property to be used in the development of therapies for four additional disease indications. If the</w:t>
      </w:r>
    </w:p>
    <w:p>
      <w:pPr>
        <w:spacing w:after="0" w:line="176" w:lineRule="exact"/>
        <w:rPr>
          <w:sz w:val="20"/>
          <w:szCs w:val="20"/>
          <w:color w:val="auto"/>
        </w:rPr>
      </w:pPr>
      <w:r>
        <w:rPr>
          <w:rFonts w:ascii="Arial" w:cs="Arial" w:eastAsia="Arial" w:hAnsi="Arial"/>
          <w:sz w:val="16"/>
          <w:szCs w:val="16"/>
          <w:color w:val="auto"/>
        </w:rPr>
        <w:t>Company exercises all of the options under the agreement, it would be obligated to pay aggregate up</w:t>
      </w:r>
      <w:r>
        <w:rPr>
          <w:rFonts w:ascii="MS PGothic" w:cs="MS PGothic" w:eastAsia="MS PGothic" w:hAnsi="MS PGothic"/>
          <w:sz w:val="16"/>
          <w:szCs w:val="16"/>
          <w:color w:val="auto"/>
        </w:rPr>
        <w:t>‑</w:t>
      </w:r>
      <w:r>
        <w:rPr>
          <w:rFonts w:ascii="Arial" w:cs="Arial" w:eastAsia="Arial" w:hAnsi="Arial"/>
          <w:sz w:val="16"/>
          <w:szCs w:val="16"/>
          <w:color w:val="auto"/>
        </w:rPr>
        <w:t>front fees of up to</w:t>
      </w:r>
    </w:p>
    <w:p>
      <w:pPr>
        <w:spacing w:after="0" w:line="229" w:lineRule="auto"/>
        <w:rPr>
          <w:sz w:val="20"/>
          <w:szCs w:val="20"/>
          <w:color w:val="auto"/>
        </w:rPr>
      </w:pPr>
      <w:r>
        <w:rPr>
          <w:rFonts w:ascii="Arial" w:cs="Arial" w:eastAsia="Arial" w:hAnsi="Arial"/>
          <w:sz w:val="16"/>
          <w:szCs w:val="16"/>
          <w:color w:val="auto"/>
        </w:rPr>
        <w:t>approximately $1.5 million and milestone payments that are contingent upon clinical trial results and regulatory approval of</w:t>
      </w:r>
    </w:p>
    <w:p>
      <w:pPr>
        <w:spacing w:after="0" w:line="229" w:lineRule="auto"/>
        <w:rPr>
          <w:sz w:val="20"/>
          <w:szCs w:val="20"/>
          <w:color w:val="auto"/>
        </w:rPr>
      </w:pPr>
      <w:r>
        <w:rPr>
          <w:rFonts w:ascii="Arial" w:cs="Arial" w:eastAsia="Arial" w:hAnsi="Arial"/>
          <w:sz w:val="16"/>
          <w:szCs w:val="16"/>
          <w:color w:val="auto"/>
        </w:rPr>
        <w:t>$5.0 million per disease indication, or up to $20.0 million in total. As of December 31, 2016 and 2015, there have been no</w:t>
      </w:r>
    </w:p>
    <w:p>
      <w:pPr>
        <w:spacing w:after="0" w:line="184" w:lineRule="exact"/>
        <w:rPr>
          <w:sz w:val="20"/>
          <w:szCs w:val="20"/>
          <w:color w:val="auto"/>
        </w:rPr>
      </w:pPr>
      <w:r>
        <w:rPr>
          <w:rFonts w:ascii="Arial" w:cs="Arial" w:eastAsia="Arial" w:hAnsi="Arial"/>
          <w:sz w:val="16"/>
          <w:szCs w:val="16"/>
          <w:color w:val="auto"/>
        </w:rPr>
        <w:t>milestones achieved. The Company can generally terminate the license agreements upon 30</w:t>
      </w:r>
      <w:r>
        <w:rPr>
          <w:rFonts w:ascii="MS PGothic" w:cs="MS PGothic" w:eastAsia="MS PGothic" w:hAnsi="MS PGothic"/>
          <w:sz w:val="16"/>
          <w:szCs w:val="16"/>
          <w:color w:val="auto"/>
        </w:rPr>
        <w:t>‑</w:t>
      </w:r>
      <w:r>
        <w:rPr>
          <w:rFonts w:ascii="Arial" w:cs="Arial" w:eastAsia="Arial" w:hAnsi="Arial"/>
          <w:sz w:val="16"/>
          <w:szCs w:val="16"/>
          <w:color w:val="auto"/>
        </w:rPr>
        <w:t>90 days prior written notice.</w:t>
      </w:r>
    </w:p>
    <w:p>
      <w:pPr>
        <w:spacing w:after="0" w:line="192" w:lineRule="exact"/>
        <w:rPr>
          <w:sz w:val="20"/>
          <w:szCs w:val="20"/>
          <w:color w:val="auto"/>
        </w:rPr>
      </w:pPr>
    </w:p>
    <w:p>
      <w:pPr>
        <w:ind w:right="59"/>
        <w:spacing w:after="0" w:line="259" w:lineRule="auto"/>
        <w:rPr>
          <w:sz w:val="20"/>
          <w:szCs w:val="20"/>
          <w:color w:val="auto"/>
        </w:rPr>
      </w:pPr>
      <w:r>
        <w:rPr>
          <w:rFonts w:ascii="Arial" w:cs="Arial" w:eastAsia="Arial" w:hAnsi="Arial"/>
          <w:sz w:val="16"/>
          <w:szCs w:val="16"/>
          <w:color w:val="auto"/>
        </w:rPr>
        <w:t>Additionally, certain license agreements require the Company to reimburse the licensor for certain past and ongoing patent related expenses. During the year ended December 31, 2016 and 2015, the Company incurred $1.8 million and $0.3 million of expense, respectively, related to these reimbursable patent costs which are recorded as general and administrative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199" w:firstLine="648"/>
        <w:spacing w:after="0" w:line="235"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as of December 31, 2016 or December 31,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89" w:lineRule="exact"/>
        <w:rPr>
          <w:sz w:val="20"/>
          <w:szCs w:val="20"/>
          <w:color w:val="auto"/>
        </w:rPr>
      </w:pPr>
    </w:p>
    <w:p>
      <w:pPr>
        <w:ind w:right="399" w:firstLine="648"/>
        <w:spacing w:after="0" w:line="258" w:lineRule="auto"/>
        <w:rPr>
          <w:sz w:val="20"/>
          <w:szCs w:val="20"/>
          <w:color w:val="auto"/>
        </w:rPr>
      </w:pPr>
      <w:r>
        <w:rPr>
          <w:rFonts w:ascii="Arial" w:cs="Arial" w:eastAsia="Arial" w:hAnsi="Arial"/>
          <w:sz w:val="17"/>
          <w:szCs w:val="17"/>
          <w:color w:val="auto"/>
        </w:rPr>
        <w:t>In November 2015, upon the closing of the Company’s IPO, all issued and outstanding redeemable convertible preferred stock was automatically converted into 17,647,054 shares of common stock, see Note 2.</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authorized preferred stock amounting to 5,000,000 shares as of December 31, 2016 and 2015.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preferred stock was classified under stockholders’ equity at December 31, 2016.</w:t>
      </w:r>
    </w:p>
    <w:p>
      <w:pPr>
        <w:spacing w:after="0" w:line="169"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The Company’s redeemable convertible preferred stock (“Preferred Stock”) has been classified as temporary equity on the accompanying balance sheets instead of in stockholders’ deficit in accordance with authoritative guidance for the classification and measurement of redeemable securities as the redeemable convertible preferred stock is redeemable at the option of the holder after the redemption date, February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185" w:lineRule="exact"/>
        <w:rPr>
          <w:sz w:val="20"/>
          <w:szCs w:val="20"/>
          <w:color w:val="auto"/>
        </w:rPr>
      </w:pPr>
    </w:p>
    <w:p>
      <w:pPr>
        <w:ind w:right="179" w:firstLine="648"/>
        <w:spacing w:after="0" w:line="219" w:lineRule="auto"/>
        <w:rPr>
          <w:sz w:val="20"/>
          <w:szCs w:val="20"/>
          <w:color w:val="auto"/>
        </w:rPr>
      </w:pPr>
      <w:r>
        <w:rPr>
          <w:rFonts w:ascii="Arial" w:cs="Arial" w:eastAsia="Arial" w:hAnsi="Arial"/>
          <w:sz w:val="18"/>
          <w:szCs w:val="18"/>
          <w:color w:val="auto"/>
        </w:rPr>
        <w:t>45,000,000 shares of Series A Preferred Stock were issued during 2014 and 2015.These shares were issued at various closings in 2014 and 2015 for $1.00 per share. The shares were issued in exchange for cash proceeds of $42.0 million, net of issuance costs of $32.0 thousand, and the exchange of outstanding redeemable Convertible Notes, including accrued interest, of approximately $2.9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Tranche Rights Issued with Series A Preferred Stock</w:t>
      </w:r>
    </w:p>
    <w:p>
      <w:pPr>
        <w:spacing w:after="0" w:line="18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6"/>
          <w:szCs w:val="16"/>
          <w:color w:val="auto"/>
        </w:rPr>
        <w:t>Included in the terms of the January 2014 Series A Preferred Stock Purchase Agreement were certain rights (“Tranche Rights”) granted to the investors of Series A Preferred Stock purchased in January 2014, including the holders of the redeemable Convertible Notes who exchanged the redeemable Convertible Notes. The Tranche Rights obligated the investors in Series A Preferred Stock to purchase and the Company to sell an additional 18,500,000 shares of Series A Preferred Stock at $1.00 per share contingent upon successful near term in</w:t>
      </w:r>
      <w:r>
        <w:rPr>
          <w:rFonts w:ascii="MS PGothic" w:cs="MS PGothic" w:eastAsia="MS PGothic" w:hAnsi="MS PGothic"/>
          <w:sz w:val="16"/>
          <w:szCs w:val="16"/>
          <w:color w:val="auto"/>
        </w:rPr>
        <w:t>‑</w:t>
      </w:r>
      <w:r>
        <w:rPr>
          <w:rFonts w:ascii="Arial" w:cs="Arial" w:eastAsia="Arial" w:hAnsi="Arial"/>
          <w:sz w:val="16"/>
          <w:szCs w:val="16"/>
          <w:color w:val="auto"/>
        </w:rPr>
        <w:t>licensing and progress on initial</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experiments and research and development planning (“Tranche Right I”). In addition, the investors are obligated to purchase and the Company is obligated to sell an additional 20,000,000 shares of Series A Preferred Stock upon the development of project engine and achievement of certain clinical milestones (“Tranche Right II”). In addition, the Tranche Rights allowed the investors the ability to purchase the additional shares at their option at any time. The Tranche Rights were transferrable by the investors, subject to approval by the Board.</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The Company has concluded the Tranche Rights meet the definition of a freestanding financial instrument, as the Tranche Rights are legally detachable and separately exercisable from the Series A Preferred Stock. Therefore, the Company has allocated the proceeds between the Tranche Rights and the Series A Preferred Stock. As the Series A Preferred Stock is redeemable at the holder’s option, the Tranche Rights are classified as an asset or liability and are initially recorded at fair value. The Tranche Rights are measured at fair value at each reporting period. Since the Tranche Rights are subject to fair value accounting, the Company allocated the proceeds to the Tranche Rights based on the fair value at the date of issuance with the remaining proceeds being allocated to the Series A Preferred Stock. The estimated fair value of the Tranche Rights was determined using a probability</w:t>
      </w:r>
      <w:r>
        <w:rPr>
          <w:rFonts w:ascii="MS PGothic" w:cs="MS PGothic" w:eastAsia="MS PGothic" w:hAnsi="MS PGothic"/>
          <w:sz w:val="16"/>
          <w:szCs w:val="16"/>
          <w:color w:val="auto"/>
        </w:rPr>
        <w:t>‑</w:t>
      </w:r>
      <w:r>
        <w:rPr>
          <w:rFonts w:ascii="Arial" w:cs="Arial" w:eastAsia="Arial" w:hAnsi="Arial"/>
          <w:sz w:val="16"/>
          <w:szCs w:val="16"/>
          <w:color w:val="auto"/>
        </w:rPr>
        <w:t>weighted present value model that considers the probability of closing a tranche, the estimated future value of Series A Preferred Stock each closing, and the investment required at each closing. Future values are converted to present value using a discount rate appropriate for probability</w:t>
      </w:r>
      <w:r>
        <w:rPr>
          <w:rFonts w:ascii="MS PGothic" w:cs="MS PGothic" w:eastAsia="MS PGothic" w:hAnsi="MS PGothic"/>
          <w:sz w:val="16"/>
          <w:szCs w:val="16"/>
          <w:color w:val="auto"/>
        </w:rPr>
        <w:t>‑</w:t>
      </w:r>
      <w:r>
        <w:rPr>
          <w:rFonts w:ascii="Arial" w:cs="Arial" w:eastAsia="Arial" w:hAnsi="Arial"/>
          <w:sz w:val="16"/>
          <w:szCs w:val="16"/>
          <w:color w:val="auto"/>
        </w:rPr>
        <w:t>adjusted cash flows.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Tranche Right I was initially recorded as an asset of $1.5 million as the purchase price of the additional shares was greater than the estimated value of the Series A Preferred Stock at the expected settlement date. The Company issued 18,500,000 additional shares under Tranche Right I, in three separate closings during the year ended December 31, 2014 with total proceeds of $18.5 million, net of issuance costs. Prior to each closing, any change in the value of Tranche Right I was recorded as other financing expense. The fair value of the portion of the Tranche Right I settled at each closing was reclassified to Series A Preferred Stock. The Company recognized income of $0.3 million related to the mark to market of Tranche Right I during the year ended December 31, 2014, which is included in other financing expense.</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Tranche Right II was initially recorded as a liability of $4.1 million as the purchase price of the additional shares was less than the estimated price of the Series A Preferred Stock at the expected settlement date. The Company recognized expense of $2.2 million related to the mark to market of Tranche Right II during the year ended December 31, 2014, which is included in other financing expense.</w:t>
      </w:r>
    </w:p>
    <w:p>
      <w:pPr>
        <w:spacing w:after="0" w:line="163"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In February 2015, Tranche Right II was settled when the Company closed the final issuance of Series A Preferred Stock. The Company recognized expense of $9.8 million related to the mark to market of Tranche Right II during the period ended December 31, 2015, which is included in other financing expense. The fair value of the Tranche Right II settled at closing was reclassified to Series A Preferred Stock. The initial carrying amount of the Series A Preferred Stock issued upon the closing of Tranche Right II amounted to approximately $36.1 million which exceeds the redemption value, therefore the carrying value is not being subsequently adjusted. However, the Company has reflected accrued dividends of approximately $1.2 million related to this issuance in the net loss attributable to common shareholders for the year ended December 31,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Stock</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30,000,001 shares of Series B Preferred Stock were issued during 2015. These shares were issued for $3.00 per share. This issuance resulted in cash proceeds of $89.8 million, net of issuance costs of $0.2 million. Additionally, a discount of $5.0 million was recorded against the proceeds as the amount paid by Sanofi-Genzyme was in excess of fair value of the Series B Preferred Stock at issuance.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preferences, and privileges of the Preferred Stock are listed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85"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Shares of Preferred Stock are convertible at any time at the option of the holder into such number of shares as is determined by dividing the original issuance price by the conversion price in effect at the time. Immediately prior to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IPO, the conversion price was $4.25 for Series A Preferred Stock and $12.75 for Series B Preferred Stock, subject to adjustments to reflect the issuance of Common Stock, options, warrants, or other rights to subscribe for or to purchase Common Stock for a consideration per share, less than the conversion price then in effect and subsequent stock dividends and stock splits. In addition any reorganization, recapitalization, reclassification, consolidation or merger in which common stock is exchanged for securities, cash or other property.</w:t>
      </w:r>
    </w:p>
    <w:p>
      <w:pPr>
        <w:spacing w:after="0" w:line="162" w:lineRule="exact"/>
        <w:rPr>
          <w:sz w:val="20"/>
          <w:szCs w:val="20"/>
          <w:color w:val="auto"/>
        </w:rPr>
      </w:pPr>
    </w:p>
    <w:p>
      <w:pPr>
        <w:jc w:val="both"/>
        <w:ind w:right="640" w:firstLine="648"/>
        <w:spacing w:after="0" w:line="224" w:lineRule="auto"/>
        <w:rPr>
          <w:sz w:val="20"/>
          <w:szCs w:val="20"/>
          <w:color w:val="auto"/>
        </w:rPr>
      </w:pPr>
      <w:r>
        <w:rPr>
          <w:rFonts w:ascii="Arial" w:cs="Arial" w:eastAsia="Arial" w:hAnsi="Arial"/>
          <w:sz w:val="18"/>
          <w:szCs w:val="18"/>
          <w:color w:val="auto"/>
        </w:rPr>
        <w:t>All outstanding shares of Preferred Stock are automatically converted upon the completion of either an IPO resulting in gross proceeds to the Company of at least $50.0 million or the vote or written consent of 67% of the then outstanding shares of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Holders of Preferred Stock are entitled to receive, before any cash is paid out or set aside for any Common Stock, cash dividends at a rate of 8% of the original purchase price per share annually (the “Accruing Dividends”). The dividends accrue cumulatively on a daily basis and are payable only when, and if, declared by the Board of Directors or upon liquidation or redemption.</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addition, the holders of Preferred Stock are entitled to additional dividends based on dividends declared to common stockholders, thereby giving the preferred stockholders the right to participate in undistributed earnings of the Company above the stated per share dividend rate. The preferred stockholders do not have a contractual obligation to share in the losses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85"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The Preferred Stock is redeemable at the option of the holder after the redemption date of February 2021. The redemption value of the Preferred Stock is equal to $3.00 per share for Series B Preferred Stock and $1.00 per share for Series A Preferred Stock plus any accrued but unpaid dividends. Accordingly, the Preferred Stock is being accreted to redemption value through its redemption date, including accruals for cumulative dividend rights. If the initial carrying value exceeds the redemption value the carrying value is not adjusted.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8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Holders of Series B Preferred Stock and Series A Preferred Stock have preference to the assets of the Company in the event of any voluntary or involuntary liquidation, dissolution or winding</w:t>
      </w:r>
      <w:r>
        <w:rPr>
          <w:rFonts w:ascii="MS PGothic" w:cs="MS PGothic" w:eastAsia="MS PGothic" w:hAnsi="MS PGothic"/>
          <w:sz w:val="16"/>
          <w:szCs w:val="16"/>
          <w:color w:val="auto"/>
        </w:rPr>
        <w:t>‑</w:t>
      </w:r>
      <w:r>
        <w:rPr>
          <w:rFonts w:ascii="Arial" w:cs="Arial" w:eastAsia="Arial" w:hAnsi="Arial"/>
          <w:sz w:val="16"/>
          <w:szCs w:val="16"/>
          <w:color w:val="auto"/>
        </w:rPr>
        <w:t>up of the Company, equal to $3.00 per share for Series B Preferred Stock and $1.00 per share for Series A Preferred Stock, plus any accrued but unpaid dividends, whether or not declared, plus any dividends declared but unpaid thereon, on a pari passu basis. After the payment of the preference amounts to the holders of Series B Preferred Stock and Series A Preferred Stock, the remaining assets of the Company are to be distributed among the holders of Series A Preferred Stock and holders of Common Stock on a pro rata basis. However, if the aggregate amount which the holders of Series A Preferred Stock would be entitled to receive exceeds $2.50 per share (subject to appropriate adjustment in the event of any stock dividend, stock split, combination, reclassification or other similar event) (the “Maximum Participant Amount”), each holder of Series A Preferred Stock will receive the greater of the Maximum Participant Amount or the amount such holder would have received if all shares of Series A Preferred Stock had been converted into Common Stock immediately prior to such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6"/>
          <w:szCs w:val="16"/>
          <w:color w:val="auto"/>
        </w:rPr>
        <w:t>Holders of Series A Preferred Stock and Series B Preferred Stock are entitled to vote as a single class with the holders of Common Stock on all matters submitted for vote to the Stockholders of the Company. The holders of Preferred Stock are entitled to one vote for each equivalent common share on an as</w:t>
      </w:r>
      <w:r>
        <w:rPr>
          <w:rFonts w:ascii="MS PGothic" w:cs="MS PGothic" w:eastAsia="MS PGothic" w:hAnsi="MS PGothic"/>
          <w:sz w:val="16"/>
          <w:szCs w:val="16"/>
          <w:color w:val="auto"/>
        </w:rPr>
        <w:t>‑</w:t>
      </w:r>
      <w:r>
        <w:rPr>
          <w:rFonts w:ascii="Arial" w:cs="Arial" w:eastAsia="Arial" w:hAnsi="Arial"/>
          <w:sz w:val="16"/>
          <w:szCs w:val="16"/>
          <w:color w:val="auto"/>
        </w:rPr>
        <w:t>converted basis. In addition, the holders of Series A Preferred Stock are entitled to elect two (2) directors. The remaining directors shall be elected by the holders of Common Stock voting together with the holders of the Series B Preferred Stock as one class on an as</w:t>
      </w:r>
      <w:r>
        <w:rPr>
          <w:rFonts w:ascii="MS PGothic" w:cs="MS PGothic" w:eastAsia="MS PGothic" w:hAnsi="MS PGothic"/>
          <w:sz w:val="16"/>
          <w:szCs w:val="16"/>
          <w:color w:val="auto"/>
        </w:rPr>
        <w:t>‑</w:t>
      </w:r>
      <w:r>
        <w:rPr>
          <w:rFonts w:ascii="Arial" w:cs="Arial" w:eastAsia="Arial" w:hAnsi="Arial"/>
          <w:sz w:val="16"/>
          <w:szCs w:val="16"/>
          <w:color w:val="auto"/>
        </w:rPr>
        <w:t>converted basis.</w:t>
      </w:r>
    </w:p>
    <w:p>
      <w:pPr>
        <w:spacing w:after="0" w:line="162"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The holders of Series A Preferred Stock and Series B Preferred Stock have certain protective rights as defined. These protective rights require the Required Vote before action can be taken to (i) increase or decrease the number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shares of Series A Preferred Stock or Series B Preferred Stock that the Company has authority to issue, (ii) change the par value of the Series A Preferred Stock or Series B Preferred Stock, (iii) amend the Certificate of Incorporation in any way that adversely affects the holders of the Series A Preferred Stock or Series B Preferred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8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As of December 31, 2016 and 2015, the Company had authorized 120,000,000 shares of Common Stock, at $0.001 par value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Board of Directors. Cash dividends may not be declared or paid to holders of shares of Common Stock until all accrued unpaid dividends on Series A Preferred Stock and Series B Preferred Stock have been paid in accordance with their terms. No dividends have been declared or paid by the Company since its inception.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85"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After payment to of their respective liquidation preferences to the holders of shares of Series A Preferred Stock and Series B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8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60" w:type="dxa"/>
            <w:vAlign w:val="bottom"/>
            <w:vMerge w:val="restart"/>
          </w:tcPr>
          <w:p>
            <w:pPr>
              <w:spacing w:after="0"/>
              <w:rPr>
                <w:sz w:val="20"/>
                <w:szCs w:val="20"/>
                <w:color w:val="auto"/>
              </w:rPr>
            </w:pPr>
            <w:r>
              <w:rPr>
                <w:rFonts w:ascii="Arial" w:cs="Arial" w:eastAsia="Arial" w:hAnsi="Arial"/>
                <w:sz w:val="18"/>
                <w:szCs w:val="18"/>
                <w:color w:val="auto"/>
              </w:rPr>
              <w:t>Shares reserved for vesting of restricted stock awards under the Founder</w:t>
            </w:r>
          </w:p>
        </w:tc>
        <w:tc>
          <w:tcPr>
            <w:tcW w:w="12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60" w:type="dxa"/>
            <w:vAlign w:val="bottom"/>
            <w:vMerge w:val="continue"/>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628,679</w:t>
            </w:r>
          </w:p>
        </w:tc>
        <w:tc>
          <w:tcPr>
            <w:tcW w:w="1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853,680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Agreements</w:t>
            </w:r>
          </w:p>
        </w:tc>
        <w:tc>
          <w:tcPr>
            <w:tcW w:w="1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Shares reserved for vesting of restricted stock awards under the 2014 Option and</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539,305</w:t>
            </w:r>
          </w:p>
        </w:tc>
        <w:tc>
          <w:tcPr>
            <w:tcW w:w="1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964,581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Plan</w:t>
            </w:r>
          </w:p>
        </w:tc>
        <w:tc>
          <w:tcPr>
            <w:tcW w:w="1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Shares reserved for exercise of 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1,871,237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1,022,617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issuances under the 2015 Stock Option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1,825,174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reserved for employee stock purchase plan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529,854</w:t>
            </w: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5,394,249</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4,723,719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77" w:lineRule="exact"/>
        <w:rPr>
          <w:sz w:val="20"/>
          <w:szCs w:val="20"/>
          <w:color w:val="auto"/>
        </w:rPr>
      </w:pPr>
    </w:p>
    <w:p>
      <w:pPr>
        <w:ind w:right="200" w:firstLine="441"/>
        <w:spacing w:after="0" w:line="226" w:lineRule="auto"/>
        <w:rPr>
          <w:sz w:val="20"/>
          <w:szCs w:val="20"/>
          <w:color w:val="auto"/>
        </w:rPr>
      </w:pPr>
      <w:r>
        <w:rPr>
          <w:rFonts w:ascii="Arial" w:cs="Arial" w:eastAsia="Arial" w:hAnsi="Arial"/>
          <w:sz w:val="17"/>
          <w:szCs w:val="17"/>
          <w:color w:val="auto"/>
        </w:rPr>
        <w:t>In October 2015, the Company’s board of directors and stockholders approved the 2015 Stock Option and Incentive Plan, or 2015 Stock Option Plan, which became effective upon the completion of the IPO. The 2015 Stock Option Plan provides the Company with the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2015 Stock Option Plan replaced the 2014 Plan. Any options or awards outstanding under the 2014 Stock Option Plan remained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57" w:lineRule="exact"/>
        <w:rPr>
          <w:sz w:val="20"/>
          <w:szCs w:val="20"/>
          <w:color w:val="auto"/>
        </w:rPr>
      </w:pPr>
    </w:p>
    <w:p>
      <w:pPr>
        <w:jc w:val="both"/>
        <w:ind w:right="320" w:firstLine="441"/>
        <w:spacing w:after="0" w:line="189" w:lineRule="exact"/>
        <w:rPr>
          <w:sz w:val="20"/>
          <w:szCs w:val="20"/>
          <w:color w:val="auto"/>
        </w:rPr>
      </w:pPr>
      <w:r>
        <w:rPr>
          <w:rFonts w:ascii="Arial" w:cs="Arial" w:eastAsia="Arial" w:hAnsi="Arial"/>
          <w:sz w:val="16"/>
          <w:szCs w:val="16"/>
          <w:color w:val="auto"/>
        </w:rPr>
        <w:t>Effective January 1, 2016 and 2017, an additional 1,069,971 and 1,070,635 shares, respectively, were added to the Company’s 2015 Stock Option Plan for future issuance. During the year ended December 31, 2016, the Company issued 966,060 stock options to employees and directors and 23,500 stock options to non</w:t>
      </w:r>
      <w:r>
        <w:rPr>
          <w:rFonts w:ascii="MS PGothic" w:cs="MS PGothic" w:eastAsia="MS PGothic" w:hAnsi="MS PGothic"/>
          <w:sz w:val="16"/>
          <w:szCs w:val="16"/>
          <w:color w:val="auto"/>
        </w:rPr>
        <w:t>‑</w:t>
      </w:r>
      <w:r>
        <w:rPr>
          <w:rFonts w:ascii="Arial" w:cs="Arial" w:eastAsia="Arial" w:hAnsi="Arial"/>
          <w:sz w:val="16"/>
          <w:szCs w:val="16"/>
          <w:color w:val="auto"/>
        </w:rPr>
        <w:t>employees. As of December 31, 2016, there were 1,825,174 shares available for future issuance under the 2015 Stock Option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17"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January 2014, the Company adopted the Voyager Therapeutics, Inc. 2014 Stock Option and Grant Plan (the “2014 Plan”), under which it may grant incentive stock options,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options, restricted stock awards, unrestricted stock awards, or restricted stock units to purchase up to 823,529 shares of Common Stock to employees, officers, directors and consultants of the Company.</w:t>
      </w:r>
    </w:p>
    <w:p>
      <w:pPr>
        <w:spacing w:after="0" w:line="8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In April 2014, the Company amended the Plan to allow for the issuance of up to 1,411,764 shares of Common Stock. In August 2014, April 2015, August 2015 and October 2015 the Company further amended the Plan to allow for the issuance of up to 2,000,000, 2,047,058, 2,669,411 and 2,998,823 shares of Common Stock, respectively. During 2014 the Company issued only restricted stock awards under the Plan and during 2015 the Company only granted stock options.</w:t>
      </w:r>
    </w:p>
    <w:p>
      <w:pPr>
        <w:spacing w:after="0" w:line="87"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The terms of stock awards agreements, including vesting requirements, are determined by the Board of Directors and are subject to the provisions of the 2014 Plan. Restricted Stock awards granted by the Company generally vest based on each grantee’s continued service with the Company during a specified period following grant. Awards granted to employees generally vest over four years, with 25% vesting on the one year anniversary and 75% vesting ratably, on a monthly basis, over the remaining three years. Awards granted to non</w:t>
      </w:r>
      <w:r>
        <w:rPr>
          <w:rFonts w:ascii="MS PGothic" w:cs="MS PGothic" w:eastAsia="MS PGothic" w:hAnsi="MS PGothic"/>
          <w:sz w:val="18"/>
          <w:szCs w:val="18"/>
          <w:color w:val="auto"/>
        </w:rPr>
        <w:t>‑</w:t>
      </w:r>
      <w:r>
        <w:rPr>
          <w:rFonts w:ascii="Arial" w:cs="Arial" w:eastAsia="Arial" w:hAnsi="Arial"/>
          <w:sz w:val="18"/>
          <w:szCs w:val="18"/>
          <w:color w:val="auto"/>
        </w:rPr>
        <w:t>employee consultants generally vest monthly over a period of one to four years.</w:t>
      </w:r>
    </w:p>
    <w:p>
      <w:pPr>
        <w:spacing w:after="0" w:line="95" w:lineRule="exact"/>
        <w:rPr>
          <w:sz w:val="20"/>
          <w:szCs w:val="20"/>
          <w:color w:val="auto"/>
        </w:rPr>
      </w:pPr>
    </w:p>
    <w:p>
      <w:pPr>
        <w:ind w:right="240" w:firstLine="648"/>
        <w:spacing w:after="0" w:line="194" w:lineRule="exact"/>
        <w:rPr>
          <w:sz w:val="20"/>
          <w:szCs w:val="20"/>
          <w:color w:val="auto"/>
        </w:rPr>
      </w:pPr>
      <w:r>
        <w:rPr>
          <w:rFonts w:ascii="Arial" w:cs="Arial" w:eastAsia="Arial" w:hAnsi="Arial"/>
          <w:sz w:val="18"/>
          <w:szCs w:val="18"/>
          <w:color w:val="auto"/>
        </w:rPr>
        <w:t>During the year ended December 31, 2014, the Company granted a total of 1,597,988 shares of restricted stock to employees and 110,960 shares of restricted stock to non</w:t>
      </w:r>
      <w:r>
        <w:rPr>
          <w:rFonts w:ascii="MS PGothic" w:cs="MS PGothic" w:eastAsia="MS PGothic" w:hAnsi="MS PGothic"/>
          <w:sz w:val="18"/>
          <w:szCs w:val="18"/>
          <w:color w:val="auto"/>
        </w:rPr>
        <w:t>‑</w:t>
      </w:r>
      <w:r>
        <w:rPr>
          <w:rFonts w:ascii="Arial" w:cs="Arial" w:eastAsia="Arial" w:hAnsi="Arial"/>
          <w:sz w:val="18"/>
          <w:szCs w:val="18"/>
          <w:color w:val="auto"/>
        </w:rPr>
        <w:t>employee consultants at an original issuance price of $0.04 per share.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Awards</w:t>
      </w:r>
    </w:p>
    <w:p>
      <w:pPr>
        <w:spacing w:after="0" w:line="117"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 The remaining 352,941 of the shares issued will begin vesting upon the achievement of certain performance objectives as well as continued service to the Company, as set forth in the agreements.</w:t>
      </w:r>
    </w:p>
    <w:p>
      <w:pPr>
        <w:spacing w:after="0" w:line="93"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7"/>
          <w:szCs w:val="17"/>
          <w:color w:val="auto"/>
        </w:rPr>
        <w:t>These performance conditions are tied to certain milestone events specific to the Company’s corporate goals, including but not limited to preclinical and clinical development milestones related to the Company’s product candidates.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will be recognized when the achievement of the performance condition is considered probable, using management’s best estimates. As of December 31, 2016, management has concluded that the achievement of the performance milestone for one of the three performance-based awards had been met during the year. Accordingly,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amount of $1.1 million was recorded as of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this plan. The 2015 ESPP became effective upon the completion of the IPO. Effective January 1, 2016 and 2017, 267,492 and 267,658 shares of common stock, respectively, were added to the 2015 ESPP.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Total compensation cost recognized for all stock-based compensation awards in the statements of operations and comprehensive loss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69"/>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4"/>
          </w:tcPr>
          <w:p>
            <w:pPr>
              <w:jc w:val="center"/>
              <w:ind w:right="20"/>
              <w:spacing w:after="0" w:line="170" w:lineRule="exact"/>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8"/>
                <w:szCs w:val="18"/>
                <w:color w:val="auto"/>
              </w:rPr>
            </w:pPr>
          </w:p>
        </w:tc>
      </w:tr>
      <w:tr>
        <w:trPr>
          <w:trHeight w:val="21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stock-compensation expense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r>
      <w:tr>
        <w:trPr>
          <w:trHeight w:val="27"/>
        </w:trPr>
        <w:tc>
          <w:tcPr>
            <w:tcW w:w="3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status of and changes in unvested restricted stock was as follows: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Unvested restricted common stock as of December 31, 2015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-273685</wp:posOffset>
            </wp:positionV>
            <wp:extent cx="459676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9676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459676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Unvested restricted common stock as of December 31, 2016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3"/>
        </w:trPr>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1,818,261</w:t>
            </w:r>
          </w:p>
        </w:tc>
        <w:tc>
          <w:tcPr>
            <w:tcW w:w="3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88"/>
        </w:trPr>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(601,501)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0"/>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1,167,984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4340" w:space="460"/>
            <w:col w:w="4260"/>
          </w:cols>
          <w:pgMar w:left="1420" w:top="111" w:right="1419" w:bottom="1440" w:gutter="0" w:footer="0" w:header="0"/>
          <w:type w:val="continuous"/>
        </w:sectPr>
      </w:pPr>
    </w:p>
    <w:p>
      <w:pPr>
        <w:ind w:right="40" w:firstLine="648"/>
        <w:spacing w:after="0" w:line="187" w:lineRule="exact"/>
        <w:rPr>
          <w:sz w:val="20"/>
          <w:szCs w:val="20"/>
          <w:color w:val="auto"/>
        </w:rPr>
      </w:pPr>
      <w:r>
        <w:rPr>
          <w:rFonts w:ascii="Arial" w:cs="Arial" w:eastAsia="Arial" w:hAnsi="Arial"/>
          <w:sz w:val="18"/>
          <w:szCs w:val="18"/>
          <w:color w:val="auto"/>
        </w:rPr>
        <w:t>The expense related to awards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employees was $0.5 million and $2.6 million, respectively, for the year ended December 31, 2016. The expense related to awards granted to employees and non-employees was $0.5 million and $2.6 million, respectively, for the year ended December 31, 2015. The expense related to awards granted to employees and non-employees was $0.2 million and $0.2 million, respectively, for the year ended December 31, 2014.</w:t>
      </w:r>
    </w:p>
    <w:p>
      <w:pPr>
        <w:spacing w:after="0" w:line="162"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As of December 31, 2016,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unvested restricted stock awards of $10.7 million, which is expected to be recognized over the remaining weighted average vesting period of 1.33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status of, and changes in, stock options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2"/>
        </w:trPr>
        <w:tc>
          <w:tcPr>
            <w:tcW w:w="50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1,022,617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989,560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 or 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(75,508)</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1,871,237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2016</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458,737</w:t>
            </w:r>
          </w:p>
        </w:tc>
        <w:tc>
          <w:tcPr>
            <w:tcW w:w="240" w:type="dxa"/>
            <w:vAlign w:val="bottom"/>
            <w:tcBorders>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9.02</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1,759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1,871,237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weighted average fair value of options granted to employees and directors during the year ended December 31, 2016 was $7.66. The expense related to awards granted to employees and directors was $3.0 million and $0.7 million for the years ended December 31, 2016 and 2015, respectively. There were no stock options granted during the year ended December 31, 2014.</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3"/>
                <w:szCs w:val="13"/>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8"/>
                <w:szCs w:val="18"/>
                <w:color w:val="auto"/>
              </w:rPr>
            </w:pPr>
          </w:p>
        </w:tc>
      </w:tr>
      <w:tr>
        <w:trPr>
          <w:trHeight w:val="176"/>
        </w:trPr>
        <w:tc>
          <w:tcPr>
            <w:tcW w:w="4500" w:type="dxa"/>
            <w:vAlign w:val="bottom"/>
            <w:gridSpan w:val="2"/>
          </w:tcPr>
          <w:p>
            <w:pPr>
              <w:spacing w:after="0" w:line="176" w:lineRule="exact"/>
              <w:rPr>
                <w:sz w:val="20"/>
                <w:szCs w:val="20"/>
                <w:color w:val="auto"/>
              </w:rPr>
            </w:pPr>
            <w:r>
              <w:rPr>
                <w:rFonts w:ascii="Arial" w:cs="Arial" w:eastAsia="Arial" w:hAnsi="Arial"/>
                <w:sz w:val="18"/>
                <w:szCs w:val="18"/>
                <w:color w:val="auto"/>
              </w:rPr>
              <w:t>Expected dividend yield</w:t>
            </w:r>
          </w:p>
        </w:tc>
        <w:tc>
          <w:tcPr>
            <w:tcW w:w="1580" w:type="dxa"/>
            <w:vAlign w:val="bottom"/>
            <w:gridSpan w:val="3"/>
          </w:tcPr>
          <w:p>
            <w:pPr>
              <w:jc w:val="right"/>
              <w:ind w:right="960"/>
              <w:spacing w:after="0" w:line="176" w:lineRule="exact"/>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 %</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73.1 %</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78.6 %</w:t>
            </w:r>
          </w:p>
        </w:tc>
        <w:tc>
          <w:tcPr>
            <w:tcW w:w="100" w:type="dxa"/>
            <w:vAlign w:val="bottom"/>
          </w:tcPr>
          <w:p>
            <w:pPr>
              <w:spacing w:after="0"/>
              <w:rPr>
                <w:sz w:val="21"/>
                <w:szCs w:val="21"/>
                <w:color w:val="auto"/>
              </w:rPr>
            </w:pPr>
          </w:p>
        </w:tc>
      </w:tr>
    </w:tbl>
    <w:p>
      <w:pPr>
        <w:spacing w:after="0" w:line="161"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weighted average grant date fair value of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during the year ended December 31, 2016 was $9.98. Unvested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are revalued at each measurement period until they vest. The expense related to awards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was $0.2 million and $0.3 million for the years ended December 31, 2016, and 2015, respectively. There were no stock options granted during the year ended December 31, 2014.</w:t>
      </w:r>
    </w:p>
    <w:p>
      <w:pPr>
        <w:spacing w:after="0" w:line="162" w:lineRule="exact"/>
        <w:rPr>
          <w:sz w:val="20"/>
          <w:szCs w:val="20"/>
          <w:color w:val="auto"/>
        </w:rPr>
      </w:pPr>
    </w:p>
    <w:p>
      <w:pPr>
        <w:jc w:val="both"/>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09"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3"/>
                <w:szCs w:val="13"/>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CEEFF"/>
          </w:tcPr>
          <w:p>
            <w:pPr>
              <w:spacing w:after="0"/>
              <w:rPr>
                <w:sz w:val="18"/>
                <w:szCs w:val="18"/>
                <w:color w:val="auto"/>
              </w:rPr>
            </w:pPr>
          </w:p>
        </w:tc>
      </w:tr>
      <w:tr>
        <w:trPr>
          <w:trHeight w:val="176"/>
        </w:trPr>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Expected dividend yield</w:t>
            </w:r>
          </w:p>
        </w:tc>
        <w:tc>
          <w:tcPr>
            <w:tcW w:w="8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 %</w:t>
            </w:r>
          </w:p>
        </w:tc>
        <w:tc>
          <w:tcPr>
            <w:tcW w:w="18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 %</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83.3 %</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84.0 %</w:t>
            </w:r>
          </w:p>
        </w:tc>
        <w:tc>
          <w:tcPr>
            <w:tcW w:w="180" w:type="dxa"/>
            <w:vAlign w:val="bottom"/>
          </w:tcPr>
          <w:p>
            <w:pPr>
              <w:spacing w:after="0"/>
              <w:rPr>
                <w:sz w:val="21"/>
                <w:szCs w:val="21"/>
                <w:color w:val="auto"/>
              </w:rPr>
            </w:pPr>
          </w:p>
        </w:tc>
      </w:tr>
    </w:tbl>
    <w:p>
      <w:pPr>
        <w:spacing w:after="0" w:line="161"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As of December 31, 2016,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unvested stock options of $8.7 million which is expected to be recognized over the remaining weighted average vesting period of 2.71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Savings plan</w:t>
      </w:r>
    </w:p>
    <w:p>
      <w:pPr>
        <w:spacing w:after="0" w:line="189" w:lineRule="exact"/>
        <w:rPr>
          <w:sz w:val="20"/>
          <w:szCs w:val="20"/>
          <w:color w:val="auto"/>
        </w:rPr>
      </w:pPr>
    </w:p>
    <w:p>
      <w:pPr>
        <w:ind w:right="460" w:firstLine="648"/>
        <w:spacing w:after="0" w:line="203" w:lineRule="exact"/>
        <w:rPr>
          <w:sz w:val="20"/>
          <w:szCs w:val="20"/>
          <w:color w:val="auto"/>
        </w:rPr>
      </w:pPr>
      <w:r>
        <w:rPr>
          <w:rFonts w:ascii="Arial" w:cs="Arial" w:eastAsia="Arial" w:hAnsi="Arial"/>
          <w:sz w:val="16"/>
          <w:szCs w:val="16"/>
          <w:color w:val="auto"/>
        </w:rPr>
        <w:t>The Company has a defined</w:t>
      </w:r>
      <w:r>
        <w:rPr>
          <w:rFonts w:ascii="MS PGothic" w:cs="MS PGothic" w:eastAsia="MS PGothic" w:hAnsi="MS PGothic"/>
          <w:sz w:val="16"/>
          <w:szCs w:val="16"/>
          <w:color w:val="auto"/>
        </w:rPr>
        <w:t>‑</w:t>
      </w:r>
      <w:r>
        <w:rPr>
          <w:rFonts w:ascii="Arial" w:cs="Arial" w:eastAsia="Arial" w:hAnsi="Arial"/>
          <w:sz w:val="16"/>
          <w:szCs w:val="16"/>
          <w:color w:val="auto"/>
        </w:rPr>
        <w:t>contribution savings plan under Section 401(k) of the Internal Revenue Code (the “401(k) Plan”). The 401(k) Plan covers all employees who meet defined minimum age and service requirements,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spacing w:after="0" w:line="224" w:lineRule="auto"/>
        <w:rPr>
          <w:sz w:val="20"/>
          <w:szCs w:val="20"/>
          <w:color w:val="auto"/>
        </w:rPr>
      </w:pPr>
      <w:r>
        <w:rPr>
          <w:rFonts w:ascii="Arial" w:cs="Arial" w:eastAsia="Arial" w:hAnsi="Arial"/>
          <w:sz w:val="18"/>
          <w:szCs w:val="18"/>
          <w:color w:val="auto"/>
        </w:rPr>
        <w:t>allows participants to defer a portion of their annual compensation on a pretax basis. The Company did not make any contributions to the 401(k) Plan through December 31, 2015. During 2016, the Company expensed approximately $0.3 million related to employer contributions made during the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(benefit) for income taxes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r>
      <w:tr>
        <w:trPr>
          <w:trHeight w:val="169"/>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gridSpan w:val="3"/>
          </w:tcPr>
          <w:p>
            <w:pPr>
              <w:jc w:val="right"/>
              <w:ind w:right="250"/>
              <w:spacing w:after="0" w:line="170" w:lineRule="exact"/>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6"/>
        </w:trPr>
        <w:tc>
          <w:tcPr>
            <w:tcW w:w="2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2240" w:type="dxa"/>
            <w:vAlign w:val="bottom"/>
          </w:tcPr>
          <w:p>
            <w:pPr>
              <w:ind w:left="220"/>
              <w:spacing w:after="0"/>
              <w:rPr>
                <w:sz w:val="20"/>
                <w:szCs w:val="20"/>
                <w:color w:val="auto"/>
              </w:rPr>
            </w:pPr>
            <w:r>
              <w:rPr>
                <w:rFonts w:ascii="Arial" w:cs="Arial" w:eastAsia="Arial" w:hAnsi="Arial"/>
                <w:sz w:val="18"/>
                <w:szCs w:val="18"/>
                <w:color w:val="auto"/>
              </w:rPr>
              <w:t>Federal</w:t>
            </w:r>
          </w:p>
        </w:tc>
        <w:tc>
          <w:tcPr>
            <w:tcW w:w="204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96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176"/>
        </w:trPr>
        <w:tc>
          <w:tcPr>
            <w:tcW w:w="2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82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8"/>
                <w:szCs w:val="18"/>
                <w:color w:val="auto"/>
              </w:rPr>
              <w:t>Total current</w:t>
            </w: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176"/>
        </w:trPr>
        <w:tc>
          <w:tcPr>
            <w:tcW w:w="2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2240" w:type="dxa"/>
            <w:vAlign w:val="bottom"/>
          </w:tcPr>
          <w:p>
            <w:pPr>
              <w:ind w:left="22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0"/>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9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r>
      <w:tr>
        <w:trPr>
          <w:trHeight w:val="217"/>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9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For the year ended December 31, 2016, the Company recorded a tax provision of $0.2 million attributed to alternative minimum tax, or AMT, based mainly on the recognition of deferred revenue for income tax purposes related to the Company’s Sanofi-Genzyme Collaboration Agreement. For the year ended December 31, 2016, the Company recorded a tax benefit of $0.1 million. The Company’s overall income tax provision was offset by an income tax benefit recorded to continuing operations of $0.1 million associated with the recognition of the corresponding income tax associated with unrealized gains included in other comprehensive income. The net tax effect resulted in an overall income tax provision recorded to continuing operations of $0.1 million. The corresponding income tax expense has been recorded in other comprehensive income. The Company recorded no income tax provision (benefit) for the year ended December 31, 2015.</w:t>
      </w:r>
    </w:p>
    <w:p>
      <w:pPr>
        <w:spacing w:after="0" w:line="167"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Intraperiod tax allocation rules require the Company to allocate its provision for income taxes between continuing operations and other categories of earnings, such as other comprehensive income. In periods in which the Company has a year-to-date pre-tax loss from continuing operations and pre-tax income in other categories of earnings, such as other comprehensive income, the Company must allocate the tax provision to the other categories of earnings. The Company then records a related tax benefit in continuing operations.</w:t>
      </w:r>
    </w:p>
    <w:p>
      <w:pPr>
        <w:spacing w:after="0" w:line="162" w:lineRule="exact"/>
        <w:rPr>
          <w:sz w:val="20"/>
          <w:szCs w:val="20"/>
          <w:color w:val="auto"/>
        </w:rPr>
      </w:pPr>
    </w:p>
    <w:p>
      <w:pPr>
        <w:jc w:val="both"/>
        <w:ind w:right="60" w:firstLine="648"/>
        <w:spacing w:after="0" w:line="232" w:lineRule="auto"/>
        <w:rPr>
          <w:sz w:val="20"/>
          <w:szCs w:val="20"/>
          <w:color w:val="auto"/>
        </w:rPr>
      </w:pPr>
      <w:r>
        <w:rPr>
          <w:rFonts w:ascii="Arial" w:cs="Arial" w:eastAsia="Arial" w:hAnsi="Arial"/>
          <w:sz w:val="17"/>
          <w:szCs w:val="17"/>
          <w:color w:val="auto"/>
        </w:rPr>
        <w:t>The Company has incurred net operating losses (NOLs) since June 2013. At December 31, 2016, the Company had federal and state net operating loss carryforwards of $23.1 million and $20.4 million, respectively, which expire beginning in 2033. As of December 31, 2016, the Company also had federal and state research and development tax credit carryforwards of $3.1 million and $1.5 million, respectively, which expire beginning in 2028.</w:t>
      </w:r>
    </w:p>
    <w:p>
      <w:pPr>
        <w:spacing w:after="0" w:line="163"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In general, an ownership change, as defined by Section 382, results from transactions that increase the ownership of 5% shareholders or public groups in the stock of a corporation by more than 50 percent in the aggregate over a three-year period. During 2016, the Company completed a study through June 30, 2016, to determine whether any ownership change has occurred since the Company's formation and has determined that transactions have resulted in three ownership changes, as defined by Section 382, that may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impact the future annual utilization of existing tax attributes. There could also be additional ownership changes in the future that could further limit the amount of NOLs and tax credit carryforwards that the Company can utilize.</w:t>
      </w:r>
    </w:p>
    <w:p>
      <w:pPr>
        <w:spacing w:after="0" w:line="147"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significant components of the Company’s deferred tax assets and (liabilities) as of December 31, 2016 and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29"/>
        </w:trPr>
        <w:tc>
          <w:tcPr>
            <w:tcW w:w="4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69"/>
        </w:trPr>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291"/>
              <w:spacing w:after="0" w:line="170"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4"/>
                <w:szCs w:val="14"/>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 assets: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12,521</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 compensation</w:t>
            </w: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Less valuation allowance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(15,207)</w:t>
            </w:r>
          </w:p>
        </w:tc>
      </w:tr>
      <w:tr>
        <w:trPr>
          <w:trHeight w:val="210"/>
        </w:trPr>
        <w:tc>
          <w:tcPr>
            <w:tcW w:w="4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Borders>
              <w:top w:val="single" w:sz="8" w:color="CCEEFF"/>
            </w:tcBorders>
            <w:shd w:val="clear" w:color="auto" w:fill="CCEEFF"/>
          </w:tcPr>
          <w:p>
            <w:pPr>
              <w:spacing w:after="0"/>
              <w:rPr>
                <w:sz w:val="18"/>
                <w:szCs w:val="18"/>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Unrealized gain on available-for-sale securities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76"/>
        </w:trPr>
        <w:tc>
          <w:tcPr>
            <w:tcW w:w="45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taxes</w:t>
            </w: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As required by ASC 740, management has evaluated the positive and negative evidence bearing upon the realizability of its deferred tax assets, which principally comprise NOL carryforwards, research and development credit carryforwards, and capitalized license and organization costs. Management has determined that it is more likely than not that the Company will not recognize the benefits of its federal and state deferred tax assets, and as a result, a valuation allowance of $31.4 million and $15.2 million has been established at December 31, 2016 and 2015, respectively. The change in valuation allowance was $16.2 million for the year ended December 31, 2016, primarily due to additional operating losses incurred by the Company for the year ended December 31, 2016.</w:t>
      </w:r>
    </w:p>
    <w:p>
      <w:pPr>
        <w:spacing w:after="0" w:line="16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 xml:space="preserve">The Company net operating loss carryforwards related to excess tax benefits is de minimis as of the December 31, 2016 and is not included in the deferred tax assets. The Company will adopt ASU 2016-09, </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during the quarter ended March 31, 2017 upon which the net operating loss carryforward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assets will be increased by the excess tax benefits with a corresponding increase to the Company’s valuation allowance. The adoption of ASU 2016-09 will have no material impact to the Company’s income statement, balance sheet, or retained earnings.</w:t>
      </w:r>
    </w:p>
    <w:p>
      <w:pPr>
        <w:spacing w:after="0" w:line="162"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evaluates its tax positions on an annual basis.</w:t>
      </w:r>
    </w:p>
    <w:p>
      <w:pPr>
        <w:spacing w:after="0" w:line="16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At December 31, 2016 and 2015,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offset by an adjustment to the valuation allowance. Thus, there would be no impact to the balance sheets or statements of operations if an adjustment were required.</w:t>
      </w:r>
    </w:p>
    <w:p>
      <w:pPr>
        <w:spacing w:after="0" w:line="162" w:lineRule="exact"/>
        <w:rPr>
          <w:sz w:val="20"/>
          <w:szCs w:val="20"/>
          <w:color w:val="auto"/>
        </w:rPr>
      </w:pPr>
    </w:p>
    <w:p>
      <w:pPr>
        <w:ind w:right="300" w:firstLine="651"/>
        <w:spacing w:after="0" w:line="235" w:lineRule="auto"/>
        <w:tabs>
          <w:tab w:leader="none" w:pos="8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reconciliation of the expected income tax (benefit) computed using the federal statutory income tax rate at the Company’s effective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20"/>
                <w:szCs w:val="20"/>
                <w:color w:val="auto"/>
              </w:rPr>
            </w:pPr>
            <w:r>
              <w:rPr>
                <w:rFonts w:ascii="Arial" w:cs="Arial" w:eastAsia="Arial" w:hAnsi="Arial"/>
                <w:sz w:val="18"/>
                <w:szCs w:val="18"/>
                <w:color w:val="auto"/>
              </w:rPr>
              <w:t>Income tax computed at federal statutory tax rate</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jc w:val="right"/>
              <w:ind w:right="16"/>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5.6 %</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4.1 %</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General business credit carryovers</w:t>
            </w:r>
          </w:p>
        </w:tc>
        <w:tc>
          <w:tcPr>
            <w:tcW w:w="720" w:type="dxa"/>
            <w:vAlign w:val="bottom"/>
            <w:gridSpan w:val="2"/>
          </w:tcPr>
          <w:p>
            <w:pPr>
              <w:jc w:val="right"/>
              <w:ind w:right="16"/>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3.1 %</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tcPr>
          <w:p>
            <w:pPr>
              <w:spacing w:after="0"/>
              <w:rPr>
                <w:sz w:val="18"/>
                <w:szCs w:val="18"/>
                <w:color w:val="auto"/>
              </w:rPr>
            </w:pPr>
          </w:p>
        </w:tc>
        <w:tc>
          <w:tcPr>
            <w:tcW w:w="720" w:type="dxa"/>
            <w:vAlign w:val="bottom"/>
            <w:gridSpan w:val="2"/>
          </w:tcPr>
          <w:p>
            <w:pPr>
              <w:jc w:val="right"/>
              <w:ind w:right="16"/>
              <w:spacing w:after="0"/>
              <w:rPr>
                <w:sz w:val="20"/>
                <w:szCs w:val="20"/>
                <w:color w:val="auto"/>
              </w:rPr>
            </w:pPr>
            <w:r>
              <w:rPr>
                <w:rFonts w:ascii="Arial" w:cs="Arial" w:eastAsia="Arial" w:hAnsi="Arial"/>
                <w:sz w:val="18"/>
                <w:szCs w:val="18"/>
                <w:color w:val="auto"/>
                <w:w w:val="95"/>
              </w:rPr>
              <w:t>(40.2)%</w:t>
            </w:r>
          </w:p>
        </w:tc>
        <w:tc>
          <w:tcPr>
            <w:tcW w:w="80" w:type="dxa"/>
            <w:vAlign w:val="bottom"/>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(25.7)%</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87"/>
              </w:rPr>
              <w:t>%</w:t>
            </w:r>
          </w:p>
        </w:tc>
        <w:tc>
          <w:tcPr>
            <w:tcW w:w="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62"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Since inception, the Company received consulting and management services from one of its investors. In January 2014, the Company issued 470,589 shares of common stock as partial compensation for these services. The fair value of the shares was approximately $0.2 million.</w:t>
      </w:r>
    </w:p>
    <w:p>
      <w:pPr>
        <w:spacing w:after="0" w:line="123" w:lineRule="exact"/>
        <w:rPr>
          <w:sz w:val="20"/>
          <w:szCs w:val="20"/>
          <w:color w:val="auto"/>
        </w:rPr>
      </w:pPr>
    </w:p>
    <w:p>
      <w:pPr>
        <w:ind w:right="660" w:firstLine="648"/>
        <w:spacing w:after="0" w:line="289" w:lineRule="auto"/>
        <w:rPr>
          <w:sz w:val="20"/>
          <w:szCs w:val="20"/>
          <w:color w:val="auto"/>
        </w:rPr>
      </w:pPr>
      <w:r>
        <w:rPr>
          <w:rFonts w:ascii="Arial" w:cs="Arial" w:eastAsia="Arial" w:hAnsi="Arial"/>
          <w:sz w:val="16"/>
          <w:szCs w:val="16"/>
          <w:color w:val="auto"/>
        </w:rPr>
        <w:t>The total amount of consulting and management services provided by this investor was approximately $0.1 million, $0.1 million, and $1.3 million during the years ended December 31, 2016, 2015, and 2014, respectively.</w:t>
      </w:r>
    </w:p>
    <w:p>
      <w:pPr>
        <w:spacing w:after="0" w:line="84"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During the years ended December 31, 2016 and 2015, the Company recognized $14.2 million and $17.3 million, respectively, of revenue associated with its collaboration with Sanofi-Genzyme related to research and development services provided during this period. The Company also recognized $1.2 million and $2.3 million of expense during the years ended December 31, 2016 and 2015, respectively, related to in</w:t>
      </w:r>
      <w:r>
        <w:rPr>
          <w:rFonts w:ascii="MS PGothic" w:cs="MS PGothic" w:eastAsia="MS PGothic" w:hAnsi="MS PGothic"/>
          <w:sz w:val="18"/>
          <w:szCs w:val="18"/>
          <w:color w:val="auto"/>
        </w:rPr>
        <w:t>‑</w:t>
      </w:r>
      <w:r>
        <w:rPr>
          <w:rFonts w:ascii="Arial" w:cs="Arial" w:eastAsia="Arial" w:hAnsi="Arial"/>
          <w:sz w:val="18"/>
          <w:szCs w:val="18"/>
          <w:color w:val="auto"/>
        </w:rPr>
        <w:t>kind services provided by Sanofi-Genzyme associated with the collaboration arrangement.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94"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6"/>
          <w:szCs w:val="16"/>
          <w:color w:val="auto"/>
        </w:rPr>
        <w:t>The following table contains quarterly financial information for 2016 and 2015.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3"/>
                <w:szCs w:val="13"/>
                <w:color w:val="auto"/>
              </w:rPr>
            </w:pPr>
          </w:p>
        </w:tc>
        <w:tc>
          <w:tcPr>
            <w:tcW w:w="78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13"/>
                <w:szCs w:val="13"/>
                <w:color w:val="auto"/>
              </w:rPr>
            </w:pPr>
          </w:p>
        </w:tc>
        <w:tc>
          <w:tcPr>
            <w:tcW w:w="8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3"/>
                <w:szCs w:val="13"/>
                <w:color w:val="auto"/>
              </w:rPr>
            </w:pPr>
          </w:p>
        </w:tc>
        <w:tc>
          <w:tcPr>
            <w:tcW w:w="720" w:type="dxa"/>
            <w:vAlign w:val="bottom"/>
          </w:tcPr>
          <w:p>
            <w:pPr>
              <w:jc w:val="right"/>
              <w:ind w:right="115"/>
              <w:spacing w:after="0" w:line="160" w:lineRule="exact"/>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8"/>
          </w:tcPr>
          <w:p>
            <w:pPr>
              <w:jc w:val="center"/>
              <w:spacing w:after="0" w:line="170" w:lineRule="exact"/>
              <w:rPr>
                <w:sz w:val="20"/>
                <w:szCs w:val="20"/>
                <w:color w:val="auto"/>
              </w:rPr>
            </w:pPr>
            <w:r>
              <w:rPr>
                <w:rFonts w:ascii="Arial" w:cs="Arial" w:eastAsia="Arial" w:hAnsi="Arial"/>
                <w:sz w:val="18"/>
                <w:szCs w:val="18"/>
                <w:color w:val="auto"/>
                <w:w w:val="87"/>
              </w:rPr>
              <w:t>(in thousands, except per share data)</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16,205</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55,519</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(14,674)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Net loss per share applicable to common stockholders –</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w:t>
            </w:r>
          </w:p>
        </w:tc>
        <w:tc>
          <w:tcPr>
            <w:tcW w:w="26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F-31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2" w:right="139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31" w:lineRule="auto"/>
        <w:rPr>
          <w:sz w:val="20"/>
          <w:szCs w:val="20"/>
          <w:color w:val="auto"/>
        </w:rPr>
      </w:pPr>
      <w:r>
        <w:rPr>
          <w:rFonts w:ascii="Arial" w:cs="Arial" w:eastAsia="Arial" w:hAnsi="Arial"/>
          <w:sz w:val="18"/>
          <w:szCs w:val="18"/>
          <w:color w:val="auto"/>
        </w:rPr>
        <w:t>Net loss attributable to common shareholders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Net loss per share applicable to common stockholders – basic and diluted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5"/>
              <w:spacing w:after="0" w:line="160" w:lineRule="exact"/>
              <w:rPr>
                <w:sz w:val="20"/>
                <w:szCs w:val="20"/>
                <w:color w:val="auto"/>
              </w:rPr>
            </w:pPr>
            <w:r>
              <w:rPr>
                <w:rFonts w:ascii="Arial" w:cs="Arial" w:eastAsia="Arial" w:hAnsi="Arial"/>
                <w:sz w:val="14"/>
                <w:szCs w:val="14"/>
                <w:b w:val="1"/>
                <w:bCs w:val="1"/>
                <w:color w:val="auto"/>
              </w:rPr>
              <w:t>First</w:t>
            </w: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15"/>
              <w:spacing w:after="0" w:line="160" w:lineRule="exact"/>
              <w:rPr>
                <w:sz w:val="20"/>
                <w:szCs w:val="20"/>
                <w:color w:val="auto"/>
              </w:rPr>
            </w:pPr>
            <w:r>
              <w:rPr>
                <w:rFonts w:ascii="Arial" w:cs="Arial" w:eastAsia="Arial" w:hAnsi="Arial"/>
                <w:sz w:val="14"/>
                <w:szCs w:val="14"/>
                <w:b w:val="1"/>
                <w:bCs w:val="1"/>
                <w:color w:val="auto"/>
                <w:w w:val="98"/>
              </w:rPr>
              <w:t>Second</w:t>
            </w: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15"/>
              <w:spacing w:after="0" w:line="160" w:lineRule="exact"/>
              <w:rPr>
                <w:sz w:val="20"/>
                <w:szCs w:val="20"/>
                <w:color w:val="auto"/>
              </w:rPr>
            </w:pPr>
            <w:r>
              <w:rPr>
                <w:rFonts w:ascii="Arial" w:cs="Arial" w:eastAsia="Arial" w:hAnsi="Arial"/>
                <w:sz w:val="14"/>
                <w:szCs w:val="14"/>
                <w:b w:val="1"/>
                <w:bCs w:val="1"/>
                <w:color w:val="auto"/>
              </w:rPr>
              <w:t>Third</w:t>
            </w: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15"/>
              <w:spacing w:after="0" w:line="160" w:lineRule="exact"/>
              <w:rPr>
                <w:sz w:val="20"/>
                <w:szCs w:val="20"/>
                <w:color w:val="auto"/>
              </w:rPr>
            </w:pPr>
            <w:r>
              <w:rPr>
                <w:rFonts w:ascii="Arial" w:cs="Arial" w:eastAsia="Arial" w:hAnsi="Arial"/>
                <w:sz w:val="14"/>
                <w:szCs w:val="14"/>
                <w:b w:val="1"/>
                <w:bCs w:val="1"/>
                <w:color w:val="auto"/>
              </w:rPr>
              <w:t>Fourth</w:t>
            </w: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155"/>
        </w:trPr>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40" w:type="dxa"/>
            <w:vAlign w:val="bottom"/>
            <w:gridSpan w:val="6"/>
          </w:tcPr>
          <w:p>
            <w:pPr>
              <w:jc w:val="center"/>
              <w:ind w:left="32"/>
              <w:spacing w:after="0" w:line="154" w:lineRule="exact"/>
              <w:rPr>
                <w:sz w:val="20"/>
                <w:szCs w:val="20"/>
                <w:color w:val="auto"/>
              </w:rPr>
            </w:pPr>
            <w:r>
              <w:rPr>
                <w:rFonts w:ascii="Arial" w:cs="Arial" w:eastAsia="Arial" w:hAnsi="Arial"/>
                <w:sz w:val="17"/>
                <w:szCs w:val="17"/>
                <w:color w:val="auto"/>
                <w:w w:val="93"/>
              </w:rPr>
              <w:t>(in thousands, except per share data)</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17,334</w:t>
            </w:r>
          </w:p>
        </w:tc>
      </w:tr>
      <w:tr>
        <w:trPr>
          <w:trHeight w:val="230"/>
        </w:trPr>
        <w:tc>
          <w:tcPr>
            <w:tcW w:w="1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2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2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2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37,588</w:t>
            </w:r>
          </w:p>
        </w:tc>
      </w:tr>
      <w:tr>
        <w:trPr>
          <w:trHeight w:val="195"/>
        </w:trPr>
        <w:tc>
          <w:tcPr>
            <w:tcW w:w="12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(4,828)</w:t>
            </w:r>
          </w:p>
        </w:tc>
        <w:tc>
          <w:tcPr>
            <w:tcW w:w="28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(3,967)</w:t>
            </w:r>
          </w:p>
        </w:tc>
        <w:tc>
          <w:tcPr>
            <w:tcW w:w="260" w:type="dxa"/>
            <w:vAlign w:val="bottom"/>
          </w:tcPr>
          <w:p>
            <w:pPr>
              <w:spacing w:after="0"/>
              <w:rPr>
                <w:sz w:val="16"/>
                <w:szCs w:val="16"/>
                <w:color w:val="auto"/>
              </w:rPr>
            </w:pP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(4,019)</w:t>
            </w: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(7,440)</w:t>
            </w: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(20,254)</w:t>
            </w:r>
          </w:p>
        </w:tc>
      </w:tr>
      <w:tr>
        <w:trPr>
          <w:trHeight w:val="230"/>
        </w:trPr>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(15,813)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(6,746)</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(6,914)</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(8,817)</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(38,290)</w:t>
            </w:r>
          </w:p>
        </w:tc>
      </w:tr>
      <w:tr>
        <w:trPr>
          <w:trHeight w:val="37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-796925</wp:posOffset>
            </wp:positionV>
            <wp:extent cx="580580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05805" cy="1371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-522605</wp:posOffset>
            </wp:positionV>
            <wp:extent cx="580580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05805" cy="14605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-239395</wp:posOffset>
            </wp:positionV>
            <wp:extent cx="5805805"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0580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320"/>
            <w:col w:w="4760"/>
          </w:cols>
          <w:pgMar w:left="1420" w:top="112" w:right="1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March 15, 2017</w:t>
      </w:r>
    </w:p>
    <w:p>
      <w:pPr>
        <w:ind w:left="4900"/>
        <w:spacing w:after="0" w:line="203" w:lineRule="auto"/>
        <w:rPr>
          <w:sz w:val="20"/>
          <w:szCs w:val="20"/>
          <w:color w:val="auto"/>
        </w:rPr>
      </w:pPr>
      <w:r>
        <w:rPr>
          <w:rFonts w:ascii="Arial" w:cs="Arial" w:eastAsia="Arial" w:hAnsi="Arial"/>
          <w:sz w:val="18"/>
          <w:szCs w:val="18"/>
          <w:b w:val="1"/>
          <w:bCs w:val="1"/>
          <w:color w:val="auto"/>
        </w:rPr>
        <w:t>VOYAGER THERAPEUTICS, INC.</w:t>
      </w:r>
    </w:p>
    <w:p>
      <w:pPr>
        <w:ind w:left="490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/s/Steven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73025</wp:posOffset>
            </wp:positionV>
            <wp:extent cx="24009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18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Steven Paul, M.D.</w:t>
      </w:r>
    </w:p>
    <w:p>
      <w:pPr>
        <w:jc w:val="center"/>
        <w:ind w:left="528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135"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We, the undersigned directors and officers of Voyager Therapeutics, Inc. (the "Company"), hereby severally constitute and appoint Steven Paul, M.D. and Jane Henderson,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13"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in the capacities and on the dates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80" w:type="dxa"/>
            <w:vAlign w:val="bottom"/>
          </w:tcPr>
          <w:p>
            <w:pPr>
              <w:spacing w:after="0"/>
              <w:rPr>
                <w:sz w:val="14"/>
                <w:szCs w:val="14"/>
                <w:color w:val="auto"/>
              </w:rPr>
            </w:pPr>
          </w:p>
        </w:tc>
        <w:tc>
          <w:tcPr>
            <w:tcW w:w="36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3280" w:type="dxa"/>
            <w:vAlign w:val="bottom"/>
          </w:tcPr>
          <w:p>
            <w:pPr>
              <w:jc w:val="center"/>
              <w:spacing w:after="0"/>
              <w:rPr>
                <w:sz w:val="20"/>
                <w:szCs w:val="20"/>
                <w:color w:val="auto"/>
              </w:rPr>
            </w:pPr>
            <w:r>
              <w:rPr>
                <w:rFonts w:ascii="Arial" w:cs="Arial" w:eastAsia="Arial" w:hAnsi="Arial"/>
                <w:sz w:val="18"/>
                <w:szCs w:val="18"/>
                <w:i w:val="1"/>
                <w:iCs w:val="1"/>
                <w:color w:val="auto"/>
                <w:w w:val="90"/>
              </w:rPr>
              <w:t>/s/Steven Paul, M.D.</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980" w:type="dxa"/>
            <w:vAlign w:val="bottom"/>
            <w:gridSpan w:val="3"/>
            <w:vMerge w:val="restart"/>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Steven Paul, M.D.</w:t>
            </w:r>
          </w:p>
        </w:tc>
        <w:tc>
          <w:tcPr>
            <w:tcW w:w="398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80" w:type="dxa"/>
            <w:vAlign w:val="bottom"/>
          </w:tcPr>
          <w:p>
            <w:pPr>
              <w:jc w:val="center"/>
              <w:spacing w:after="0"/>
              <w:rPr>
                <w:sz w:val="20"/>
                <w:szCs w:val="20"/>
                <w:color w:val="auto"/>
              </w:rPr>
            </w:pPr>
            <w:r>
              <w:rPr>
                <w:rFonts w:ascii="Arial" w:cs="Arial" w:eastAsia="Arial" w:hAnsi="Arial"/>
                <w:sz w:val="18"/>
                <w:szCs w:val="18"/>
                <w:i w:val="1"/>
                <w:iCs w:val="1"/>
                <w:color w:val="auto"/>
                <w:w w:val="88"/>
              </w:rPr>
              <w:t>/s/Jane Henderson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980" w:type="dxa"/>
            <w:vAlign w:val="bottom"/>
            <w:gridSpan w:val="3"/>
            <w:vMerge w:val="restart"/>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86"/>
              </w:rPr>
              <w:t>Jane Henderson</w:t>
            </w:r>
          </w:p>
        </w:tc>
        <w:tc>
          <w:tcPr>
            <w:tcW w:w="398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/s/Mark Levin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7"/>
              </w:rPr>
              <w:t>Mark Levin</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/s/Jim Geraghty</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Jim Geraghty</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/s/Michael Higgins</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4"/>
              </w:rPr>
              <w:t>Michael Higgins</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/s/Perry A. Karsen</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Perry A. Karsen</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/s/Steven Hyman, M.D.</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Steven Hyman, M.D.</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/s/Wendy Dixon, Ph.D.</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2"/>
              </w:rPr>
              <w:t>Wendy Dixon, Ph. D.</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/s/Glenn Pierce, M.D., Ph.D.</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15, 2017</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Glenn Pierce, M.D., Ph.D.</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2"/>
          </w:tcPr>
          <w:p>
            <w:pPr>
              <w:ind w:left="900"/>
              <w:spacing w:after="0"/>
              <w:rPr>
                <w:sz w:val="20"/>
                <w:szCs w:val="20"/>
                <w:color w:val="auto"/>
              </w:rPr>
            </w:pPr>
            <w:r>
              <w:rPr>
                <w:rFonts w:ascii="Arial" w:cs="Arial" w:eastAsia="Arial" w:hAnsi="Arial"/>
                <w:sz w:val="18"/>
                <w:szCs w:val="18"/>
                <w:color w:val="auto"/>
              </w:rPr>
              <w:t>F-33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8"/>
              </w:rPr>
              <w:t>Incorporated by Reference to:</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Form or</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Filing</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with</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4"/>
                <w:szCs w:val="14"/>
                <w:color w:val="auto"/>
              </w:rPr>
            </w:pPr>
          </w:p>
        </w:tc>
        <w:tc>
          <w:tcPr>
            <w:tcW w:w="41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80" w:type="dxa"/>
            <w:vAlign w:val="bottom"/>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44"/>
        </w:trPr>
        <w:tc>
          <w:tcPr>
            <w:tcW w:w="84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Sales Agreement by and between the Registrant and</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S-3</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12/01/2016</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Cowen and Company, LLC, dated as of December 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Amended and Restated Certificate of Incorporation of</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the Registrant.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Amended and Restated By-Laws of the Registrant.</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8"/>
              </w:rPr>
              <w:t>Specimen Common Stock Certificate of the Registrant.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For of Indenture to be entered into between the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S-3/A</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12/19/2016</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Registrant and Trustee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8"/>
              </w:rPr>
              <w:t>2014 Stock Option and Grant Plan and forms of award</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agreements thereunder</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2015 Stock Option and Incentive Plan and forms of</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award agreements thereunder</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5"/>
              </w:rPr>
              <w:t>Collaboration Agreement by and between the Registrant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9"/>
              </w:rPr>
              <w:t>and Sanofi-Genzyme Corporation, dated February 11,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Exclusive License Agreement by and between the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11/04/2015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9"/>
              </w:rPr>
              <w:t>Registrant and the University of Massachusetts, dated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January 30,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3"/>
              </w:rPr>
              <w:t>Lease Agreement by and between the Registrant and UP</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45/75 Sidney Street, LLC, dated as of April 1,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8"/>
              </w:rPr>
              <w:t>First Amendment to Lease Agreement by and between</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05/12/2016</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4"/>
              </w:rPr>
              <w:t>the Registrant and 45/75 Sidney Street, LLC, dated as of</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December 23, 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6"/>
              </w:rPr>
              <w:t>Offer Letter by and between the Registrant and Bernard</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Ravina, M.D., dated January 15,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8"/>
              </w:rPr>
              <w:t>Offer Letter by and between the Registrant and Robert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Pietrusko, Pharm. D., dated May 13,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337"/>
        </w:trPr>
        <w:tc>
          <w:tcPr>
            <w:tcW w:w="8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w w:val="98"/>
              </w:rPr>
              <w:t>Offer Letter by and between the Registrant and Steven</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Arial" w:cs="Arial" w:eastAsia="Arial" w:hAnsi="Arial"/>
                <w:sz w:val="18"/>
                <w:szCs w:val="18"/>
                <w:color w:val="auto"/>
              </w:rPr>
              <w:t>Paul, M.D., dated July 24,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207367</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3340"/>
              <w:spacing w:after="0"/>
              <w:rPr>
                <w:sz w:val="20"/>
                <w:szCs w:val="20"/>
                <w:color w:val="auto"/>
              </w:rPr>
            </w:pPr>
            <w:r>
              <w:rPr>
                <w:rFonts w:ascii="Arial" w:cs="Arial" w:eastAsia="Arial" w:hAnsi="Arial"/>
                <w:sz w:val="18"/>
                <w:szCs w:val="18"/>
                <w:color w:val="auto"/>
              </w:rPr>
              <w:t>F-34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10.10</w:t>
            </w:r>
          </w:p>
        </w:tc>
        <w:tc>
          <w:tcPr>
            <w:tcW w:w="4200" w:type="dxa"/>
            <w:vAlign w:val="bottom"/>
          </w:tcPr>
          <w:p>
            <w:pPr>
              <w:ind w:left="140"/>
              <w:spacing w:after="0"/>
              <w:rPr>
                <w:sz w:val="20"/>
                <w:szCs w:val="20"/>
                <w:color w:val="auto"/>
              </w:rPr>
            </w:pPr>
            <w:r>
              <w:rPr>
                <w:rFonts w:ascii="Arial" w:cs="Arial" w:eastAsia="Arial" w:hAnsi="Arial"/>
                <w:sz w:val="18"/>
                <w:szCs w:val="18"/>
                <w:color w:val="auto"/>
                <w:w w:val="94"/>
              </w:rPr>
              <w:t>Form of Indemnification Agreement to be entered into</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between the Registrant and its directors.</w:t>
            </w:r>
          </w:p>
        </w:tc>
      </w:tr>
      <w:tr>
        <w:trPr>
          <w:trHeight w:val="337"/>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88"/>
              </w:rPr>
              <w:t>10.11</w:t>
            </w:r>
          </w:p>
        </w:tc>
        <w:tc>
          <w:tcPr>
            <w:tcW w:w="4200" w:type="dxa"/>
            <w:vAlign w:val="bottom"/>
          </w:tcPr>
          <w:p>
            <w:pPr>
              <w:ind w:left="140"/>
              <w:spacing w:after="0"/>
              <w:rPr>
                <w:sz w:val="20"/>
                <w:szCs w:val="20"/>
                <w:color w:val="auto"/>
              </w:rPr>
            </w:pPr>
            <w:r>
              <w:rPr>
                <w:rFonts w:ascii="Arial" w:cs="Arial" w:eastAsia="Arial" w:hAnsi="Arial"/>
                <w:sz w:val="18"/>
                <w:szCs w:val="18"/>
                <w:color w:val="auto"/>
                <w:w w:val="94"/>
              </w:rPr>
              <w:t>Form of Indemnification Agreement to be entered into</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between the Registrant and its executive officers.</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10.12</w:t>
            </w:r>
          </w:p>
        </w:tc>
        <w:tc>
          <w:tcPr>
            <w:tcW w:w="4200" w:type="dxa"/>
            <w:vAlign w:val="bottom"/>
          </w:tcPr>
          <w:p>
            <w:pPr>
              <w:ind w:left="140"/>
              <w:spacing w:after="0"/>
              <w:rPr>
                <w:sz w:val="20"/>
                <w:szCs w:val="20"/>
                <w:color w:val="auto"/>
              </w:rPr>
            </w:pPr>
            <w:r>
              <w:rPr>
                <w:rFonts w:ascii="Arial" w:cs="Arial" w:eastAsia="Arial" w:hAnsi="Arial"/>
                <w:sz w:val="18"/>
                <w:szCs w:val="18"/>
                <w:color w:val="auto"/>
                <w:w w:val="90"/>
              </w:rPr>
              <w:t>License Agreement, by and between the Registrant and</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ReGenX Biosciences, LLC, dated May 28, 2015.</w:t>
            </w:r>
          </w:p>
        </w:tc>
      </w:tr>
      <w:tr>
        <w:trPr>
          <w:trHeight w:val="378"/>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10.13</w:t>
            </w:r>
          </w:p>
        </w:tc>
        <w:tc>
          <w:tcPr>
            <w:tcW w:w="4200" w:type="dxa"/>
            <w:vAlign w:val="bottom"/>
          </w:tcPr>
          <w:p>
            <w:pPr>
              <w:ind w:left="140"/>
              <w:spacing w:after="0"/>
              <w:rPr>
                <w:sz w:val="20"/>
                <w:szCs w:val="20"/>
                <w:color w:val="auto"/>
              </w:rPr>
            </w:pPr>
            <w:r>
              <w:rPr>
                <w:rFonts w:ascii="Arial" w:cs="Arial" w:eastAsia="Arial" w:hAnsi="Arial"/>
                <w:sz w:val="18"/>
                <w:szCs w:val="18"/>
                <w:color w:val="auto"/>
              </w:rPr>
              <w:t>2015 Employee Stock Purchase Plan.</w:t>
            </w:r>
          </w:p>
        </w:tc>
      </w:tr>
      <w:tr>
        <w:trPr>
          <w:trHeight w:val="526"/>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10.14</w:t>
            </w: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the Registrant</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and Steven M. Paul, Dated May 11, 2016</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10.15</w:t>
            </w: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the Registrant</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and James Goater, dated May 11, 2016</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10.16</w:t>
            </w: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the Registrant</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and Dinah Sah, dated May 11, 2016</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10.17</w:t>
            </w:r>
          </w:p>
        </w:tc>
        <w:tc>
          <w:tcPr>
            <w:tcW w:w="4200" w:type="dxa"/>
            <w:vAlign w:val="bottom"/>
          </w:tcPr>
          <w:p>
            <w:pPr>
              <w:ind w:left="140"/>
              <w:spacing w:after="0"/>
              <w:rPr>
                <w:sz w:val="20"/>
                <w:szCs w:val="20"/>
                <w:color w:val="auto"/>
              </w:rPr>
            </w:pPr>
            <w:r>
              <w:rPr>
                <w:rFonts w:ascii="Arial" w:cs="Arial" w:eastAsia="Arial" w:hAnsi="Arial"/>
                <w:sz w:val="18"/>
                <w:szCs w:val="18"/>
                <w:color w:val="auto"/>
                <w:w w:val="88"/>
              </w:rPr>
              <w:t>Lease Agreement by and between the Registrant and UP</w:t>
            </w:r>
          </w:p>
        </w:tc>
      </w:tr>
      <w:tr>
        <w:trPr>
          <w:trHeight w:val="189"/>
        </w:trPr>
        <w:tc>
          <w:tcPr>
            <w:tcW w:w="800" w:type="dxa"/>
            <w:vAlign w:val="bottom"/>
          </w:tcPr>
          <w:p>
            <w:pPr>
              <w:spacing w:after="0"/>
              <w:rPr>
                <w:sz w:val="16"/>
                <w:szCs w:val="16"/>
                <w:color w:val="auto"/>
              </w:rPr>
            </w:pPr>
          </w:p>
        </w:tc>
        <w:tc>
          <w:tcPr>
            <w:tcW w:w="4200" w:type="dxa"/>
            <w:vAlign w:val="bottom"/>
          </w:tcPr>
          <w:p>
            <w:pPr>
              <w:ind w:left="140"/>
              <w:spacing w:after="0" w:line="189" w:lineRule="exact"/>
              <w:rPr>
                <w:sz w:val="20"/>
                <w:szCs w:val="20"/>
                <w:color w:val="auto"/>
              </w:rPr>
            </w:pPr>
            <w:r>
              <w:rPr>
                <w:rFonts w:ascii="Arial" w:cs="Arial" w:eastAsia="Arial" w:hAnsi="Arial"/>
                <w:sz w:val="18"/>
                <w:szCs w:val="18"/>
                <w:color w:val="auto"/>
                <w:w w:val="96"/>
              </w:rPr>
              <w:t>45/75 Sidney Street, LLC, dated as of December 23,</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2015</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3"/>
              </w:rPr>
              <w:t>10.18</w:t>
            </w:r>
          </w:p>
        </w:tc>
        <w:tc>
          <w:tcPr>
            <w:tcW w:w="4200" w:type="dxa"/>
            <w:vAlign w:val="bottom"/>
          </w:tcPr>
          <w:p>
            <w:pPr>
              <w:ind w:left="140"/>
              <w:spacing w:after="0"/>
              <w:rPr>
                <w:sz w:val="20"/>
                <w:szCs w:val="20"/>
                <w:color w:val="auto"/>
              </w:rPr>
            </w:pPr>
            <w:r>
              <w:rPr>
                <w:rFonts w:ascii="Arial" w:cs="Arial" w:eastAsia="Arial" w:hAnsi="Arial"/>
                <w:sz w:val="18"/>
                <w:szCs w:val="18"/>
                <w:color w:val="auto"/>
                <w:w w:val="91"/>
              </w:rPr>
              <w:t>Employment Agreement by and between the Registrant</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4"/>
              </w:rPr>
              <w:t>and Jane Pritchett Henderson, dated January 1, 2017</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85"/>
              </w:rPr>
              <w:t>23.1</w:t>
            </w:r>
          </w:p>
        </w:tc>
        <w:tc>
          <w:tcPr>
            <w:tcW w:w="4200" w:type="dxa"/>
            <w:vAlign w:val="bottom"/>
          </w:tcPr>
          <w:p>
            <w:pPr>
              <w:ind w:left="140"/>
              <w:spacing w:after="0"/>
              <w:rPr>
                <w:sz w:val="20"/>
                <w:szCs w:val="20"/>
                <w:color w:val="auto"/>
              </w:rPr>
            </w:pPr>
            <w:r>
              <w:rPr>
                <w:rFonts w:ascii="Arial" w:cs="Arial" w:eastAsia="Arial" w:hAnsi="Arial"/>
                <w:sz w:val="18"/>
                <w:szCs w:val="18"/>
                <w:color w:val="auto"/>
                <w:w w:val="98"/>
              </w:rPr>
              <w:t>Consent of Ernst &amp; Young, Independent Registered</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Public Accounting Firm</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85"/>
              </w:rPr>
              <w:t>24.1</w:t>
            </w:r>
          </w:p>
        </w:tc>
        <w:tc>
          <w:tcPr>
            <w:tcW w:w="4200" w:type="dxa"/>
            <w:vAlign w:val="bottom"/>
          </w:tcPr>
          <w:p>
            <w:pPr>
              <w:ind w:left="140"/>
              <w:spacing w:after="0"/>
              <w:rPr>
                <w:sz w:val="20"/>
                <w:szCs w:val="20"/>
                <w:color w:val="auto"/>
              </w:rPr>
            </w:pPr>
            <w:r>
              <w:rPr>
                <w:rFonts w:ascii="Arial" w:cs="Arial" w:eastAsia="Arial" w:hAnsi="Arial"/>
                <w:sz w:val="18"/>
                <w:szCs w:val="18"/>
                <w:color w:val="auto"/>
                <w:w w:val="95"/>
              </w:rPr>
              <w:t>Power of Attorney (see signature page of this Annual</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Report on Form 10-K)</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85"/>
              </w:rPr>
              <w:t>31.1</w:t>
            </w:r>
          </w:p>
        </w:tc>
        <w:tc>
          <w:tcPr>
            <w:tcW w:w="420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Exchange Act Rules 13a-14 or 15d-14.</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85"/>
              </w:rPr>
              <w:t>31.2</w:t>
            </w:r>
          </w:p>
        </w:tc>
        <w:tc>
          <w:tcPr>
            <w:tcW w:w="420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Exchange Act Rules 13a-14 or 15d-14.</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2"/>
              </w:rPr>
              <w:t>32.1+</w:t>
            </w:r>
          </w:p>
        </w:tc>
        <w:tc>
          <w:tcPr>
            <w:tcW w:w="4200" w:type="dxa"/>
            <w:vAlign w:val="bottom"/>
          </w:tcPr>
          <w:p>
            <w:pPr>
              <w:ind w:left="140"/>
              <w:spacing w:after="0"/>
              <w:rPr>
                <w:sz w:val="20"/>
                <w:szCs w:val="20"/>
                <w:color w:val="auto"/>
              </w:rPr>
            </w:pPr>
            <w:r>
              <w:rPr>
                <w:rFonts w:ascii="Arial" w:cs="Arial" w:eastAsia="Arial" w:hAnsi="Arial"/>
                <w:sz w:val="18"/>
                <w:szCs w:val="18"/>
                <w:color w:val="auto"/>
                <w:w w:val="98"/>
              </w:rPr>
              <w:t>Certification of Chief Executive Officer and Principal</w:t>
            </w:r>
          </w:p>
        </w:tc>
      </w:tr>
      <w:tr>
        <w:trPr>
          <w:trHeight w:val="189"/>
        </w:trPr>
        <w:tc>
          <w:tcPr>
            <w:tcW w:w="800" w:type="dxa"/>
            <w:vAlign w:val="bottom"/>
          </w:tcPr>
          <w:p>
            <w:pPr>
              <w:spacing w:after="0"/>
              <w:rPr>
                <w:sz w:val="16"/>
                <w:szCs w:val="16"/>
                <w:color w:val="auto"/>
              </w:rPr>
            </w:pPr>
          </w:p>
        </w:tc>
        <w:tc>
          <w:tcPr>
            <w:tcW w:w="4200" w:type="dxa"/>
            <w:vAlign w:val="bottom"/>
          </w:tcPr>
          <w:p>
            <w:pPr>
              <w:ind w:left="140"/>
              <w:spacing w:after="0" w:line="189" w:lineRule="exact"/>
              <w:rPr>
                <w:sz w:val="20"/>
                <w:szCs w:val="20"/>
                <w:color w:val="auto"/>
              </w:rPr>
            </w:pPr>
            <w:r>
              <w:rPr>
                <w:rFonts w:ascii="Arial" w:cs="Arial" w:eastAsia="Arial" w:hAnsi="Arial"/>
                <w:sz w:val="18"/>
                <w:szCs w:val="18"/>
                <w:color w:val="auto"/>
              </w:rPr>
              <w:t>Chief Officer pursuant to Exchange Act Rules 13a-</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14(b) or 15d-14(b) and 18 U.S.C. Section 1350.</w:t>
            </w:r>
          </w:p>
        </w:tc>
      </w:tr>
      <w:tr>
        <w:trPr>
          <w:trHeight w:val="378"/>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5"/>
              </w:rPr>
              <w:t>101.INS</w:t>
            </w:r>
          </w:p>
        </w:tc>
        <w:tc>
          <w:tcPr>
            <w:tcW w:w="42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78"/>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0"/>
              </w:rPr>
              <w:t>101.SCH</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4"/>
              </w:rPr>
              <w:t>101.CAL</w:t>
            </w:r>
          </w:p>
        </w:tc>
        <w:tc>
          <w:tcPr>
            <w:tcW w:w="4200" w:type="dxa"/>
            <w:vAlign w:val="bottom"/>
          </w:tcPr>
          <w:p>
            <w:pPr>
              <w:ind w:left="140"/>
              <w:spacing w:after="0"/>
              <w:rPr>
                <w:sz w:val="20"/>
                <w:szCs w:val="20"/>
                <w:color w:val="auto"/>
              </w:rPr>
            </w:pPr>
            <w:r>
              <w:rPr>
                <w:rFonts w:ascii="Arial" w:cs="Arial" w:eastAsia="Arial" w:hAnsi="Arial"/>
                <w:sz w:val="18"/>
                <w:szCs w:val="18"/>
                <w:color w:val="auto"/>
                <w:w w:val="99"/>
              </w:rPr>
              <w:t>XBRL Taxonomy Extension Calculation Document.</w:t>
            </w:r>
          </w:p>
        </w:tc>
      </w:tr>
      <w:tr>
        <w:trPr>
          <w:trHeight w:val="337"/>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5"/>
              </w:rPr>
              <w:t>101.LAB</w:t>
            </w:r>
          </w:p>
        </w:tc>
        <w:tc>
          <w:tcPr>
            <w:tcW w:w="42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80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Document.</w:t>
            </w:r>
          </w:p>
        </w:tc>
      </w:tr>
      <w:tr>
        <w:trPr>
          <w:trHeight w:val="405"/>
        </w:trPr>
        <w:tc>
          <w:tcPr>
            <w:tcW w:w="800" w:type="dxa"/>
            <w:vAlign w:val="bottom"/>
          </w:tcPr>
          <w:p>
            <w:pPr>
              <w:spacing w:after="0"/>
              <w:rPr>
                <w:sz w:val="24"/>
                <w:szCs w:val="24"/>
                <w:color w:val="auto"/>
              </w:rPr>
            </w:pPr>
          </w:p>
        </w:tc>
        <w:tc>
          <w:tcPr>
            <w:tcW w:w="4200" w:type="dxa"/>
            <w:vAlign w:val="bottom"/>
          </w:tcPr>
          <w:p>
            <w:pPr>
              <w:ind w:left="3480"/>
              <w:spacing w:after="0"/>
              <w:rPr>
                <w:sz w:val="20"/>
                <w:szCs w:val="20"/>
                <w:color w:val="auto"/>
              </w:rPr>
            </w:pPr>
            <w:r>
              <w:rPr>
                <w:rFonts w:ascii="Arial" w:cs="Arial" w:eastAsia="Arial" w:hAnsi="Arial"/>
                <w:sz w:val="18"/>
                <w:szCs w:val="18"/>
                <w:color w:val="auto"/>
              </w:rPr>
              <w:t>F-35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10.10</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10/30/2015</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10.11</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10/30/2015</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11/04/2015</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10.13</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10/30/2015</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05/12/2016</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10.15</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05/12/2016</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10.16</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05/12/2016</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33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10.17</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05/12/2016</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r>
        <w:trPr>
          <w:trHeight w:val="52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10.18</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01/03/2017</w:t>
            </w: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94"/>
              </w:rPr>
              <w:t>333-</w:t>
            </w:r>
          </w:p>
        </w:tc>
      </w:tr>
      <w:tr>
        <w:trPr>
          <w:trHeight w:val="230"/>
        </w:trPr>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jc w:val="center"/>
              <w:ind w:left="90"/>
              <w:spacing w:after="0"/>
              <w:rPr>
                <w:sz w:val="20"/>
                <w:szCs w:val="20"/>
                <w:color w:val="auto"/>
              </w:rPr>
            </w:pPr>
            <w:r>
              <w:rPr>
                <w:rFonts w:ascii="Arial" w:cs="Arial" w:eastAsia="Arial" w:hAnsi="Arial"/>
                <w:sz w:val="18"/>
                <w:szCs w:val="18"/>
                <w:color w:val="auto"/>
                <w:w w:val="89"/>
              </w:rPr>
              <w:t>207367</w:t>
            </w:r>
          </w:p>
        </w:tc>
      </w:tr>
    </w:tbl>
    <w:p>
      <w:pPr>
        <w:sectPr>
          <w:pgSz w:w="11900" w:h="16838" w:orient="portrait"/>
          <w:cols w:equalWidth="0" w:num="2">
            <w:col w:w="5080" w:space="320"/>
            <w:col w:w="3639"/>
          </w:cols>
          <w:pgMar w:left="1420" w:top="111" w:right="1440"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260" w:type="dxa"/>
            <w:vAlign w:val="bottom"/>
          </w:tcPr>
          <w:p>
            <w:pPr>
              <w:ind w:left="140"/>
              <w:spacing w:after="0"/>
              <w:rPr>
                <w:sz w:val="20"/>
                <w:szCs w:val="20"/>
                <w:color w:val="auto"/>
              </w:rPr>
            </w:pPr>
            <w:r>
              <w:rPr>
                <w:rFonts w:ascii="Arial" w:cs="Arial" w:eastAsia="Arial" w:hAnsi="Arial"/>
                <w:sz w:val="18"/>
                <w:szCs w:val="18"/>
                <w:color w:val="auto"/>
                <w:w w:val="91"/>
              </w:rPr>
              <w:t>XBRL Taxonomy Extension Labels Linkbase Document.</w:t>
            </w:r>
          </w:p>
        </w:tc>
      </w:tr>
      <w:tr>
        <w:trPr>
          <w:trHeight w:val="337"/>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42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w:t>
            </w:r>
          </w:p>
        </w:tc>
      </w:tr>
      <w:tr>
        <w:trPr>
          <w:trHeight w:val="230"/>
        </w:trPr>
        <w:tc>
          <w:tcPr>
            <w:tcW w:w="78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ind w:firstLine="3"/>
        <w:spacing w:after="0" w:line="224" w:lineRule="auto"/>
        <w:tabs>
          <w:tab w:leader="none" w:pos="148"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 w:lineRule="exact"/>
        <w:rPr>
          <w:sz w:val="20"/>
          <w:szCs w:val="20"/>
          <w:color w:val="auto"/>
        </w:rPr>
      </w:pPr>
    </w:p>
    <w:p>
      <w:pPr>
        <w:ind w:left="220" w:hanging="217"/>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S-3 No. 333-214861) of Voyager Therapeutics, Inc.</w:t>
      </w:r>
    </w:p>
    <w:p>
      <w:pPr>
        <w:spacing w:after="0" w:line="9" w:lineRule="exact"/>
        <w:rPr>
          <w:rFonts w:ascii="Arial" w:cs="Arial" w:eastAsia="Arial" w:hAnsi="Arial"/>
          <w:sz w:val="18"/>
          <w:szCs w:val="18"/>
          <w:color w:val="auto"/>
        </w:rPr>
      </w:pPr>
    </w:p>
    <w:p>
      <w:pPr>
        <w:ind w:left="200" w:hanging="197"/>
        <w:spacing w:after="0" w:line="265" w:lineRule="auto"/>
        <w:tabs>
          <w:tab w:leader="none" w:pos="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Registration Statement (Form S-8 No. 333-207958) pertaining to the 2014 Stock Option and Grant Plan, the 2015 Stock Option and Incentive Plan, and the 2015 Employee Stock Purchase Plan of Voyager Therapeutics, Inc.</w:t>
      </w:r>
    </w:p>
    <w:p>
      <w:pPr>
        <w:jc w:val="both"/>
        <w:ind w:left="200" w:hanging="197"/>
        <w:spacing w:after="0" w:line="254"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Statement (Form S-8 No. 333-210258) pertaining to the 2015 Stock Option and Incentive Plan and the 2015 Employee Stock Purchase Plan of Voyager Therapeutics, Inc. of our report dated March 15, 2017 with respect to the consolidated financial statements of Voyager Therapeutics, Inc. included in this Annual Report (Form 10-K) of Voyager Therapeutics, Inc. for the year ended December 31, 2016.</w:t>
      </w:r>
    </w:p>
    <w:p>
      <w:pPr>
        <w:spacing w:after="0" w:line="19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Steven M. Paul, certify that:</w:t>
      </w:r>
    </w:p>
    <w:p>
      <w:pPr>
        <w:spacing w:after="0" w:line="224" w:lineRule="exact"/>
        <w:rPr>
          <w:sz w:val="20"/>
          <w:szCs w:val="20"/>
          <w:color w:val="auto"/>
        </w:rPr>
      </w:pPr>
    </w:p>
    <w:p>
      <w:pPr>
        <w:ind w:left="440" w:hanging="383"/>
        <w:spacing w:after="0"/>
        <w:tabs>
          <w:tab w:leader="none" w:pos="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2016 of Voyager Therapeutics, Inc.</w:t>
      </w:r>
    </w:p>
    <w:p>
      <w:pPr>
        <w:spacing w:after="0" w:line="261" w:lineRule="exact"/>
        <w:rPr>
          <w:rFonts w:ascii="Arial" w:cs="Arial" w:eastAsia="Arial" w:hAnsi="Arial"/>
          <w:sz w:val="16"/>
          <w:szCs w:val="16"/>
          <w:color w:val="auto"/>
        </w:rPr>
      </w:pPr>
    </w:p>
    <w:p>
      <w:pPr>
        <w:jc w:val="both"/>
        <w:ind w:left="440" w:right="80" w:hanging="383"/>
        <w:spacing w:after="0" w:line="264"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440" w:right="60" w:hanging="383"/>
        <w:spacing w:after="0" w:line="264"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440" w:right="20" w:hanging="383"/>
        <w:spacing w:after="0" w:line="264"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for the registrant and have:</w:t>
      </w:r>
    </w:p>
    <w:p>
      <w:pPr>
        <w:spacing w:after="0" w:line="194" w:lineRule="exact"/>
        <w:rPr>
          <w:rFonts w:ascii="Arial" w:cs="Arial" w:eastAsia="Arial" w:hAnsi="Arial"/>
          <w:sz w:val="18"/>
          <w:szCs w:val="18"/>
          <w:color w:val="auto"/>
        </w:rPr>
      </w:pPr>
    </w:p>
    <w:p>
      <w:pPr>
        <w:ind w:left="700" w:right="380" w:hanging="373"/>
        <w:spacing w:after="0" w:line="259"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ind w:left="700" w:right="100" w:hanging="373"/>
        <w:spacing w:after="0" w:line="259"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ind w:left="700" w:hanging="373"/>
        <w:spacing w:after="0" w:line="264"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700" w:right="120" w:hanging="373"/>
        <w:spacing w:after="0" w:line="259"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6" w:lineRule="exact"/>
        <w:rPr>
          <w:rFonts w:ascii="Arial" w:cs="Arial" w:eastAsia="Arial" w:hAnsi="Arial"/>
          <w:sz w:val="18"/>
          <w:szCs w:val="18"/>
          <w:color w:val="auto"/>
        </w:rPr>
      </w:pPr>
    </w:p>
    <w:p>
      <w:pPr>
        <w:ind w:left="440" w:right="100" w:hanging="383"/>
        <w:spacing w:after="0" w:line="264" w:lineRule="auto"/>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700" w:right="180" w:hanging="373"/>
        <w:spacing w:after="0" w:line="264"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hanging="373"/>
        <w:spacing w:after="0" w:line="277" w:lineRule="auto"/>
        <w:tabs>
          <w:tab w:leader="none" w:pos="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6"/>
          <w:szCs w:val="16"/>
          <w:i w:val="1"/>
          <w:iCs w:val="1"/>
          <w:color w:val="auto"/>
        </w:rPr>
        <w:t>/s/Steven M. Paul</w:t>
      </w:r>
    </w:p>
    <w:p>
      <w:pPr>
        <w:spacing w:after="0" w:line="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-130810</wp:posOffset>
            </wp:positionV>
            <wp:extent cx="2727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Jane Henderson, certify that:</w:t>
      </w:r>
    </w:p>
    <w:p>
      <w:pPr>
        <w:spacing w:after="0" w:line="224" w:lineRule="exact"/>
        <w:rPr>
          <w:sz w:val="20"/>
          <w:szCs w:val="20"/>
          <w:color w:val="auto"/>
        </w:rPr>
      </w:pPr>
    </w:p>
    <w:p>
      <w:pPr>
        <w:ind w:left="440" w:hanging="383"/>
        <w:spacing w:after="0"/>
        <w:tabs>
          <w:tab w:leader="none" w:pos="4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2016 of Voyager Therapeutics, Inc.</w:t>
      </w:r>
    </w:p>
    <w:p>
      <w:pPr>
        <w:spacing w:after="0" w:line="261" w:lineRule="exact"/>
        <w:rPr>
          <w:rFonts w:ascii="Arial" w:cs="Arial" w:eastAsia="Arial" w:hAnsi="Arial"/>
          <w:sz w:val="16"/>
          <w:szCs w:val="16"/>
          <w:color w:val="auto"/>
        </w:rPr>
      </w:pPr>
    </w:p>
    <w:p>
      <w:pPr>
        <w:jc w:val="both"/>
        <w:ind w:left="440" w:right="80" w:hanging="383"/>
        <w:spacing w:after="0" w:line="264"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440" w:right="60" w:hanging="383"/>
        <w:spacing w:after="0" w:line="264"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440" w:right="20" w:hanging="383"/>
        <w:spacing w:after="0" w:line="264"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for the registrant and have:</w:t>
      </w:r>
    </w:p>
    <w:p>
      <w:pPr>
        <w:spacing w:after="0" w:line="194" w:lineRule="exact"/>
        <w:rPr>
          <w:rFonts w:ascii="Arial" w:cs="Arial" w:eastAsia="Arial" w:hAnsi="Arial"/>
          <w:sz w:val="18"/>
          <w:szCs w:val="18"/>
          <w:color w:val="auto"/>
        </w:rPr>
      </w:pPr>
    </w:p>
    <w:p>
      <w:pPr>
        <w:ind w:left="700" w:right="380" w:hanging="373"/>
        <w:spacing w:after="0" w:line="259"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ind w:left="700" w:right="100" w:hanging="373"/>
        <w:spacing w:after="0" w:line="259"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ind w:left="700" w:hanging="373"/>
        <w:spacing w:after="0" w:line="264"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700" w:right="120" w:hanging="373"/>
        <w:spacing w:after="0" w:line="259"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6" w:lineRule="exact"/>
        <w:rPr>
          <w:rFonts w:ascii="Arial" w:cs="Arial" w:eastAsia="Arial" w:hAnsi="Arial"/>
          <w:sz w:val="18"/>
          <w:szCs w:val="18"/>
          <w:color w:val="auto"/>
        </w:rPr>
      </w:pPr>
    </w:p>
    <w:p>
      <w:pPr>
        <w:ind w:left="440" w:right="100" w:hanging="383"/>
        <w:spacing w:after="0" w:line="264"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700" w:right="180" w:hanging="373"/>
        <w:spacing w:after="0" w:line="264"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hanging="373"/>
        <w:spacing w:after="0" w:line="277" w:lineRule="auto"/>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Jane Henderson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Annual Report on Form 10-K of Voyager Therapeutics, Inc. (the “Company”) for the year ended December 31, 2016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92" w:lineRule="exact"/>
        <w:rPr>
          <w:sz w:val="20"/>
          <w:szCs w:val="20"/>
          <w:color w:val="auto"/>
        </w:rPr>
      </w:pPr>
    </w:p>
    <w:p>
      <w:pPr>
        <w:ind w:left="440" w:right="220" w:hanging="383"/>
        <w:spacing w:after="0" w:line="277" w:lineRule="auto"/>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40" w:right="280" w:hanging="383"/>
        <w:spacing w:after="0" w:line="277" w:lineRule="auto"/>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6"/>
          <w:szCs w:val="16"/>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Steven M. Paul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5"/>
          <w:szCs w:val="15"/>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Jane Henderson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A"/>
      <w:numFmt w:val="bullet"/>
      <w:start w:val="1"/>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2"/>
    </w:lvl>
  </w:abstractNum>
  <w:abstractNum w:abstractNumId="17">
    <w:nsid w:val="4F4EF005"/>
    <w:multiLevelType w:val="hybridMultilevel"/>
    <w:lvl w:ilvl="0">
      <w:lvlJc w:val="left"/>
      <w:lvlText w:val="(%1)"/>
      <w:numFmt w:val="lowerRoman"/>
      <w:start w:val="2"/>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lowerRoman"/>
      <w:start w:val="3"/>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lowerRoman"/>
      <w:start w:val="2"/>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lowerLetter"/>
      <w:start w:val="2"/>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lowerLetter"/>
      <w:start w:val="4"/>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lowerLetter"/>
      <w:start w:val="4"/>
    </w:lvl>
  </w:abstractNum>
  <w:abstractNum w:abstractNumId="82">
    <w:nsid w:val="76272110"/>
    <w:multiLevelType w:val="hybridMultilevel"/>
    <w:lvl w:ilvl="0">
      <w:lvlJc w:val="left"/>
      <w:lvlText w:val="(%1)"/>
      <w:numFmt w:val="lowerRoman"/>
      <w:start w:val="3"/>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A"/>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2019-12-29T08:23:40Z</dcterms:created>
  <dcterms:modified xsi:type="dcterms:W3CDTF">2019-12-29T08:23:40Z</dcterms:modified>
</cp:coreProperties>
</file>